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7F80">
      <w:pPr>
        <w:adjustRightInd w:val="0"/>
        <w:snapToGrid w:val="0"/>
        <w:spacing w:line="240" w:lineRule="auto"/>
        <w:ind w:firstLine="0" w:firstLineChars="0"/>
        <w:jc w:val="center"/>
        <w:textAlignment w:val="auto"/>
        <w:outlineLvl w:val="0"/>
        <w:rPr>
          <w:rFonts w:ascii="方正小标宋_GBK" w:eastAsia="方正小标宋_GBK" w:cs="Times New Roman"/>
          <w:bCs/>
          <w:color w:val="000000" w:themeColor="text1"/>
          <w:sz w:val="72"/>
          <w:szCs w:val="72"/>
          <w14:textFill>
            <w14:solidFill>
              <w14:schemeClr w14:val="tx1"/>
            </w14:solidFill>
          </w14:textFill>
        </w:rPr>
      </w:pPr>
    </w:p>
    <w:p w14:paraId="5A060DA1">
      <w:pPr>
        <w:adjustRightInd w:val="0"/>
        <w:snapToGrid w:val="0"/>
        <w:spacing w:line="240" w:lineRule="auto"/>
        <w:ind w:firstLine="0" w:firstLineChars="0"/>
        <w:jc w:val="center"/>
        <w:textAlignment w:val="auto"/>
        <w:outlineLvl w:val="0"/>
        <w:rPr>
          <w:rFonts w:ascii="方正小标宋_GBK" w:eastAsia="方正小标宋_GBK" w:cs="Times New Roman"/>
          <w:bCs/>
          <w:color w:val="000000" w:themeColor="text1"/>
          <w:sz w:val="72"/>
          <w:szCs w:val="72"/>
          <w14:textFill>
            <w14:solidFill>
              <w14:schemeClr w14:val="tx1"/>
            </w14:solidFill>
          </w14:textFill>
        </w:rPr>
      </w:pPr>
    </w:p>
    <w:p w14:paraId="3545BD8E">
      <w:pPr>
        <w:adjustRightInd w:val="0"/>
        <w:snapToGrid w:val="0"/>
        <w:spacing w:line="240" w:lineRule="auto"/>
        <w:ind w:firstLine="0" w:firstLineChars="0"/>
        <w:jc w:val="center"/>
        <w:textAlignment w:val="auto"/>
        <w:outlineLvl w:val="0"/>
        <w:rPr>
          <w:rFonts w:ascii="宋体" w:hAnsi="宋体" w:cs="Times New Roman"/>
          <w:bCs/>
          <w:color w:val="000000" w:themeColor="text1"/>
          <w:sz w:val="72"/>
          <w:szCs w:val="72"/>
          <w14:textFill>
            <w14:solidFill>
              <w14:schemeClr w14:val="tx1"/>
            </w14:solidFill>
          </w14:textFill>
        </w:rPr>
      </w:pPr>
      <w:r>
        <w:rPr>
          <w:rFonts w:hint="eastAsia" w:ascii="宋体" w:hAnsi="宋体" w:cs="Times New Roman"/>
          <w:bCs/>
          <w:color w:val="000000" w:themeColor="text1"/>
          <w:sz w:val="72"/>
          <w:szCs w:val="72"/>
          <w14:textFill>
            <w14:solidFill>
              <w14:schemeClr w14:val="tx1"/>
            </w14:solidFill>
          </w14:textFill>
        </w:rPr>
        <w:t>建设项目环境影响报告表</w:t>
      </w:r>
    </w:p>
    <w:p w14:paraId="4F85CD7F">
      <w:pPr>
        <w:adjustRightInd w:val="0"/>
        <w:snapToGrid w:val="0"/>
        <w:spacing w:before="260" w:beforeLines="80" w:line="240" w:lineRule="auto"/>
        <w:ind w:firstLine="0" w:firstLineChars="0"/>
        <w:jc w:val="center"/>
        <w:textAlignment w:val="auto"/>
        <w:rPr>
          <w:rFonts w:ascii="宋体" w:hAnsi="宋体" w:cs="Times New Roman"/>
          <w:bCs/>
          <w:color w:val="000000" w:themeColor="text1"/>
          <w:sz w:val="48"/>
          <w:szCs w:val="48"/>
          <w14:textFill>
            <w14:solidFill>
              <w14:schemeClr w14:val="tx1"/>
            </w14:solidFill>
          </w14:textFill>
        </w:rPr>
      </w:pPr>
      <w:r>
        <w:rPr>
          <w:rFonts w:hint="eastAsia" w:ascii="宋体" w:hAnsi="宋体" w:cs="Times New Roman"/>
          <w:bCs/>
          <w:color w:val="000000" w:themeColor="text1"/>
          <w:sz w:val="48"/>
          <w:szCs w:val="48"/>
          <w14:textFill>
            <w14:solidFill>
              <w14:schemeClr w14:val="tx1"/>
            </w14:solidFill>
          </w14:textFill>
        </w:rPr>
        <w:t>（污染影响类）</w:t>
      </w:r>
    </w:p>
    <w:p w14:paraId="5B2963F7">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5DECEAF9">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64FF300A">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2CE2EAD1">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18571F15">
      <w:pPr>
        <w:adjustRightInd w:val="0"/>
        <w:ind w:left="2760" w:leftChars="400" w:hanging="1800" w:hangingChars="500"/>
        <w:jc w:val="left"/>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项目名称：</w:t>
      </w:r>
      <w:r>
        <w:rPr>
          <w:rFonts w:hint="eastAsia" w:cs="Times New Roman"/>
          <w:color w:val="000000" w:themeColor="text1"/>
          <w:sz w:val="36"/>
          <w:szCs w:val="36"/>
          <w:u w:val="single"/>
          <w14:textFill>
            <w14:solidFill>
              <w14:schemeClr w14:val="tx1"/>
            </w14:solidFill>
          </w14:textFill>
        </w:rPr>
        <w:t xml:space="preserve">和静环能工业气体有限公司丙烷、丁烷充装站改扩建项目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p>
    <w:p w14:paraId="61502339">
      <w:pPr>
        <w:adjustRightInd w:val="0"/>
        <w:snapToGrid w:val="0"/>
        <w:ind w:firstLine="1038" w:firstLineChars="0"/>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建设单位（盖章）：</w:t>
      </w:r>
      <w:r>
        <w:rPr>
          <w:rFonts w:hint="eastAsia" w:cs="Times New Roman"/>
          <w:color w:val="000000" w:themeColor="text1"/>
          <w:sz w:val="36"/>
          <w:szCs w:val="36"/>
          <w:u w:val="single"/>
          <w14:textFill>
            <w14:solidFill>
              <w14:schemeClr w14:val="tx1"/>
            </w14:solidFill>
          </w14:textFill>
        </w:rPr>
        <w:t>和静环能工业气体有限公司</w:t>
      </w:r>
      <w:r>
        <w:rPr>
          <w:rFonts w:cs="Times New Roman"/>
          <w:color w:val="000000" w:themeColor="text1"/>
          <w:sz w:val="36"/>
          <w:szCs w:val="36"/>
          <w:u w:val="single"/>
          <w14:textFill>
            <w14:solidFill>
              <w14:schemeClr w14:val="tx1"/>
            </w14:solidFill>
          </w14:textFill>
        </w:rPr>
        <w:t xml:space="preserve">   </w:t>
      </w:r>
    </w:p>
    <w:p w14:paraId="5A641D31">
      <w:pPr>
        <w:adjustRightInd w:val="0"/>
        <w:snapToGrid w:val="0"/>
        <w:ind w:firstLine="1038" w:firstLineChars="0"/>
        <w:textAlignment w:val="auto"/>
        <w:rPr>
          <w:rFonts w:ascii="宋体" w:hAnsi="宋体"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编制日期：</w:t>
      </w:r>
      <w:r>
        <w:rPr>
          <w:rFonts w:cs="Times New Roman"/>
          <w:color w:val="000000" w:themeColor="text1"/>
          <w:sz w:val="36"/>
          <w:szCs w:val="36"/>
          <w:u w:val="single"/>
          <w14:textFill>
            <w14:solidFill>
              <w14:schemeClr w14:val="tx1"/>
            </w14:solidFill>
          </w14:textFill>
        </w:rPr>
        <w:t>2025年</w:t>
      </w:r>
      <w:r>
        <w:rPr>
          <w:rFonts w:hint="eastAsia" w:cs="Times New Roman"/>
          <w:color w:val="000000" w:themeColor="text1"/>
          <w:sz w:val="36"/>
          <w:szCs w:val="36"/>
          <w:u w:val="single"/>
          <w14:textFill>
            <w14:solidFill>
              <w14:schemeClr w14:val="tx1"/>
            </w14:solidFill>
          </w14:textFill>
        </w:rPr>
        <w:t>11</w:t>
      </w:r>
      <w:r>
        <w:rPr>
          <w:rFonts w:cs="Times New Roman"/>
          <w:color w:val="000000" w:themeColor="text1"/>
          <w:sz w:val="36"/>
          <w:szCs w:val="36"/>
          <w:u w:val="single"/>
          <w14:textFill>
            <w14:solidFill>
              <w14:schemeClr w14:val="tx1"/>
            </w14:solidFill>
          </w14:textFill>
        </w:rPr>
        <w:t xml:space="preserve">月  </w:t>
      </w:r>
      <w:r>
        <w:rPr>
          <w:rFonts w:ascii="宋体" w:hAnsi="宋体" w:cs="Times New Roman"/>
          <w:color w:val="000000" w:themeColor="text1"/>
          <w:sz w:val="36"/>
          <w:szCs w:val="36"/>
          <w:u w:val="single"/>
          <w14:textFill>
            <w14:solidFill>
              <w14:schemeClr w14:val="tx1"/>
            </w14:solidFill>
          </w14:textFill>
        </w:rPr>
        <w:t xml:space="preserve">                     </w:t>
      </w:r>
    </w:p>
    <w:p w14:paraId="4DC0D8AF">
      <w:pPr>
        <w:adjustRightInd w:val="0"/>
        <w:snapToGrid w:val="0"/>
        <w:spacing w:line="288" w:lineRule="auto"/>
        <w:ind w:firstLine="1040" w:firstLineChars="0"/>
        <w:textAlignment w:val="auto"/>
        <w:rPr>
          <w:rFonts w:ascii="仿宋_GB2312" w:eastAsia="仿宋_GB2312" w:cs="Times New Roman"/>
          <w:color w:val="000000" w:themeColor="text1"/>
          <w:sz w:val="36"/>
          <w:szCs w:val="36"/>
          <w:u w:val="single"/>
          <w14:textFill>
            <w14:solidFill>
              <w14:schemeClr w14:val="tx1"/>
            </w14:solidFill>
          </w14:textFill>
        </w:rPr>
      </w:pPr>
      <w:bookmarkStart w:id="0" w:name="_Hlk57884087"/>
    </w:p>
    <w:p w14:paraId="7A45A363">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5C9A09CB">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1C76A244">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0E3BC54D">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bookmarkEnd w:id="0"/>
    <w:p w14:paraId="260CD019">
      <w:pPr>
        <w:adjustRightInd w:val="0"/>
        <w:snapToGrid w:val="0"/>
        <w:spacing w:line="288" w:lineRule="auto"/>
        <w:ind w:firstLine="0" w:firstLineChars="0"/>
        <w:jc w:val="center"/>
        <w:textAlignment w:val="auto"/>
        <w:rPr>
          <w:rFonts w:ascii="楷体_GB2312" w:eastAsia="楷体_GB2312" w:cs="Times New Roman"/>
          <w:color w:val="000000" w:themeColor="text1"/>
          <w:sz w:val="36"/>
          <w:szCs w:val="36"/>
          <w14:textFill>
            <w14:solidFill>
              <w14:schemeClr w14:val="tx1"/>
            </w14:solidFill>
          </w14:textFill>
        </w:rPr>
      </w:pPr>
      <w:r>
        <w:rPr>
          <w:rFonts w:hint="eastAsia" w:ascii="楷体_GB2312" w:eastAsia="楷体_GB2312" w:cs="Times New Roman"/>
          <w:color w:val="000000" w:themeColor="text1"/>
          <w:sz w:val="36"/>
          <w:szCs w:val="36"/>
          <w14:textFill>
            <w14:solidFill>
              <w14:schemeClr w14:val="tx1"/>
            </w14:solidFill>
          </w14:textFill>
        </w:rPr>
        <w:t>中华人民共和国生态环境部制</w:t>
      </w:r>
    </w:p>
    <w:p w14:paraId="5498209A">
      <w:pPr>
        <w:adjustRightInd w:val="0"/>
        <w:snapToGrid w:val="0"/>
        <w:spacing w:line="288" w:lineRule="auto"/>
        <w:ind w:firstLine="0" w:firstLineChars="0"/>
        <w:jc w:val="center"/>
        <w:textAlignment w:val="auto"/>
        <w:rPr>
          <w:rFonts w:ascii="楷体_GB2312" w:eastAsia="楷体_GB2312" w:cs="Times New Roman"/>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26" w:charSpace="0"/>
        </w:sectPr>
      </w:pPr>
    </w:p>
    <w:p w14:paraId="6B27A5C2">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一、建设项目基本情况</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51"/>
        <w:gridCol w:w="1691"/>
        <w:gridCol w:w="1863"/>
        <w:gridCol w:w="1730"/>
        <w:gridCol w:w="3266"/>
      </w:tblGrid>
      <w:tr w14:paraId="3CCD0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6B0F004E">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建设项目名称</w:t>
            </w:r>
          </w:p>
        </w:tc>
        <w:tc>
          <w:tcPr>
            <w:tcW w:w="3768" w:type="pct"/>
            <w:gridSpan w:val="3"/>
            <w:vAlign w:val="center"/>
          </w:tcPr>
          <w:p w14:paraId="398BA1DA">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和静环能工业气体有限公司丙烷、丁烷充装站改扩建项目</w:t>
            </w:r>
          </w:p>
        </w:tc>
      </w:tr>
      <w:tr w14:paraId="05CE6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20E7D88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项目代码</w:t>
            </w:r>
          </w:p>
        </w:tc>
        <w:tc>
          <w:tcPr>
            <w:tcW w:w="3768" w:type="pct"/>
            <w:gridSpan w:val="3"/>
            <w:vAlign w:val="center"/>
          </w:tcPr>
          <w:p w14:paraId="796A807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13A7D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59755A78">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建设单位联系人</w:t>
            </w:r>
          </w:p>
        </w:tc>
        <w:tc>
          <w:tcPr>
            <w:tcW w:w="1024" w:type="pct"/>
            <w:vAlign w:val="center"/>
          </w:tcPr>
          <w:p w14:paraId="061C8A5C">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950" w:type="pct"/>
            <w:vAlign w:val="center"/>
          </w:tcPr>
          <w:p w14:paraId="0FF499F5">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794" w:type="pct"/>
            <w:vAlign w:val="center"/>
          </w:tcPr>
          <w:p w14:paraId="35C2F7C3">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037AB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27FD58B6">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建设地点</w:t>
            </w:r>
          </w:p>
        </w:tc>
        <w:tc>
          <w:tcPr>
            <w:tcW w:w="3768" w:type="pct"/>
            <w:gridSpan w:val="3"/>
            <w:vAlign w:val="center"/>
          </w:tcPr>
          <w:p w14:paraId="3D410C1E">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2CF78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15F5E28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地理坐标</w:t>
            </w:r>
          </w:p>
        </w:tc>
        <w:tc>
          <w:tcPr>
            <w:tcW w:w="3768" w:type="pct"/>
            <w:gridSpan w:val="3"/>
            <w:vAlign w:val="center"/>
          </w:tcPr>
          <w:p w14:paraId="14FF9B5A">
            <w:pPr>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3CB1B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2E9FC39B">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国民经济</w:t>
            </w:r>
          </w:p>
          <w:p w14:paraId="421FD6C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p>
        </w:tc>
        <w:tc>
          <w:tcPr>
            <w:tcW w:w="1024" w:type="pct"/>
            <w:vAlign w:val="center"/>
          </w:tcPr>
          <w:p w14:paraId="4B7CE882">
            <w:pPr>
              <w:adjustRightInd w:val="0"/>
              <w:snapToGrid w:val="0"/>
              <w:spacing w:line="240" w:lineRule="auto"/>
              <w:ind w:firstLine="0" w:firstLineChars="0"/>
              <w:textAlignment w:val="auto"/>
              <w:rPr>
                <w:snapToGrid w:val="0"/>
              </w:rPr>
            </w:pPr>
            <w:r>
              <w:rPr>
                <w:rFonts w:hint="eastAsia"/>
                <w:snapToGrid w:val="0"/>
              </w:rPr>
              <w:t xml:space="preserve">C2619其他基础化学原料制造 </w:t>
            </w:r>
          </w:p>
          <w:p w14:paraId="5A7F05A7">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snapToGrid w:val="0"/>
              </w:rPr>
              <w:t>G5942</w:t>
            </w:r>
            <w:r>
              <w:rPr>
                <w:rFonts w:hint="eastAsia"/>
                <w:snapToGrid w:val="0"/>
              </w:rPr>
              <w:t>危险化学品仓储</w:t>
            </w:r>
          </w:p>
        </w:tc>
        <w:tc>
          <w:tcPr>
            <w:tcW w:w="950" w:type="pct"/>
            <w:vAlign w:val="center"/>
          </w:tcPr>
          <w:p w14:paraId="5608B973">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1" w:name="_Hlk49843745"/>
            <w:r>
              <w:rPr>
                <w:rFonts w:cs="Times New Roman"/>
                <w:color w:val="000000" w:themeColor="text1"/>
                <w:szCs w:val="24"/>
                <w14:textFill>
                  <w14:solidFill>
                    <w14:schemeClr w14:val="tx1"/>
                  </w14:solidFill>
                </w14:textFill>
              </w:rPr>
              <w:t>建设项目</w:t>
            </w:r>
          </w:p>
          <w:p w14:paraId="27BF4C3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bookmarkEnd w:id="1"/>
          </w:p>
        </w:tc>
        <w:tc>
          <w:tcPr>
            <w:tcW w:w="1794" w:type="pct"/>
            <w:vAlign w:val="center"/>
          </w:tcPr>
          <w:p w14:paraId="70DABE5A">
            <w:pPr>
              <w:adjustRightInd w:val="0"/>
              <w:snapToGrid w:val="0"/>
              <w:spacing w:line="240" w:lineRule="auto"/>
              <w:ind w:firstLine="0" w:firstLineChars="0"/>
              <w:textAlignment w:val="auto"/>
              <w:rPr>
                <w:snapToGrid w:val="0"/>
              </w:rPr>
            </w:pPr>
            <w:bookmarkStart w:id="2" w:name="OLE_LINK9"/>
            <w:r>
              <w:rPr>
                <w:rFonts w:hint="eastAsia"/>
                <w:snapToGrid w:val="0"/>
              </w:rPr>
              <w:t>二十三、化学原料和化学制品制造业—44基础化学原料制造—单纯物理分离、物理提纯、混合、分装的（不产生废水或挥发性有机物的除外）</w:t>
            </w:r>
            <w:bookmarkEnd w:id="2"/>
            <w:r>
              <w:rPr>
                <w:rFonts w:hint="eastAsia"/>
                <w:snapToGrid w:val="0"/>
              </w:rPr>
              <w:t>；</w:t>
            </w:r>
          </w:p>
          <w:p w14:paraId="12C578A3">
            <w:pPr>
              <w:adjustRightInd w:val="0"/>
              <w:snapToGrid w:val="0"/>
              <w:spacing w:line="240" w:lineRule="auto"/>
              <w:ind w:firstLine="0" w:firstLineChars="0"/>
              <w:textAlignment w:val="auto"/>
              <w:rPr>
                <w:snapToGrid w:val="0"/>
              </w:rPr>
            </w:pPr>
            <w:r>
              <w:rPr>
                <w:rFonts w:hint="eastAsia"/>
                <w:snapToGrid w:val="0"/>
              </w:rPr>
              <w:t>五十三、装卸搬运和仓储业—</w:t>
            </w:r>
            <w:r>
              <w:rPr>
                <w:snapToGrid w:val="0"/>
              </w:rPr>
              <w:t>149</w:t>
            </w:r>
            <w:r>
              <w:rPr>
                <w:rFonts w:hint="eastAsia"/>
                <w:snapToGrid w:val="0"/>
              </w:rPr>
              <w:t>、危险品仓储</w:t>
            </w:r>
            <w:r>
              <w:rPr>
                <w:snapToGrid w:val="0"/>
              </w:rPr>
              <w:t>594</w:t>
            </w:r>
            <w:r>
              <w:rPr>
                <w:rFonts w:hint="eastAsia"/>
                <w:snapToGrid w:val="0"/>
              </w:rPr>
              <w:t>—其他（含有毒、有害、危险品的仓储；含液化天然气库）；</w:t>
            </w:r>
          </w:p>
        </w:tc>
      </w:tr>
      <w:tr w14:paraId="58A72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087D362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建设性质</w:t>
            </w:r>
          </w:p>
        </w:tc>
        <w:tc>
          <w:tcPr>
            <w:tcW w:w="1024" w:type="pct"/>
            <w:vAlign w:val="center"/>
          </w:tcPr>
          <w:p w14:paraId="46946218">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新建（迁建）</w:t>
            </w:r>
          </w:p>
          <w:p w14:paraId="45841553">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改建</w:t>
            </w:r>
          </w:p>
          <w:p w14:paraId="7732EC7D">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扩建</w:t>
            </w:r>
          </w:p>
          <w:p w14:paraId="77A7615B">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技术改造</w:t>
            </w:r>
          </w:p>
        </w:tc>
        <w:tc>
          <w:tcPr>
            <w:tcW w:w="950" w:type="pct"/>
            <w:vAlign w:val="center"/>
          </w:tcPr>
          <w:p w14:paraId="6B4EDA4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w:t>
            </w:r>
          </w:p>
          <w:p w14:paraId="4B18466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申报情形</w:t>
            </w:r>
          </w:p>
        </w:tc>
        <w:tc>
          <w:tcPr>
            <w:tcW w:w="1794" w:type="pct"/>
            <w:vAlign w:val="center"/>
          </w:tcPr>
          <w:p w14:paraId="7D52E12B">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首次申报项目</w:t>
            </w:r>
          </w:p>
          <w:p w14:paraId="6F952E72">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不予批准后再次申报项目</w:t>
            </w:r>
          </w:p>
          <w:p w14:paraId="4923C71F">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超五年重新审核项目</w:t>
            </w:r>
          </w:p>
          <w:p w14:paraId="7C9AC5E7">
            <w:pPr>
              <w:spacing w:line="240" w:lineRule="auto"/>
              <w:ind w:firstLine="0" w:firstLineChars="0"/>
              <w:jc w:val="left"/>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重大变动重新报批项目</w:t>
            </w:r>
          </w:p>
        </w:tc>
      </w:tr>
      <w:tr w14:paraId="70CB0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1E914390">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14:paraId="45D9B27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备案）部门（选填）</w:t>
            </w:r>
          </w:p>
        </w:tc>
        <w:tc>
          <w:tcPr>
            <w:tcW w:w="1024" w:type="pct"/>
            <w:vAlign w:val="center"/>
          </w:tcPr>
          <w:p w14:paraId="4BA17B0B">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和静县商务和工业信息化局</w:t>
            </w:r>
          </w:p>
        </w:tc>
        <w:tc>
          <w:tcPr>
            <w:tcW w:w="950" w:type="pct"/>
            <w:vAlign w:val="center"/>
          </w:tcPr>
          <w:p w14:paraId="0CFA24B9">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14:paraId="735F8AD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备案）文号（选填）</w:t>
            </w:r>
          </w:p>
        </w:tc>
        <w:tc>
          <w:tcPr>
            <w:tcW w:w="1794" w:type="pct"/>
            <w:vAlign w:val="center"/>
          </w:tcPr>
          <w:p w14:paraId="335F79A9">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静商工发</w:t>
            </w:r>
            <w:r>
              <w:rPr>
                <w:rFonts w:hint="eastAsia"/>
                <w:color w:val="000000"/>
              </w:rPr>
              <w:t>〔20</w:t>
            </w:r>
            <w:r>
              <w:rPr>
                <w:color w:val="000000"/>
              </w:rPr>
              <w:t>24</w:t>
            </w:r>
            <w:r>
              <w:rPr>
                <w:rFonts w:hint="eastAsia"/>
                <w:color w:val="000000"/>
              </w:rPr>
              <w:t>〕9</w:t>
            </w:r>
            <w:r>
              <w:rPr>
                <w:color w:val="000000"/>
              </w:rPr>
              <w:t>4</w:t>
            </w:r>
            <w:r>
              <w:rPr>
                <w:rFonts w:hint="eastAsia"/>
                <w:color w:val="000000"/>
              </w:rPr>
              <w:t>号</w:t>
            </w:r>
          </w:p>
        </w:tc>
      </w:tr>
      <w:tr w14:paraId="1FBA8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3860D256">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总投资（万元）</w:t>
            </w:r>
          </w:p>
        </w:tc>
        <w:tc>
          <w:tcPr>
            <w:tcW w:w="1024" w:type="pct"/>
            <w:vAlign w:val="center"/>
          </w:tcPr>
          <w:p w14:paraId="757204AE">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500</w:t>
            </w:r>
          </w:p>
        </w:tc>
        <w:tc>
          <w:tcPr>
            <w:tcW w:w="950" w:type="pct"/>
            <w:tcMar>
              <w:top w:w="16" w:type="dxa"/>
              <w:left w:w="16" w:type="dxa"/>
              <w:right w:w="16" w:type="dxa"/>
            </w:tcMar>
            <w:vAlign w:val="center"/>
          </w:tcPr>
          <w:p w14:paraId="322A8671">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环保投资（万元）</w:t>
            </w:r>
          </w:p>
        </w:tc>
        <w:tc>
          <w:tcPr>
            <w:tcW w:w="1794" w:type="pct"/>
            <w:vAlign w:val="center"/>
          </w:tcPr>
          <w:p w14:paraId="24746103">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29</w:t>
            </w:r>
          </w:p>
        </w:tc>
      </w:tr>
      <w:tr w14:paraId="6C97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50D771D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环保投资占比（%）</w:t>
            </w:r>
          </w:p>
        </w:tc>
        <w:tc>
          <w:tcPr>
            <w:tcW w:w="1024" w:type="pct"/>
            <w:vAlign w:val="center"/>
          </w:tcPr>
          <w:p w14:paraId="743632D8">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5.8</w:t>
            </w:r>
          </w:p>
        </w:tc>
        <w:tc>
          <w:tcPr>
            <w:tcW w:w="950" w:type="pct"/>
            <w:tcMar>
              <w:top w:w="16" w:type="dxa"/>
              <w:left w:w="16" w:type="dxa"/>
              <w:right w:w="16" w:type="dxa"/>
            </w:tcMar>
            <w:vAlign w:val="center"/>
          </w:tcPr>
          <w:p w14:paraId="5E49731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施工工期</w:t>
            </w:r>
          </w:p>
        </w:tc>
        <w:tc>
          <w:tcPr>
            <w:tcW w:w="1794" w:type="pct"/>
            <w:vAlign w:val="center"/>
          </w:tcPr>
          <w:p w14:paraId="42D1257A">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1个月</w:t>
            </w:r>
          </w:p>
        </w:tc>
      </w:tr>
      <w:tr w14:paraId="17131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232" w:type="pct"/>
            <w:gridSpan w:val="2"/>
            <w:tcMar>
              <w:top w:w="16" w:type="dxa"/>
              <w:left w:w="16" w:type="dxa"/>
              <w:right w:w="16" w:type="dxa"/>
            </w:tcMar>
            <w:vAlign w:val="center"/>
          </w:tcPr>
          <w:p w14:paraId="0E937675">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是否开工建设</w:t>
            </w:r>
          </w:p>
        </w:tc>
        <w:tc>
          <w:tcPr>
            <w:tcW w:w="1024" w:type="pct"/>
            <w:vAlign w:val="center"/>
          </w:tcPr>
          <w:p w14:paraId="4A341D20">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00A3"/>
            </w:r>
            <w:r>
              <w:rPr>
                <w:rFonts w:cs="Times New Roman"/>
                <w:color w:val="000000" w:themeColor="text1"/>
                <w:szCs w:val="24"/>
                <w14:textFill>
                  <w14:solidFill>
                    <w14:schemeClr w14:val="tx1"/>
                  </w14:solidFill>
                </w14:textFill>
              </w:rPr>
              <w:t>否</w:t>
            </w:r>
          </w:p>
          <w:p w14:paraId="4C4E3E6C">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0052"/>
            </w:r>
            <w:r>
              <w:rPr>
                <w:rFonts w:cs="Times New Roman"/>
                <w:color w:val="000000" w:themeColor="text1"/>
                <w:szCs w:val="24"/>
                <w14:textFill>
                  <w14:solidFill>
                    <w14:schemeClr w14:val="tx1"/>
                  </w14:solidFill>
                </w14:textFill>
              </w:rPr>
              <w:t>是：</w:t>
            </w:r>
            <w:r>
              <w:rPr>
                <w:rFonts w:cs="Times New Roman"/>
                <w:color w:val="000000" w:themeColor="text1"/>
                <w:szCs w:val="24"/>
                <w:u w:val="single"/>
                <w14:textFill>
                  <w14:solidFill>
                    <w14:schemeClr w14:val="tx1"/>
                  </w14:solidFill>
                </w14:textFill>
              </w:rPr>
              <w:t xml:space="preserve">             </w:t>
            </w:r>
          </w:p>
        </w:tc>
        <w:tc>
          <w:tcPr>
            <w:tcW w:w="950" w:type="pct"/>
            <w:tcMar>
              <w:top w:w="16" w:type="dxa"/>
              <w:left w:w="16" w:type="dxa"/>
              <w:right w:w="16" w:type="dxa"/>
            </w:tcMar>
            <w:vAlign w:val="center"/>
          </w:tcPr>
          <w:p w14:paraId="70BDA15A">
            <w:pPr>
              <w:adjustRightInd w:val="0"/>
              <w:snapToGrid w:val="0"/>
              <w:spacing w:line="240" w:lineRule="auto"/>
              <w:ind w:firstLine="0" w:firstLineChars="0"/>
              <w:jc w:val="center"/>
              <w:textAlignment w:val="auto"/>
              <w:rPr>
                <w:rFonts w:cs="Times New Roman"/>
                <w:color w:val="000000" w:themeColor="text1"/>
                <w:spacing w:val="-6"/>
                <w:szCs w:val="24"/>
                <w14:textFill>
                  <w14:solidFill>
                    <w14:schemeClr w14:val="tx1"/>
                  </w14:solidFill>
                </w14:textFill>
              </w:rPr>
            </w:pPr>
            <w:r>
              <w:rPr>
                <w:rFonts w:cs="Times New Roman"/>
                <w:color w:val="000000" w:themeColor="text1"/>
                <w:spacing w:val="-6"/>
                <w:szCs w:val="24"/>
                <w14:textFill>
                  <w14:solidFill>
                    <w14:schemeClr w14:val="tx1"/>
                  </w14:solidFill>
                </w14:textFill>
              </w:rPr>
              <w:t>用地（用海）</w:t>
            </w:r>
          </w:p>
          <w:p w14:paraId="35E3FE05">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pacing w:val="-6"/>
                <w:szCs w:val="24"/>
                <w14:textFill>
                  <w14:solidFill>
                    <w14:schemeClr w14:val="tx1"/>
                  </w14:solidFill>
                </w14:textFill>
              </w:rPr>
              <w:t>面积（m</w:t>
            </w:r>
            <w:r>
              <w:rPr>
                <w:rFonts w:cs="Times New Roman"/>
                <w:color w:val="000000" w:themeColor="text1"/>
                <w:spacing w:val="-6"/>
                <w:szCs w:val="24"/>
                <w:vertAlign w:val="superscript"/>
                <w14:textFill>
                  <w14:solidFill>
                    <w14:schemeClr w14:val="tx1"/>
                  </w14:solidFill>
                </w14:textFill>
              </w:rPr>
              <w:t>2</w:t>
            </w:r>
            <w:r>
              <w:rPr>
                <w:rFonts w:cs="Times New Roman"/>
                <w:color w:val="000000" w:themeColor="text1"/>
                <w:spacing w:val="-6"/>
                <w:szCs w:val="24"/>
                <w14:textFill>
                  <w14:solidFill>
                    <w14:schemeClr w14:val="tx1"/>
                  </w14:solidFill>
                </w14:textFill>
              </w:rPr>
              <w:t>）</w:t>
            </w:r>
          </w:p>
        </w:tc>
        <w:tc>
          <w:tcPr>
            <w:tcW w:w="1794" w:type="pct"/>
            <w:vAlign w:val="center"/>
          </w:tcPr>
          <w:p w14:paraId="0694D74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0</w:t>
            </w:r>
          </w:p>
        </w:tc>
      </w:tr>
      <w:tr w14:paraId="48E11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2" w:type="pct"/>
            <w:gridSpan w:val="2"/>
            <w:vAlign w:val="center"/>
          </w:tcPr>
          <w:p w14:paraId="5160DC06">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专项评价设置情况</w:t>
            </w:r>
          </w:p>
        </w:tc>
        <w:tc>
          <w:tcPr>
            <w:tcW w:w="3768" w:type="pct"/>
            <w:gridSpan w:val="3"/>
            <w:vAlign w:val="center"/>
          </w:tcPr>
          <w:p w14:paraId="0C1D37D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环境风险影响专项评价：</w:t>
            </w:r>
          </w:p>
          <w:p w14:paraId="087D458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试行）》中环境风险专项评价设置原则，有毒有害和易燃易爆危险物质存储量超过临界量的建设项目需开展环境风险专项评价。丙烷、丁烷属于易燃易爆危险物质，对照《建设项目环境风险评价技术导则》（HJ169-2018）附录B中的风险物质临界量，本项目涉及的主要风险物质为丙烷和丁烷。丙烷最大储存量为18.36t，临界量为10t；丁烷最大储存量为20.84t，临界量为10t。因储存量超过临界量，本项目需设置环境风险专项评价。</w:t>
            </w:r>
          </w:p>
        </w:tc>
      </w:tr>
      <w:tr w14:paraId="1F24A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2" w:type="pct"/>
            <w:gridSpan w:val="2"/>
            <w:vAlign w:val="center"/>
          </w:tcPr>
          <w:p w14:paraId="7F494E59">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规划情况</w:t>
            </w:r>
          </w:p>
        </w:tc>
        <w:tc>
          <w:tcPr>
            <w:tcW w:w="3768" w:type="pct"/>
            <w:gridSpan w:val="3"/>
            <w:vAlign w:val="center"/>
          </w:tcPr>
          <w:p w14:paraId="3A4FB6CD">
            <w:pPr>
              <w:ind w:firstLine="480"/>
              <w:rPr>
                <w:color w:val="000000" w:themeColor="text1"/>
                <w14:textFill>
                  <w14:solidFill>
                    <w14:schemeClr w14:val="tx1"/>
                  </w14:solidFill>
                </w14:textFill>
              </w:rPr>
            </w:pPr>
            <w:bookmarkStart w:id="3" w:name="OLE_LINK6"/>
            <w:r>
              <w:t>《和静县工业园（一园三区）总体规划（20</w:t>
            </w:r>
            <w:r>
              <w:rPr>
                <w:rFonts w:hint="eastAsia"/>
              </w:rPr>
              <w:t>10</w:t>
            </w:r>
            <w:r>
              <w:t>-2030）》，</w:t>
            </w:r>
            <w:r>
              <w:rPr>
                <w:rFonts w:hint="eastAsia"/>
                <w:color w:val="000000"/>
              </w:rPr>
              <w:t>2010年10月28日经新疆维吾尔自治区人民政府批准《关于统一设立和静工业园区的批复》（新政函</w:t>
            </w:r>
            <w:r>
              <w:rPr>
                <w:rFonts w:hint="eastAsia"/>
              </w:rPr>
              <w:t>〔</w:t>
            </w:r>
            <w:r>
              <w:t>2010</w:t>
            </w:r>
            <w:r>
              <w:rPr>
                <w:rFonts w:hint="eastAsia"/>
              </w:rPr>
              <w:t>〕</w:t>
            </w:r>
            <w:r>
              <w:rPr>
                <w:rFonts w:hint="eastAsia"/>
                <w:color w:val="000000"/>
              </w:rPr>
              <w:t>253号）</w:t>
            </w:r>
            <w:bookmarkEnd w:id="3"/>
            <w:r>
              <w:rPr>
                <w:rFonts w:hint="eastAsia"/>
                <w:color w:val="000000"/>
              </w:rPr>
              <w:t>。</w:t>
            </w:r>
          </w:p>
        </w:tc>
      </w:tr>
      <w:tr w14:paraId="28AB1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2" w:type="pct"/>
            <w:gridSpan w:val="2"/>
            <w:vAlign w:val="center"/>
          </w:tcPr>
          <w:p w14:paraId="5BA9D476">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规划环境影响</w:t>
            </w:r>
          </w:p>
          <w:p w14:paraId="1D488E0F">
            <w:pPr>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评价情况</w:t>
            </w:r>
          </w:p>
        </w:tc>
        <w:tc>
          <w:tcPr>
            <w:tcW w:w="3768" w:type="pct"/>
            <w:gridSpan w:val="3"/>
          </w:tcPr>
          <w:p w14:paraId="037E8B1A">
            <w:pPr>
              <w:ind w:firstLine="480"/>
              <w:rPr>
                <w:color w:val="000000" w:themeColor="text1"/>
                <w14:textFill>
                  <w14:solidFill>
                    <w14:schemeClr w14:val="tx1"/>
                  </w14:solidFill>
                </w14:textFill>
              </w:rPr>
            </w:pPr>
            <w:bookmarkStart w:id="4" w:name="OLE_LINK12"/>
            <w:r>
              <w:rPr>
                <w:rFonts w:hint="eastAsia"/>
              </w:rPr>
              <w:t>《和静工业园区总体规划（</w:t>
            </w:r>
            <w:r>
              <w:t>2013-2030</w:t>
            </w:r>
            <w:r>
              <w:rPr>
                <w:rFonts w:hint="eastAsia"/>
              </w:rPr>
              <w:t>）环境影响报告书》，《关于和静工业园区总体规划（</w:t>
            </w:r>
            <w:r>
              <w:t>2013-2030</w:t>
            </w:r>
            <w:r>
              <w:rPr>
                <w:rFonts w:hint="eastAsia"/>
              </w:rPr>
              <w:t>）环境影响报告书的审查意见》（新环函〔</w:t>
            </w:r>
            <w:r>
              <w:t>2016</w:t>
            </w:r>
            <w:r>
              <w:rPr>
                <w:rFonts w:hint="eastAsia"/>
              </w:rPr>
              <w:t>〕</w:t>
            </w:r>
            <w:r>
              <w:t>1323</w:t>
            </w:r>
            <w:r>
              <w:rPr>
                <w:rFonts w:hint="eastAsia"/>
              </w:rPr>
              <w:t>号）</w:t>
            </w:r>
            <w:bookmarkEnd w:id="4"/>
            <w:r>
              <w:rPr>
                <w:rFonts w:hint="eastAsia"/>
                <w:color w:val="000000" w:themeColor="text1"/>
                <w14:textFill>
                  <w14:solidFill>
                    <w14:schemeClr w14:val="tx1"/>
                  </w14:solidFill>
                </w14:textFill>
              </w:rPr>
              <w:t>。</w:t>
            </w:r>
          </w:p>
        </w:tc>
      </w:tr>
      <w:tr w14:paraId="1BDC0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32" w:type="pct"/>
            <w:gridSpan w:val="2"/>
            <w:vAlign w:val="center"/>
          </w:tcPr>
          <w:p w14:paraId="471206C9">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规划及规划环境</w:t>
            </w:r>
          </w:p>
          <w:p w14:paraId="199B261D">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影响评价符合性分析</w:t>
            </w:r>
          </w:p>
        </w:tc>
        <w:tc>
          <w:tcPr>
            <w:tcW w:w="3768" w:type="pct"/>
            <w:gridSpan w:val="3"/>
          </w:tcPr>
          <w:p w14:paraId="7011D8E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和静县工业园区，根据和静县工业园区总体规划（2013-2030）环境影响报告书的评价结论来看，和静县工业园区为：“一园三区”：（一）哈尔莫敦矿业片区、（二）新兴产业片区、（三）额勒再特工业片区等。</w:t>
            </w:r>
          </w:p>
          <w:p w14:paraId="77BA58B3">
            <w:pPr>
              <w:ind w:firstLine="480"/>
              <w:rPr>
                <w:color w:val="000000" w:themeColor="text1"/>
                <w14:textFill>
                  <w14:solidFill>
                    <w14:schemeClr w14:val="tx1"/>
                  </w14:solidFill>
                </w14:textFill>
              </w:rPr>
            </w:pPr>
            <w:r>
              <w:rPr>
                <w:rFonts w:hint="eastAsia"/>
                <w:color w:val="000000"/>
              </w:rPr>
              <w:t>新兴产业片区：</w:t>
            </w:r>
            <w:bookmarkStart w:id="5" w:name="OLE_LINK18"/>
            <w:r>
              <w:rPr>
                <w:rFonts w:hint="eastAsia"/>
                <w:color w:val="000000"/>
              </w:rPr>
              <w:t>以钢铁产业及其下游链中的金属制品业</w:t>
            </w:r>
            <w:bookmarkEnd w:id="5"/>
            <w:r>
              <w:rPr>
                <w:rFonts w:hint="eastAsia"/>
                <w:color w:val="000000"/>
              </w:rPr>
              <w:t>、新型环保建材业为主导产业，融其他相关产业项目及仓储物流服务产业为辅的循环经济产业区</w:t>
            </w:r>
            <w:r>
              <w:rPr>
                <w:rFonts w:hint="eastAsia"/>
                <w:color w:val="000000" w:themeColor="text1"/>
                <w14:textFill>
                  <w14:solidFill>
                    <w14:schemeClr w14:val="tx1"/>
                  </w14:solidFill>
                </w14:textFill>
              </w:rPr>
              <w:t>。</w:t>
            </w:r>
          </w:p>
          <w:p w14:paraId="42E9BBF2">
            <w:pPr>
              <w:ind w:firstLine="480"/>
              <w:rPr>
                <w:rFonts w:cs="Times New Roman"/>
              </w:rPr>
            </w:pPr>
            <w:r>
              <w:rPr>
                <w:rFonts w:hint="eastAsia" w:cs="Times New Roman"/>
              </w:rPr>
              <w:t>本项目属于危险品仓储行业。2022年4月，经县党委和县人民政府研究决定，将新兴产业片区东区（产城融合区）调整至和静工业园区范围内。该项目位于和静工业园区新兴产业片区，和静县人民政府已出具《关于加快推进和静环能工业气体有限公司丙烷、丁烷充装站改扩建项目的承诺函》，承诺将该项目纳入本次园区调区范围，符合调区修编后的最终成果要求，并承诺于2026年12月30日前完成《和静工业园区国土空间专项规划（2024—2035年）》环境影响评价报告书的审查等工作。（详见附件9）</w:t>
            </w:r>
            <w:r>
              <w:rPr>
                <w:rFonts w:cs="Times New Roman"/>
                <w:color w:val="000000"/>
                <w:kern w:val="0"/>
                <w:lang w:bidi="ar"/>
              </w:rPr>
              <w:t>。</w:t>
            </w:r>
          </w:p>
        </w:tc>
      </w:tr>
      <w:tr w14:paraId="1C80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3" w:hRule="atLeast"/>
          <w:jc w:val="center"/>
        </w:trPr>
        <w:tc>
          <w:tcPr>
            <w:tcW w:w="305" w:type="pct"/>
            <w:vAlign w:val="center"/>
          </w:tcPr>
          <w:p w14:paraId="625B2B5F">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其他符合性分析</w:t>
            </w:r>
          </w:p>
        </w:tc>
        <w:tc>
          <w:tcPr>
            <w:tcW w:w="4695" w:type="pct"/>
            <w:gridSpan w:val="4"/>
            <w:vAlign w:val="center"/>
          </w:tcPr>
          <w:p w14:paraId="5E9BCC47">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1、项目产业政策符合性分析</w:t>
            </w:r>
          </w:p>
          <w:p w14:paraId="774BF467">
            <w:pPr>
              <w:ind w:firstLine="480"/>
            </w:pPr>
            <w:r>
              <w:rPr>
                <w:rFonts w:hint="eastAsia"/>
              </w:rPr>
              <w:t>对照国家发展和改革委员会《产业结构调整指导目录》（2024年本），本项目生产的产品、规模、生产设备及生产工艺等未列入鼓励类、限制类和淘汰类，属于允许类；本项目亦不在《市场准入负面清单（2025年版）》中。本项目已于2024年11月19日取得和静县商务和工业信息化局的备案（见附件2），因此，本项目建设符合国家和地方现行产业政策。</w:t>
            </w:r>
          </w:p>
          <w:p w14:paraId="37EC023D">
            <w:pPr>
              <w:pStyle w:val="3"/>
              <w:rPr>
                <w:color w:val="000000" w:themeColor="text1"/>
                <w14:textFill>
                  <w14:solidFill>
                    <w14:schemeClr w14:val="tx1"/>
                  </w14:solidFill>
                </w14:textFill>
              </w:rPr>
            </w:pPr>
            <w:bookmarkStart w:id="6" w:name="_Hlk97287319"/>
            <w:r>
              <w:rPr>
                <w:rFonts w:hint="eastAsia"/>
                <w:color w:val="000000" w:themeColor="text1"/>
                <w14:textFill>
                  <w14:solidFill>
                    <w14:schemeClr w14:val="tx1"/>
                  </w14:solidFill>
                </w14:textFill>
              </w:rPr>
              <w:t>2、选址合理性分析</w:t>
            </w:r>
          </w:p>
          <w:p w14:paraId="741EAA82">
            <w:pPr>
              <w:ind w:firstLine="480"/>
              <w:rPr>
                <w:color w:val="000000" w:themeColor="text1"/>
                <w14:textFill>
                  <w14:solidFill>
                    <w14:schemeClr w14:val="tx1"/>
                  </w14:solidFill>
                </w14:textFill>
              </w:rPr>
            </w:pPr>
            <w:r>
              <w:rPr>
                <w:rFonts w:hint="eastAsia" w:hAnsi="宋体"/>
                <w:color w:val="000000"/>
                <w:szCs w:val="25"/>
              </w:rPr>
              <w:t>项目位于</w:t>
            </w:r>
            <w:r>
              <w:rPr>
                <w:rFonts w:hint="eastAsia"/>
              </w:rPr>
              <w:t>和静工业园区新兴产业区</w:t>
            </w:r>
            <w:r>
              <w:rPr>
                <w:rFonts w:hint="eastAsia" w:hAnsi="宋体"/>
                <w:color w:val="000000"/>
                <w:szCs w:val="25"/>
              </w:rPr>
              <w:t>，厂内水、电、汽、暖、道路等基础设施齐全；项目用地不涉及农业、林业用地，无土地纠纷问题；用地范围内不涉及</w:t>
            </w:r>
            <w:r>
              <w:rPr>
                <w:rFonts w:hAnsi="宋体"/>
                <w:color w:val="000000"/>
                <w:szCs w:val="25"/>
              </w:rPr>
              <w:t>饮用水水源保护区、各类自然保护区、风景名胜</w:t>
            </w:r>
            <w:r>
              <w:rPr>
                <w:color w:val="000000" w:themeColor="text1"/>
                <w14:textFill>
                  <w14:solidFill>
                    <w14:schemeClr w14:val="tx1"/>
                  </w14:solidFill>
                </w14:textFill>
              </w:rPr>
              <w:t>区、生态功能保护区、生态敏感与脆弱区等环境敏感区</w:t>
            </w:r>
            <w:r>
              <w:rPr>
                <w:rFonts w:hint="eastAsia"/>
                <w:color w:val="000000" w:themeColor="text1"/>
                <w14:textFill>
                  <w14:solidFill>
                    <w14:schemeClr w14:val="tx1"/>
                  </w14:solidFill>
                </w14:textFill>
              </w:rPr>
              <w:t>。</w:t>
            </w:r>
          </w:p>
          <w:p w14:paraId="578040F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建设项目现状西侧和南侧为空地，北侧为天山路，东侧为迎风路。</w:t>
            </w:r>
            <w:r>
              <w:rPr>
                <w:color w:val="000000" w:themeColor="text1"/>
                <w14:textFill>
                  <w14:solidFill>
                    <w14:schemeClr w14:val="tx1"/>
                  </w14:solidFill>
                </w14:textFill>
              </w:rPr>
              <w:t>该项目按照环评建议对产生的各项污染物设置合理可行处理设施，并确保达标排放后，对周围敏感目标影响较小。</w:t>
            </w:r>
          </w:p>
          <w:p w14:paraId="6E4890B4">
            <w:pPr>
              <w:ind w:firstLine="480"/>
            </w:pPr>
            <w:r>
              <w:rPr>
                <w:rFonts w:hint="eastAsia"/>
              </w:rPr>
              <w:t>其次，项目选址不在“禁批”和“限批”范围内，符合建设项目审批原则要求。综上所述，本项目选址较合理</w:t>
            </w:r>
            <w:r>
              <w:t>。</w:t>
            </w:r>
          </w:p>
          <w:p w14:paraId="70E42ED7">
            <w:pPr>
              <w:pStyle w:val="3"/>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rPr>
              <w:t>生态环境分区管控</w:t>
            </w:r>
            <w:r>
              <w:rPr>
                <w:rFonts w:hint="eastAsia"/>
                <w:color w:val="000000" w:themeColor="text1"/>
                <w14:textFill>
                  <w14:solidFill>
                    <w14:schemeClr w14:val="tx1"/>
                  </w14:solidFill>
                </w14:textFill>
              </w:rPr>
              <w:t>相</w:t>
            </w:r>
            <w:r>
              <w:rPr>
                <w:color w:val="000000" w:themeColor="text1"/>
                <w14:textFill>
                  <w14:solidFill>
                    <w14:schemeClr w14:val="tx1"/>
                  </w14:solidFill>
                </w14:textFill>
              </w:rPr>
              <w:t>符性</w:t>
            </w:r>
            <w:r>
              <w:rPr>
                <w:rFonts w:hint="eastAsia"/>
                <w:color w:val="000000" w:themeColor="text1"/>
                <w14:textFill>
                  <w14:solidFill>
                    <w14:schemeClr w14:val="tx1"/>
                  </w14:solidFill>
                </w14:textFill>
              </w:rPr>
              <w:t>分析</w:t>
            </w:r>
          </w:p>
          <w:p w14:paraId="14E47D27">
            <w:pPr>
              <w:pStyle w:val="7"/>
              <w:ind w:firstLine="480"/>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根据《关于印发〈新疆维吾尔自治区生态环境分区管控动态更新成果〉的通知》（新环环评发〔2024〕157号），对本项目与“生态环境分区管控”要求的符合性进行分析。</w:t>
            </w:r>
          </w:p>
          <w:p w14:paraId="1BA3A212">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1-1  </w:t>
            </w:r>
            <w:r>
              <w:rPr>
                <w:rFonts w:hint="eastAsia" w:cs="Times New Roman"/>
                <w:b/>
                <w:kern w:val="0"/>
                <w:sz w:val="21"/>
                <w:szCs w:val="20"/>
              </w:rPr>
              <w:t>本项目与新疆维吾尔自治区生态环境分区管控符合性分析一览表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4"/>
              <w:gridCol w:w="350"/>
              <w:gridCol w:w="358"/>
              <w:gridCol w:w="4135"/>
              <w:gridCol w:w="2223"/>
              <w:gridCol w:w="702"/>
            </w:tblGrid>
            <w:tr w14:paraId="28416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1" w:type="pct"/>
                  <w:vAlign w:val="center"/>
                </w:tcPr>
                <w:p w14:paraId="6F8D46E8">
                  <w:pPr>
                    <w:spacing w:line="240" w:lineRule="auto"/>
                    <w:ind w:firstLine="0" w:firstLineChars="0"/>
                    <w:contextualSpacing/>
                    <w:jc w:val="center"/>
                    <w:rPr>
                      <w:rFonts w:cs="Times New Roman"/>
                      <w:sz w:val="21"/>
                      <w:szCs w:val="21"/>
                    </w:rPr>
                  </w:pPr>
                  <w:r>
                    <w:rPr>
                      <w:rFonts w:hint="eastAsia" w:cs="Times New Roman"/>
                      <w:sz w:val="21"/>
                      <w:szCs w:val="21"/>
                    </w:rPr>
                    <w:t>名称</w:t>
                  </w:r>
                </w:p>
              </w:tc>
              <w:tc>
                <w:tcPr>
                  <w:tcW w:w="2917" w:type="pct"/>
                  <w:gridSpan w:val="3"/>
                  <w:vAlign w:val="center"/>
                </w:tcPr>
                <w:p w14:paraId="19E61F3B">
                  <w:pPr>
                    <w:spacing w:line="240" w:lineRule="auto"/>
                    <w:ind w:firstLine="0" w:firstLineChars="0"/>
                    <w:contextualSpacing/>
                    <w:jc w:val="center"/>
                    <w:rPr>
                      <w:rFonts w:cs="Times New Roman"/>
                      <w:sz w:val="21"/>
                      <w:szCs w:val="21"/>
                    </w:rPr>
                  </w:pPr>
                  <w:r>
                    <w:rPr>
                      <w:rFonts w:hint="eastAsia" w:cs="Times New Roman"/>
                      <w:sz w:val="21"/>
                      <w:szCs w:val="21"/>
                    </w:rPr>
                    <w:t>文件要求</w:t>
                  </w:r>
                </w:p>
              </w:tc>
              <w:tc>
                <w:tcPr>
                  <w:tcW w:w="1339" w:type="pct"/>
                  <w:vAlign w:val="center"/>
                </w:tcPr>
                <w:p w14:paraId="2C48D21B">
                  <w:pPr>
                    <w:spacing w:line="240" w:lineRule="auto"/>
                    <w:ind w:firstLine="0" w:firstLineChars="0"/>
                    <w:contextualSpacing/>
                    <w:jc w:val="center"/>
                    <w:rPr>
                      <w:rFonts w:cs="Times New Roman"/>
                      <w:sz w:val="21"/>
                      <w:szCs w:val="21"/>
                    </w:rPr>
                  </w:pPr>
                  <w:r>
                    <w:rPr>
                      <w:rFonts w:hint="eastAsia" w:cs="Times New Roman"/>
                      <w:sz w:val="21"/>
                      <w:szCs w:val="21"/>
                    </w:rPr>
                    <w:t>本项目</w:t>
                  </w:r>
                </w:p>
              </w:tc>
              <w:tc>
                <w:tcPr>
                  <w:tcW w:w="423" w:type="pct"/>
                  <w:vAlign w:val="center"/>
                </w:tcPr>
                <w:p w14:paraId="00B12E14">
                  <w:pPr>
                    <w:spacing w:line="240" w:lineRule="auto"/>
                    <w:ind w:firstLine="0" w:firstLineChars="0"/>
                    <w:contextualSpacing/>
                    <w:jc w:val="center"/>
                    <w:rPr>
                      <w:rFonts w:cs="Times New Roman"/>
                      <w:sz w:val="21"/>
                      <w:szCs w:val="21"/>
                    </w:rPr>
                  </w:pPr>
                  <w:r>
                    <w:rPr>
                      <w:rFonts w:hint="eastAsia" w:cs="Times New Roman"/>
                      <w:sz w:val="21"/>
                      <w:szCs w:val="21"/>
                    </w:rPr>
                    <w:t>符合性</w:t>
                  </w:r>
                </w:p>
              </w:tc>
            </w:tr>
            <w:tr w14:paraId="1547B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restart"/>
                  <w:vAlign w:val="center"/>
                </w:tcPr>
                <w:p w14:paraId="7033D481">
                  <w:pPr>
                    <w:spacing w:line="240" w:lineRule="auto"/>
                    <w:ind w:firstLine="0" w:firstLineChars="0"/>
                    <w:contextualSpacing/>
                    <w:jc w:val="center"/>
                    <w:rPr>
                      <w:rFonts w:cs="Times New Roman"/>
                      <w:sz w:val="21"/>
                      <w:szCs w:val="21"/>
                    </w:rPr>
                  </w:pPr>
                  <w:r>
                    <w:rPr>
                      <w:rFonts w:hint="eastAsia" w:cs="Times New Roman"/>
                      <w:sz w:val="21"/>
                      <w:szCs w:val="21"/>
                    </w:rPr>
                    <w:t>《新疆维吾尔自治区生态环境分区管控方案》</w:t>
                  </w:r>
                </w:p>
              </w:tc>
              <w:tc>
                <w:tcPr>
                  <w:tcW w:w="427" w:type="pct"/>
                  <w:gridSpan w:val="2"/>
                  <w:vAlign w:val="center"/>
                </w:tcPr>
                <w:p w14:paraId="0F6C5117">
                  <w:pPr>
                    <w:spacing w:line="240" w:lineRule="auto"/>
                    <w:ind w:firstLine="0" w:firstLineChars="0"/>
                    <w:contextualSpacing/>
                    <w:jc w:val="center"/>
                    <w:rPr>
                      <w:rFonts w:cs="Times New Roman"/>
                      <w:sz w:val="21"/>
                      <w:szCs w:val="21"/>
                    </w:rPr>
                  </w:pPr>
                  <w:r>
                    <w:rPr>
                      <w:rFonts w:hint="eastAsia" w:cs="Times New Roman"/>
                      <w:sz w:val="21"/>
                      <w:szCs w:val="21"/>
                    </w:rPr>
                    <w:t>生态保护红线</w:t>
                  </w:r>
                </w:p>
              </w:tc>
              <w:tc>
                <w:tcPr>
                  <w:tcW w:w="2490" w:type="pct"/>
                  <w:vAlign w:val="center"/>
                </w:tcPr>
                <w:p w14:paraId="496F90BC">
                  <w:pPr>
                    <w:spacing w:line="240" w:lineRule="auto"/>
                    <w:ind w:firstLine="0" w:firstLineChars="0"/>
                    <w:contextualSpacing/>
                    <w:jc w:val="center"/>
                    <w:rPr>
                      <w:rFonts w:cs="Times New Roman"/>
                      <w:sz w:val="21"/>
                      <w:szCs w:val="21"/>
                    </w:rPr>
                  </w:pPr>
                  <w:r>
                    <w:rPr>
                      <w:rFonts w:hint="eastAsia" w:cs="Times New Roman"/>
                      <w:sz w:val="21"/>
                      <w:szCs w:val="21"/>
                    </w:rPr>
                    <w:t>按照“生态功能不降低、面积不减少、性质不改变”的基本要求，对划定的生态保护红线实施严格管控，保障和维护国家生态安全的底线和生命线</w:t>
                  </w:r>
                </w:p>
              </w:tc>
              <w:tc>
                <w:tcPr>
                  <w:tcW w:w="1339" w:type="pct"/>
                  <w:vAlign w:val="center"/>
                </w:tcPr>
                <w:p w14:paraId="58104AAC">
                  <w:pPr>
                    <w:spacing w:line="240" w:lineRule="auto"/>
                    <w:ind w:firstLine="0" w:firstLineChars="0"/>
                    <w:contextualSpacing/>
                    <w:jc w:val="center"/>
                    <w:rPr>
                      <w:rFonts w:cs="Times New Roman"/>
                      <w:sz w:val="21"/>
                      <w:szCs w:val="21"/>
                    </w:rPr>
                  </w:pPr>
                  <w:r>
                    <w:rPr>
                      <w:rFonts w:hint="eastAsia" w:cs="Times New Roman"/>
                      <w:sz w:val="21"/>
                      <w:szCs w:val="21"/>
                    </w:rPr>
                    <w:t>本项目不在生态保护红线范围内</w:t>
                  </w:r>
                </w:p>
              </w:tc>
              <w:tc>
                <w:tcPr>
                  <w:tcW w:w="423" w:type="pct"/>
                  <w:vAlign w:val="center"/>
                </w:tcPr>
                <w:p w14:paraId="040D822D">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3F3CC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continue"/>
                  <w:vAlign w:val="center"/>
                </w:tcPr>
                <w:p w14:paraId="7C075342">
                  <w:pPr>
                    <w:spacing w:line="240" w:lineRule="auto"/>
                    <w:ind w:firstLine="0" w:firstLineChars="0"/>
                    <w:contextualSpacing/>
                    <w:jc w:val="center"/>
                    <w:rPr>
                      <w:rFonts w:cs="Times New Roman"/>
                      <w:sz w:val="21"/>
                      <w:szCs w:val="21"/>
                    </w:rPr>
                  </w:pPr>
                </w:p>
              </w:tc>
              <w:tc>
                <w:tcPr>
                  <w:tcW w:w="427" w:type="pct"/>
                  <w:gridSpan w:val="2"/>
                  <w:vAlign w:val="center"/>
                </w:tcPr>
                <w:p w14:paraId="4011FED1">
                  <w:pPr>
                    <w:spacing w:line="240" w:lineRule="auto"/>
                    <w:ind w:firstLine="0" w:firstLineChars="0"/>
                    <w:contextualSpacing/>
                    <w:jc w:val="center"/>
                    <w:rPr>
                      <w:rFonts w:cs="Times New Roman"/>
                      <w:sz w:val="21"/>
                      <w:szCs w:val="21"/>
                    </w:rPr>
                  </w:pPr>
                  <w:r>
                    <w:rPr>
                      <w:rFonts w:hint="eastAsia" w:cs="Times New Roman"/>
                      <w:sz w:val="21"/>
                      <w:szCs w:val="21"/>
                    </w:rPr>
                    <w:t>环境质量底线</w:t>
                  </w:r>
                </w:p>
              </w:tc>
              <w:tc>
                <w:tcPr>
                  <w:tcW w:w="2490" w:type="pct"/>
                  <w:vAlign w:val="center"/>
                </w:tcPr>
                <w:p w14:paraId="0D696AE0">
                  <w:pPr>
                    <w:spacing w:line="240" w:lineRule="auto"/>
                    <w:ind w:firstLine="0" w:firstLineChars="0"/>
                    <w:contextualSpacing/>
                    <w:jc w:val="center"/>
                    <w:rPr>
                      <w:rFonts w:cs="Times New Roman"/>
                      <w:sz w:val="21"/>
                      <w:szCs w:val="21"/>
                    </w:rPr>
                  </w:pPr>
                  <w:r>
                    <w:rPr>
                      <w:rFonts w:hint="eastAsia" w:cs="Times New Roman"/>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339" w:type="pct"/>
                  <w:vAlign w:val="center"/>
                </w:tcPr>
                <w:p w14:paraId="2035C9C6">
                  <w:pPr>
                    <w:spacing w:line="240" w:lineRule="auto"/>
                    <w:ind w:firstLine="0" w:firstLineChars="0"/>
                    <w:contextualSpacing/>
                    <w:jc w:val="center"/>
                    <w:rPr>
                      <w:rFonts w:cs="Times New Roman"/>
                      <w:sz w:val="21"/>
                      <w:szCs w:val="21"/>
                    </w:rPr>
                  </w:pPr>
                  <w:r>
                    <w:rPr>
                      <w:rFonts w:hint="eastAsia"/>
                      <w:sz w:val="21"/>
                    </w:rPr>
                    <w:t>本项目为丙烷丁烷充装项目，主要涉及丙烷和丁烷的储存和充装。丙烷和丁烷属于易燃易爆气体，但其本身不属于有毒有害气体。在正常操作条件下，项目不涉及有毒有害气体排放</w:t>
                  </w:r>
                  <w:r>
                    <w:rPr>
                      <w:rFonts w:hint="eastAsia" w:ascii="宋体" w:hAnsi="宋体" w:cs="宋体"/>
                      <w:color w:val="000000"/>
                      <w:sz w:val="21"/>
                      <w:szCs w:val="21"/>
                    </w:rPr>
                    <w:t>，不会对区域大气环境、水环境、土壤环境产生影响</w:t>
                  </w:r>
                </w:p>
              </w:tc>
              <w:tc>
                <w:tcPr>
                  <w:tcW w:w="423" w:type="pct"/>
                  <w:vAlign w:val="center"/>
                </w:tcPr>
                <w:p w14:paraId="4A8A85D3">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4D95C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continue"/>
                  <w:vAlign w:val="center"/>
                </w:tcPr>
                <w:p w14:paraId="18E2A5C5">
                  <w:pPr>
                    <w:spacing w:line="240" w:lineRule="auto"/>
                    <w:ind w:firstLine="0" w:firstLineChars="0"/>
                    <w:contextualSpacing/>
                    <w:jc w:val="center"/>
                    <w:rPr>
                      <w:rFonts w:cs="Times New Roman"/>
                      <w:sz w:val="21"/>
                      <w:szCs w:val="21"/>
                    </w:rPr>
                  </w:pPr>
                </w:p>
              </w:tc>
              <w:tc>
                <w:tcPr>
                  <w:tcW w:w="427" w:type="pct"/>
                  <w:gridSpan w:val="2"/>
                  <w:vAlign w:val="center"/>
                </w:tcPr>
                <w:p w14:paraId="49FE2C11">
                  <w:pPr>
                    <w:spacing w:line="240" w:lineRule="auto"/>
                    <w:ind w:firstLine="0" w:firstLineChars="0"/>
                    <w:contextualSpacing/>
                    <w:jc w:val="center"/>
                    <w:rPr>
                      <w:rFonts w:cs="Times New Roman"/>
                      <w:sz w:val="21"/>
                      <w:szCs w:val="21"/>
                    </w:rPr>
                  </w:pPr>
                  <w:r>
                    <w:rPr>
                      <w:rFonts w:hint="eastAsia" w:cs="Times New Roman"/>
                      <w:sz w:val="21"/>
                      <w:szCs w:val="21"/>
                    </w:rPr>
                    <w:t>资源利用上线</w:t>
                  </w:r>
                </w:p>
              </w:tc>
              <w:tc>
                <w:tcPr>
                  <w:tcW w:w="2490" w:type="pct"/>
                  <w:vAlign w:val="center"/>
                </w:tcPr>
                <w:p w14:paraId="36ED562D">
                  <w:pPr>
                    <w:spacing w:line="240" w:lineRule="auto"/>
                    <w:ind w:firstLine="0" w:firstLineChars="0"/>
                    <w:contextualSpacing/>
                    <w:jc w:val="center"/>
                    <w:rPr>
                      <w:rFonts w:cs="Times New Roman"/>
                      <w:sz w:val="21"/>
                      <w:szCs w:val="21"/>
                    </w:rPr>
                  </w:pPr>
                  <w:r>
                    <w:rPr>
                      <w:rFonts w:hint="eastAsia" w:cs="Times New Roman"/>
                      <w:sz w:val="21"/>
                      <w:szCs w:val="21"/>
                    </w:rPr>
                    <w:t>强化节约集约利用，持续提升资源能源利用效率，水资源、土地资源、能源消耗等达到国家、自治区下达的总量和强度控制目标</w:t>
                  </w:r>
                </w:p>
              </w:tc>
              <w:tc>
                <w:tcPr>
                  <w:tcW w:w="1339" w:type="pct"/>
                  <w:vAlign w:val="center"/>
                </w:tcPr>
                <w:p w14:paraId="4A0FD98F">
                  <w:pPr>
                    <w:spacing w:line="240" w:lineRule="auto"/>
                    <w:ind w:firstLine="0" w:firstLineChars="0"/>
                    <w:contextualSpacing/>
                    <w:jc w:val="center"/>
                    <w:rPr>
                      <w:rFonts w:cs="Times New Roman"/>
                      <w:sz w:val="21"/>
                      <w:szCs w:val="21"/>
                    </w:rPr>
                  </w:pPr>
                  <w:r>
                    <w:rPr>
                      <w:rFonts w:hint="eastAsia" w:cs="Times New Roman"/>
                      <w:sz w:val="21"/>
                      <w:szCs w:val="21"/>
                    </w:rPr>
                    <w:t>本项目主要利用资源为生产、生活用水及生产用电，本项目用水量及耗电量较小，占地面积较小，对区域水资源、土地资源、能源消耗较小，不会超过资源利用上线</w:t>
                  </w:r>
                </w:p>
              </w:tc>
              <w:tc>
                <w:tcPr>
                  <w:tcW w:w="423" w:type="pct"/>
                  <w:vAlign w:val="center"/>
                </w:tcPr>
                <w:p w14:paraId="5D1A1B4A">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180B6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321" w:type="pct"/>
                  <w:vMerge w:val="continue"/>
                  <w:vAlign w:val="center"/>
                </w:tcPr>
                <w:p w14:paraId="05CC03AA">
                  <w:pPr>
                    <w:spacing w:line="240" w:lineRule="auto"/>
                    <w:ind w:firstLine="0" w:firstLineChars="0"/>
                    <w:contextualSpacing/>
                    <w:jc w:val="center"/>
                    <w:rPr>
                      <w:rFonts w:cs="Times New Roman"/>
                      <w:sz w:val="21"/>
                      <w:szCs w:val="21"/>
                    </w:rPr>
                  </w:pPr>
                </w:p>
              </w:tc>
              <w:tc>
                <w:tcPr>
                  <w:tcW w:w="211" w:type="pct"/>
                  <w:vAlign w:val="center"/>
                </w:tcPr>
                <w:p w14:paraId="7EB5577D">
                  <w:pPr>
                    <w:spacing w:line="240" w:lineRule="auto"/>
                    <w:ind w:firstLine="0" w:firstLineChars="0"/>
                    <w:contextualSpacing/>
                    <w:jc w:val="center"/>
                    <w:rPr>
                      <w:rFonts w:cs="Times New Roman"/>
                      <w:sz w:val="21"/>
                      <w:szCs w:val="21"/>
                    </w:rPr>
                  </w:pPr>
                  <w:r>
                    <w:rPr>
                      <w:rFonts w:hint="eastAsia" w:cs="Times New Roman"/>
                      <w:sz w:val="21"/>
                      <w:szCs w:val="21"/>
                    </w:rPr>
                    <w:t>环境管控单元</w:t>
                  </w:r>
                </w:p>
              </w:tc>
              <w:tc>
                <w:tcPr>
                  <w:tcW w:w="216" w:type="pct"/>
                  <w:vAlign w:val="center"/>
                </w:tcPr>
                <w:p w14:paraId="0DEA423C">
                  <w:pPr>
                    <w:spacing w:line="240" w:lineRule="auto"/>
                    <w:ind w:firstLine="0" w:firstLineChars="0"/>
                    <w:contextualSpacing/>
                    <w:jc w:val="center"/>
                    <w:rPr>
                      <w:rFonts w:cs="Times New Roman"/>
                      <w:sz w:val="21"/>
                      <w:szCs w:val="21"/>
                    </w:rPr>
                  </w:pPr>
                  <w:r>
                    <w:rPr>
                      <w:rFonts w:cs="Times New Roman"/>
                      <w:sz w:val="21"/>
                      <w:szCs w:val="21"/>
                    </w:rPr>
                    <w:t>本项目属于重点管控单元</w:t>
                  </w:r>
                </w:p>
              </w:tc>
              <w:tc>
                <w:tcPr>
                  <w:tcW w:w="2490" w:type="pct"/>
                  <w:vAlign w:val="center"/>
                </w:tcPr>
                <w:p w14:paraId="6EFBB9F5">
                  <w:pPr>
                    <w:spacing w:line="240" w:lineRule="auto"/>
                    <w:ind w:firstLine="0" w:firstLineChars="0"/>
                    <w:contextualSpacing/>
                    <w:jc w:val="center"/>
                    <w:rPr>
                      <w:rFonts w:cs="Times New Roman"/>
                      <w:sz w:val="21"/>
                      <w:szCs w:val="21"/>
                    </w:rPr>
                  </w:pPr>
                  <w:r>
                    <w:rPr>
                      <w:rFonts w:hint="eastAsia" w:cs="Times New Roman"/>
                      <w:sz w:val="21"/>
                      <w:szCs w:val="21"/>
                    </w:rPr>
                    <w:t>自治区划定环境管控单元，分为优先保护单元、重点管控单元和一般管控单元三类，实施分类管控。重点管控单元主要针对环境质量是否达标以及经济社会发展水平等因素，制定差别化的生态环境准入要求，对环境质量不达标区域，提出污染物削减比例要求，对环境质量达标区域，提出允许排放量建议指标</w:t>
                  </w:r>
                </w:p>
              </w:tc>
              <w:tc>
                <w:tcPr>
                  <w:tcW w:w="1339" w:type="pct"/>
                  <w:vAlign w:val="center"/>
                </w:tcPr>
                <w:p w14:paraId="4A19D4C1">
                  <w:pPr>
                    <w:spacing w:line="240" w:lineRule="auto"/>
                    <w:ind w:firstLine="0" w:firstLineChars="0"/>
                    <w:contextualSpacing/>
                    <w:jc w:val="center"/>
                    <w:rPr>
                      <w:rFonts w:cs="Times New Roman"/>
                      <w:sz w:val="21"/>
                      <w:szCs w:val="21"/>
                    </w:rPr>
                  </w:pPr>
                  <w:r>
                    <w:rPr>
                      <w:rFonts w:hint="eastAsia" w:cs="Times New Roman"/>
                      <w:sz w:val="21"/>
                      <w:szCs w:val="21"/>
                    </w:rPr>
                    <w:t>本工程实施后通过采取完善的污染治理措施，不会对厂区周围大气环境、地表水环境、声环境、地下水、土壤环境产生明显影响</w:t>
                  </w:r>
                </w:p>
              </w:tc>
              <w:tc>
                <w:tcPr>
                  <w:tcW w:w="423" w:type="pct"/>
                  <w:vAlign w:val="center"/>
                </w:tcPr>
                <w:p w14:paraId="5C03C78E">
                  <w:pPr>
                    <w:spacing w:line="240" w:lineRule="auto"/>
                    <w:ind w:firstLine="0" w:firstLineChars="0"/>
                    <w:contextualSpacing/>
                    <w:jc w:val="center"/>
                    <w:rPr>
                      <w:rFonts w:cs="Times New Roman"/>
                      <w:sz w:val="21"/>
                      <w:szCs w:val="21"/>
                    </w:rPr>
                  </w:pPr>
                  <w:r>
                    <w:rPr>
                      <w:rFonts w:hint="eastAsia" w:cs="Times New Roman"/>
                      <w:sz w:val="21"/>
                      <w:szCs w:val="21"/>
                    </w:rPr>
                    <w:t>符合</w:t>
                  </w:r>
                </w:p>
              </w:tc>
            </w:tr>
          </w:tbl>
          <w:p w14:paraId="092604F4">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1-2  </w:t>
            </w:r>
            <w:r>
              <w:rPr>
                <w:rFonts w:hint="eastAsia" w:cs="Times New Roman"/>
                <w:b/>
                <w:kern w:val="0"/>
                <w:sz w:val="21"/>
                <w:szCs w:val="20"/>
              </w:rPr>
              <w:t xml:space="preserve"> 本项目与新疆维吾尔自治区重点环境管控单元分类管控要求符合性分析一览表</w:t>
            </w:r>
          </w:p>
          <w:tbl>
            <w:tblPr>
              <w:tblStyle w:val="25"/>
              <w:tblW w:w="8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54"/>
              <w:gridCol w:w="555"/>
              <w:gridCol w:w="4548"/>
              <w:gridCol w:w="2241"/>
              <w:gridCol w:w="514"/>
            </w:tblGrid>
            <w:tr w14:paraId="56280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3" w:type="pct"/>
                  <w:vMerge w:val="restart"/>
                  <w:tcBorders>
                    <w:top w:val="single" w:color="auto" w:sz="12" w:space="0"/>
                    <w:left w:val="single" w:color="auto" w:sz="12" w:space="0"/>
                    <w:bottom w:val="single" w:color="auto" w:sz="8" w:space="0"/>
                    <w:right w:val="single" w:color="auto" w:sz="4" w:space="0"/>
                  </w:tcBorders>
                  <w:vAlign w:val="center"/>
                </w:tcPr>
                <w:p w14:paraId="1298C6E1">
                  <w:pPr>
                    <w:autoSpaceDE w:val="0"/>
                    <w:autoSpaceDN w:val="0"/>
                    <w:spacing w:line="240" w:lineRule="atLeast"/>
                    <w:ind w:firstLine="0" w:firstLineChars="0"/>
                    <w:jc w:val="center"/>
                    <w:rPr>
                      <w:rFonts w:cs="Times New Roman"/>
                      <w:sz w:val="21"/>
                      <w:szCs w:val="21"/>
                    </w:rPr>
                  </w:pPr>
                  <w:r>
                    <w:rPr>
                      <w:rFonts w:cs="Times New Roman"/>
                      <w:sz w:val="21"/>
                      <w:szCs w:val="21"/>
                    </w:rPr>
                    <w:t>A6</w:t>
                  </w:r>
                </w:p>
                <w:p w14:paraId="0A126F19">
                  <w:pPr>
                    <w:autoSpaceDE w:val="0"/>
                    <w:autoSpaceDN w:val="0"/>
                    <w:spacing w:line="240" w:lineRule="atLeast"/>
                    <w:ind w:firstLine="0" w:firstLineChars="0"/>
                    <w:jc w:val="center"/>
                    <w:rPr>
                      <w:rFonts w:cs="Times New Roman"/>
                      <w:sz w:val="21"/>
                      <w:szCs w:val="21"/>
                    </w:rPr>
                  </w:pPr>
                  <w:r>
                    <w:rPr>
                      <w:rFonts w:hint="eastAsia" w:cs="Times New Roman"/>
                      <w:sz w:val="21"/>
                      <w:szCs w:val="21"/>
                    </w:rPr>
                    <w:t>重点</w:t>
                  </w:r>
                </w:p>
                <w:p w14:paraId="003CBEE5">
                  <w:pPr>
                    <w:autoSpaceDE w:val="0"/>
                    <w:autoSpaceDN w:val="0"/>
                    <w:spacing w:line="240" w:lineRule="atLeast"/>
                    <w:ind w:firstLine="0" w:firstLineChars="0"/>
                    <w:jc w:val="center"/>
                    <w:rPr>
                      <w:rFonts w:cs="Times New Roman"/>
                      <w:sz w:val="21"/>
                      <w:szCs w:val="21"/>
                    </w:rPr>
                  </w:pPr>
                  <w:r>
                    <w:rPr>
                      <w:rFonts w:hint="eastAsia" w:cs="Times New Roman"/>
                      <w:sz w:val="21"/>
                      <w:szCs w:val="21"/>
                    </w:rPr>
                    <w:t>管控</w:t>
                  </w:r>
                </w:p>
                <w:p w14:paraId="3573FC22">
                  <w:pPr>
                    <w:autoSpaceDE w:val="0"/>
                    <w:autoSpaceDN w:val="0"/>
                    <w:spacing w:line="240" w:lineRule="atLeast"/>
                    <w:ind w:firstLine="0" w:firstLineChars="0"/>
                    <w:jc w:val="center"/>
                    <w:rPr>
                      <w:rFonts w:cs="Times New Roman"/>
                      <w:sz w:val="21"/>
                      <w:szCs w:val="21"/>
                    </w:rPr>
                  </w:pPr>
                  <w:r>
                    <w:rPr>
                      <w:rFonts w:hint="eastAsia" w:cs="Times New Roman"/>
                      <w:sz w:val="21"/>
                      <w:szCs w:val="21"/>
                    </w:rPr>
                    <w:t>单元</w:t>
                  </w:r>
                </w:p>
              </w:tc>
              <w:tc>
                <w:tcPr>
                  <w:tcW w:w="3069" w:type="pct"/>
                  <w:gridSpan w:val="2"/>
                  <w:tcBorders>
                    <w:top w:val="single" w:color="auto" w:sz="12" w:space="0"/>
                    <w:left w:val="single" w:color="auto" w:sz="4" w:space="0"/>
                    <w:bottom w:val="single" w:color="auto" w:sz="4" w:space="0"/>
                    <w:right w:val="single" w:color="auto" w:sz="4" w:space="0"/>
                  </w:tcBorders>
                  <w:vAlign w:val="center"/>
                </w:tcPr>
                <w:p w14:paraId="3D9C6CE2">
                  <w:pPr>
                    <w:autoSpaceDE w:val="0"/>
                    <w:autoSpaceDN w:val="0"/>
                    <w:spacing w:line="240" w:lineRule="atLeast"/>
                    <w:ind w:firstLine="0" w:firstLineChars="0"/>
                    <w:jc w:val="center"/>
                    <w:rPr>
                      <w:rFonts w:cs="Times New Roman"/>
                      <w:sz w:val="21"/>
                      <w:szCs w:val="21"/>
                    </w:rPr>
                  </w:pPr>
                  <w:r>
                    <w:rPr>
                      <w:rFonts w:cs="Times New Roman"/>
                      <w:sz w:val="21"/>
                      <w:szCs w:val="21"/>
                    </w:rPr>
                    <w:t>管控要求</w:t>
                  </w:r>
                </w:p>
              </w:tc>
              <w:tc>
                <w:tcPr>
                  <w:tcW w:w="1348" w:type="pct"/>
                  <w:tcBorders>
                    <w:top w:val="single" w:color="auto" w:sz="12" w:space="0"/>
                    <w:left w:val="single" w:color="auto" w:sz="4" w:space="0"/>
                    <w:bottom w:val="single" w:color="auto" w:sz="4" w:space="0"/>
                    <w:right w:val="single" w:color="auto" w:sz="4" w:space="0"/>
                  </w:tcBorders>
                  <w:vAlign w:val="center"/>
                </w:tcPr>
                <w:p w14:paraId="3509FBBC">
                  <w:pPr>
                    <w:autoSpaceDE w:val="0"/>
                    <w:autoSpaceDN w:val="0"/>
                    <w:spacing w:line="240" w:lineRule="atLeast"/>
                    <w:ind w:firstLine="0" w:firstLineChars="0"/>
                    <w:jc w:val="center"/>
                    <w:rPr>
                      <w:rFonts w:cs="Times New Roman"/>
                      <w:sz w:val="21"/>
                      <w:szCs w:val="21"/>
                    </w:rPr>
                  </w:pPr>
                  <w:r>
                    <w:rPr>
                      <w:rFonts w:cs="Times New Roman"/>
                      <w:sz w:val="21"/>
                      <w:szCs w:val="21"/>
                    </w:rPr>
                    <w:t>本项目</w:t>
                  </w:r>
                </w:p>
              </w:tc>
              <w:tc>
                <w:tcPr>
                  <w:tcW w:w="309" w:type="pct"/>
                  <w:tcBorders>
                    <w:top w:val="single" w:color="auto" w:sz="12" w:space="0"/>
                    <w:left w:val="single" w:color="auto" w:sz="4" w:space="0"/>
                    <w:bottom w:val="single" w:color="auto" w:sz="4" w:space="0"/>
                    <w:right w:val="single" w:color="auto" w:sz="12" w:space="0"/>
                  </w:tcBorders>
                  <w:vAlign w:val="center"/>
                </w:tcPr>
                <w:p w14:paraId="5B0B28C5">
                  <w:pPr>
                    <w:autoSpaceDE w:val="0"/>
                    <w:autoSpaceDN w:val="0"/>
                    <w:spacing w:line="240" w:lineRule="atLeast"/>
                    <w:ind w:firstLine="0" w:firstLineChars="0"/>
                    <w:jc w:val="center"/>
                    <w:rPr>
                      <w:rFonts w:cs="Times New Roman"/>
                      <w:sz w:val="21"/>
                      <w:szCs w:val="21"/>
                    </w:rPr>
                  </w:pPr>
                  <w:r>
                    <w:rPr>
                      <w:rFonts w:cs="Times New Roman"/>
                      <w:sz w:val="21"/>
                      <w:szCs w:val="21"/>
                    </w:rPr>
                    <w:t>符合性</w:t>
                  </w:r>
                </w:p>
              </w:tc>
            </w:tr>
            <w:tr w14:paraId="27379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5896DC65">
                  <w:pPr>
                    <w:widowControl/>
                    <w:spacing w:line="240" w:lineRule="atLeast"/>
                    <w:ind w:firstLine="0" w:firstLineChars="0"/>
                    <w:jc w:val="center"/>
                    <w:rPr>
                      <w:rFonts w:cs="Times New Roman"/>
                      <w:sz w:val="21"/>
                      <w:szCs w:val="21"/>
                    </w:rPr>
                  </w:pPr>
                </w:p>
              </w:tc>
              <w:tc>
                <w:tcPr>
                  <w:tcW w:w="334" w:type="pct"/>
                  <w:vMerge w:val="restart"/>
                  <w:tcBorders>
                    <w:top w:val="single" w:color="auto" w:sz="4" w:space="0"/>
                    <w:left w:val="single" w:color="auto" w:sz="4" w:space="0"/>
                    <w:bottom w:val="single" w:color="auto" w:sz="4" w:space="0"/>
                    <w:right w:val="single" w:color="auto" w:sz="4" w:space="0"/>
                  </w:tcBorders>
                  <w:vAlign w:val="center"/>
                </w:tcPr>
                <w:p w14:paraId="2E91EBD4">
                  <w:pPr>
                    <w:autoSpaceDE w:val="0"/>
                    <w:autoSpaceDN w:val="0"/>
                    <w:spacing w:line="240" w:lineRule="atLeast"/>
                    <w:ind w:firstLine="0" w:firstLineChars="0"/>
                    <w:jc w:val="center"/>
                    <w:rPr>
                      <w:rFonts w:cs="Times New Roman"/>
                      <w:sz w:val="21"/>
                      <w:szCs w:val="21"/>
                    </w:rPr>
                  </w:pPr>
                  <w:r>
                    <w:rPr>
                      <w:rFonts w:hint="eastAsia" w:cs="Times New Roman"/>
                      <w:sz w:val="21"/>
                      <w:szCs w:val="21"/>
                    </w:rPr>
                    <w:t>A6.1空间布局约束</w:t>
                  </w:r>
                </w:p>
              </w:tc>
              <w:tc>
                <w:tcPr>
                  <w:tcW w:w="2734" w:type="pct"/>
                  <w:tcBorders>
                    <w:top w:val="single" w:color="auto" w:sz="4" w:space="0"/>
                    <w:left w:val="single" w:color="auto" w:sz="4" w:space="0"/>
                    <w:bottom w:val="single" w:color="auto" w:sz="4" w:space="0"/>
                    <w:right w:val="single" w:color="auto" w:sz="4" w:space="0"/>
                  </w:tcBorders>
                  <w:vAlign w:val="center"/>
                </w:tcPr>
                <w:p w14:paraId="2F10F564">
                  <w:pPr>
                    <w:autoSpaceDE w:val="0"/>
                    <w:autoSpaceDN w:val="0"/>
                    <w:spacing w:line="240" w:lineRule="atLeast"/>
                    <w:ind w:firstLine="0" w:firstLineChars="0"/>
                    <w:jc w:val="center"/>
                    <w:rPr>
                      <w:rFonts w:cs="Times New Roman"/>
                      <w:sz w:val="21"/>
                      <w:szCs w:val="21"/>
                    </w:rPr>
                  </w:pPr>
                  <w:r>
                    <w:rPr>
                      <w:rFonts w:cs="Times New Roman"/>
                      <w:sz w:val="21"/>
                      <w:szCs w:val="21"/>
                    </w:rPr>
                    <w:t>【A6.1-1】</w:t>
                  </w:r>
                  <w:r>
                    <w:rPr>
                      <w:rFonts w:hint="eastAsia" w:cs="Times New Roman"/>
                      <w:sz w:val="21"/>
                      <w:szCs w:val="21"/>
                    </w:rPr>
                    <w:t>根据产业集聚区块的功能定位，建立分区差别化的产业准入条件。严格控制重要水系源头地区和重要生态功能区“高污染、高环境风险产品”工业项目准入。优化完善区域产业布局，合理规划布局“高污染、高环境风险产品”工业项目，鼓励对“高污染、高环境风险产品”工业项目进行淘汰和提升改造。合理规划居住区与工业功能区，在居住区和工业区、工业企业之间设置防护绿化隔离带</w:t>
                  </w:r>
                  <w:r>
                    <w:rPr>
                      <w:rFonts w:cs="Times New Roman"/>
                      <w:sz w:val="21"/>
                      <w:szCs w:val="21"/>
                    </w:rPr>
                    <w:t>。</w:t>
                  </w:r>
                </w:p>
              </w:tc>
              <w:tc>
                <w:tcPr>
                  <w:tcW w:w="1348" w:type="pct"/>
                  <w:vMerge w:val="restart"/>
                  <w:tcBorders>
                    <w:top w:val="single" w:color="auto" w:sz="4" w:space="0"/>
                    <w:left w:val="single" w:color="auto" w:sz="4" w:space="0"/>
                    <w:right w:val="single" w:color="auto" w:sz="4" w:space="0"/>
                  </w:tcBorders>
                  <w:vAlign w:val="center"/>
                </w:tcPr>
                <w:p w14:paraId="38A2BAD8">
                  <w:pPr>
                    <w:spacing w:line="240" w:lineRule="atLeast"/>
                    <w:ind w:firstLine="0" w:firstLineChars="0"/>
                    <w:jc w:val="center"/>
                    <w:rPr>
                      <w:rFonts w:cs="Times New Roman"/>
                      <w:sz w:val="21"/>
                      <w:szCs w:val="21"/>
                    </w:rPr>
                  </w:pPr>
                  <w:r>
                    <w:rPr>
                      <w:rFonts w:hint="eastAsia" w:cs="Times New Roman"/>
                      <w:sz w:val="21"/>
                      <w:szCs w:val="21"/>
                    </w:rPr>
                    <w:t>本项目为危险品仓储项目，在空间布局上符合《和静工业园区规划》的产业导向，不属于其限制或禁止进入类项目。尽管项目储存的丙烷、丁烷使其在环境风险评价中被界定为重大风险源，但项目本身不涉及国家和自治区明令禁止或淘汰的工艺，不生产重金属、持久性有机物等有毒有害污染物</w:t>
                  </w:r>
                </w:p>
              </w:tc>
              <w:tc>
                <w:tcPr>
                  <w:tcW w:w="309" w:type="pct"/>
                  <w:vMerge w:val="restart"/>
                  <w:tcBorders>
                    <w:top w:val="single" w:color="auto" w:sz="4" w:space="0"/>
                    <w:left w:val="single" w:color="auto" w:sz="4" w:space="0"/>
                    <w:right w:val="single" w:color="auto" w:sz="12" w:space="0"/>
                  </w:tcBorders>
                  <w:vAlign w:val="center"/>
                </w:tcPr>
                <w:p w14:paraId="55E6CF2D">
                  <w:pPr>
                    <w:autoSpaceDE w:val="0"/>
                    <w:autoSpaceDN w:val="0"/>
                    <w:spacing w:line="240" w:lineRule="atLeast"/>
                    <w:ind w:firstLine="0" w:firstLineChars="0"/>
                    <w:jc w:val="center"/>
                    <w:rPr>
                      <w:rFonts w:cs="Times New Roman"/>
                      <w:sz w:val="21"/>
                      <w:szCs w:val="21"/>
                    </w:rPr>
                  </w:pPr>
                  <w:r>
                    <w:rPr>
                      <w:rFonts w:cs="Times New Roman"/>
                      <w:sz w:val="21"/>
                      <w:szCs w:val="21"/>
                    </w:rPr>
                    <w:t>符合</w:t>
                  </w:r>
                </w:p>
                <w:p w14:paraId="12A6E1F8">
                  <w:pPr>
                    <w:autoSpaceDE w:val="0"/>
                    <w:autoSpaceDN w:val="0"/>
                    <w:spacing w:line="240" w:lineRule="atLeast"/>
                    <w:ind w:firstLine="420"/>
                    <w:jc w:val="center"/>
                    <w:rPr>
                      <w:rFonts w:cs="Times New Roman"/>
                      <w:sz w:val="21"/>
                      <w:szCs w:val="21"/>
                    </w:rPr>
                  </w:pPr>
                </w:p>
              </w:tc>
            </w:tr>
            <w:tr w14:paraId="44F00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1B3A4453">
                  <w:pPr>
                    <w:widowControl/>
                    <w:spacing w:line="240" w:lineRule="atLeast"/>
                    <w:ind w:firstLine="0" w:firstLineChars="0"/>
                    <w:jc w:val="center"/>
                    <w:rPr>
                      <w:rFonts w:cs="Times New Roman"/>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55BF12E">
                  <w:pPr>
                    <w:widowControl/>
                    <w:spacing w:line="240" w:lineRule="atLeast"/>
                    <w:ind w:firstLine="0" w:firstLineChars="0"/>
                    <w:jc w:val="center"/>
                    <w:rPr>
                      <w:rFonts w:cs="Times New Roman"/>
                      <w:sz w:val="21"/>
                      <w:szCs w:val="21"/>
                    </w:rPr>
                  </w:pPr>
                </w:p>
              </w:tc>
              <w:tc>
                <w:tcPr>
                  <w:tcW w:w="2734" w:type="pct"/>
                  <w:tcBorders>
                    <w:top w:val="single" w:color="auto" w:sz="4" w:space="0"/>
                    <w:left w:val="single" w:color="auto" w:sz="4" w:space="0"/>
                    <w:bottom w:val="single" w:color="auto" w:sz="4" w:space="0"/>
                    <w:right w:val="single" w:color="auto" w:sz="4" w:space="0"/>
                  </w:tcBorders>
                  <w:vAlign w:val="center"/>
                </w:tcPr>
                <w:p w14:paraId="5340410F">
                  <w:pPr>
                    <w:autoSpaceDE w:val="0"/>
                    <w:autoSpaceDN w:val="0"/>
                    <w:spacing w:line="240" w:lineRule="atLeast"/>
                    <w:ind w:firstLine="0" w:firstLineChars="0"/>
                    <w:jc w:val="center"/>
                    <w:rPr>
                      <w:rFonts w:cs="Times New Roman"/>
                      <w:sz w:val="21"/>
                      <w:szCs w:val="21"/>
                    </w:rPr>
                  </w:pPr>
                  <w:r>
                    <w:rPr>
                      <w:rFonts w:cs="Times New Roman"/>
                      <w:sz w:val="21"/>
                      <w:szCs w:val="21"/>
                    </w:rPr>
                    <w:t>【A6.1-2】</w:t>
                  </w:r>
                  <w:r>
                    <w:rPr>
                      <w:rFonts w:hint="eastAsia" w:cs="Times New Roman"/>
                      <w:sz w:val="21"/>
                      <w:szCs w:val="21"/>
                    </w:rPr>
                    <w:t>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r>
                    <w:rPr>
                      <w:rFonts w:cs="Times New Roman"/>
                      <w:sz w:val="21"/>
                      <w:szCs w:val="21"/>
                    </w:rPr>
                    <w:t>。</w:t>
                  </w:r>
                </w:p>
              </w:tc>
              <w:tc>
                <w:tcPr>
                  <w:tcW w:w="1348" w:type="pct"/>
                  <w:vMerge w:val="continue"/>
                  <w:tcBorders>
                    <w:left w:val="single" w:color="auto" w:sz="4" w:space="0"/>
                    <w:right w:val="single" w:color="auto" w:sz="4" w:space="0"/>
                  </w:tcBorders>
                  <w:vAlign w:val="center"/>
                </w:tcPr>
                <w:p w14:paraId="630CC400">
                  <w:pPr>
                    <w:spacing w:line="240" w:lineRule="atLeast"/>
                    <w:ind w:firstLine="420"/>
                    <w:jc w:val="center"/>
                    <w:rPr>
                      <w:rFonts w:cs="Times New Roman"/>
                      <w:sz w:val="21"/>
                      <w:szCs w:val="21"/>
                    </w:rPr>
                  </w:pPr>
                </w:p>
              </w:tc>
              <w:tc>
                <w:tcPr>
                  <w:tcW w:w="309" w:type="pct"/>
                  <w:vMerge w:val="continue"/>
                  <w:tcBorders>
                    <w:left w:val="single" w:color="auto" w:sz="4" w:space="0"/>
                    <w:right w:val="single" w:color="auto" w:sz="12" w:space="0"/>
                  </w:tcBorders>
                  <w:vAlign w:val="center"/>
                </w:tcPr>
                <w:p w14:paraId="7BC80EE2">
                  <w:pPr>
                    <w:autoSpaceDE w:val="0"/>
                    <w:autoSpaceDN w:val="0"/>
                    <w:spacing w:line="240" w:lineRule="atLeast"/>
                    <w:ind w:firstLine="420"/>
                    <w:jc w:val="center"/>
                    <w:rPr>
                      <w:rFonts w:cs="Times New Roman"/>
                      <w:sz w:val="21"/>
                      <w:szCs w:val="21"/>
                    </w:rPr>
                  </w:pPr>
                </w:p>
              </w:tc>
            </w:tr>
            <w:tr w14:paraId="32FA1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4661F027">
                  <w:pPr>
                    <w:widowControl/>
                    <w:spacing w:line="240" w:lineRule="atLeast"/>
                    <w:ind w:firstLine="0" w:firstLineChars="0"/>
                    <w:jc w:val="center"/>
                    <w:rPr>
                      <w:rFonts w:cs="Times New Roman"/>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646DBA4">
                  <w:pPr>
                    <w:widowControl/>
                    <w:spacing w:line="240" w:lineRule="atLeast"/>
                    <w:ind w:firstLine="0" w:firstLineChars="0"/>
                    <w:jc w:val="center"/>
                    <w:rPr>
                      <w:rFonts w:cs="Times New Roman"/>
                      <w:sz w:val="21"/>
                      <w:szCs w:val="21"/>
                    </w:rPr>
                  </w:pPr>
                </w:p>
              </w:tc>
              <w:tc>
                <w:tcPr>
                  <w:tcW w:w="2734" w:type="pct"/>
                  <w:tcBorders>
                    <w:top w:val="single" w:color="auto" w:sz="4" w:space="0"/>
                    <w:left w:val="single" w:color="auto" w:sz="4" w:space="0"/>
                    <w:bottom w:val="single" w:color="auto" w:sz="4" w:space="0"/>
                    <w:right w:val="single" w:color="auto" w:sz="4" w:space="0"/>
                  </w:tcBorders>
                  <w:vAlign w:val="center"/>
                </w:tcPr>
                <w:p w14:paraId="5764E364">
                  <w:pPr>
                    <w:autoSpaceDE w:val="0"/>
                    <w:autoSpaceDN w:val="0"/>
                    <w:spacing w:line="240" w:lineRule="atLeast"/>
                    <w:ind w:firstLine="0" w:firstLineChars="0"/>
                    <w:jc w:val="center"/>
                    <w:rPr>
                      <w:rFonts w:cs="Times New Roman"/>
                      <w:sz w:val="21"/>
                      <w:szCs w:val="21"/>
                    </w:rPr>
                  </w:pPr>
                  <w:r>
                    <w:rPr>
                      <w:rFonts w:cs="Times New Roman"/>
                      <w:sz w:val="21"/>
                      <w:szCs w:val="21"/>
                    </w:rPr>
                    <w:t>【A6.1-3】</w:t>
                  </w:r>
                  <w:r>
                    <w:rPr>
                      <w:rFonts w:hint="eastAsia" w:cs="Times New Roman"/>
                      <w:sz w:val="21"/>
                      <w:szCs w:val="21"/>
                    </w:rPr>
                    <w:t>水环境重点管控区内：制定产业准入对污染排放不达标的企业限期整改，确保水污染物达标排放；加快推进生态园区建设和循环化改造，完善污水集中处理设施及再生水回用系统，加强配套管网建设，并确保稳定运行，工业废水必须经预处理达到集中处理要求后，方可进入污水集中处理设施，不断提高污水集中处理中水回用率。加强城镇配套管网建设，提高城镇生活污水出水排放标准，推进城镇生活污水深度治理，提高污水厂脱氮除磷效率。对农业污染重点管控区，推进畜禽养殖禁养区、限养区的划定，限期依法关闭或搬迁禁养区内的畜禽养殖场，对现有规模化畜禽养殖配套建设粪便污水贮存、处理、利用设施，鼓励设施农业循环发展模式，推进养殖废弃物资源化利用。控制化肥农药使用量，推进农膜回收及加工再利用，农药化肥等包装废弃物的安全收集处置设施建设，降低农业污染负荷</w:t>
                  </w:r>
                </w:p>
              </w:tc>
              <w:tc>
                <w:tcPr>
                  <w:tcW w:w="1348" w:type="pct"/>
                  <w:vMerge w:val="continue"/>
                  <w:tcBorders>
                    <w:left w:val="single" w:color="auto" w:sz="4" w:space="0"/>
                    <w:right w:val="single" w:color="auto" w:sz="4" w:space="0"/>
                  </w:tcBorders>
                  <w:vAlign w:val="center"/>
                </w:tcPr>
                <w:p w14:paraId="547451BD">
                  <w:pPr>
                    <w:spacing w:line="240" w:lineRule="atLeast"/>
                    <w:ind w:firstLine="0" w:firstLineChars="0"/>
                    <w:jc w:val="center"/>
                    <w:rPr>
                      <w:rFonts w:cs="Times New Roman"/>
                      <w:sz w:val="21"/>
                      <w:szCs w:val="21"/>
                    </w:rPr>
                  </w:pPr>
                </w:p>
              </w:tc>
              <w:tc>
                <w:tcPr>
                  <w:tcW w:w="309" w:type="pct"/>
                  <w:vMerge w:val="continue"/>
                  <w:tcBorders>
                    <w:left w:val="single" w:color="auto" w:sz="4" w:space="0"/>
                    <w:right w:val="single" w:color="auto" w:sz="12" w:space="0"/>
                  </w:tcBorders>
                  <w:vAlign w:val="center"/>
                </w:tcPr>
                <w:p w14:paraId="0D709468">
                  <w:pPr>
                    <w:autoSpaceDE w:val="0"/>
                    <w:autoSpaceDN w:val="0"/>
                    <w:spacing w:line="240" w:lineRule="atLeast"/>
                    <w:ind w:firstLine="0" w:firstLineChars="0"/>
                    <w:jc w:val="center"/>
                    <w:rPr>
                      <w:rFonts w:cs="Times New Roman"/>
                      <w:sz w:val="21"/>
                      <w:szCs w:val="21"/>
                    </w:rPr>
                  </w:pPr>
                </w:p>
              </w:tc>
            </w:tr>
            <w:tr w14:paraId="03615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405C71CF">
                  <w:pPr>
                    <w:widowControl/>
                    <w:spacing w:line="240" w:lineRule="atLeast"/>
                    <w:ind w:firstLine="0" w:firstLineChars="0"/>
                    <w:jc w:val="center"/>
                    <w:rPr>
                      <w:rFonts w:cs="Times New Roman"/>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586ED50">
                  <w:pPr>
                    <w:widowControl/>
                    <w:spacing w:line="240" w:lineRule="atLeast"/>
                    <w:ind w:firstLine="0" w:firstLineChars="0"/>
                    <w:jc w:val="center"/>
                    <w:rPr>
                      <w:rFonts w:cs="Times New Roman"/>
                      <w:sz w:val="21"/>
                      <w:szCs w:val="21"/>
                    </w:rPr>
                  </w:pPr>
                </w:p>
              </w:tc>
              <w:tc>
                <w:tcPr>
                  <w:tcW w:w="2734" w:type="pct"/>
                  <w:tcBorders>
                    <w:top w:val="single" w:color="auto" w:sz="4" w:space="0"/>
                    <w:left w:val="single" w:color="auto" w:sz="4" w:space="0"/>
                    <w:bottom w:val="single" w:color="auto" w:sz="4" w:space="0"/>
                    <w:right w:val="single" w:color="auto" w:sz="4" w:space="0"/>
                  </w:tcBorders>
                  <w:vAlign w:val="center"/>
                </w:tcPr>
                <w:p w14:paraId="144AEB1C">
                  <w:pPr>
                    <w:autoSpaceDE w:val="0"/>
                    <w:autoSpaceDN w:val="0"/>
                    <w:spacing w:line="240" w:lineRule="atLeast"/>
                    <w:ind w:firstLine="0" w:firstLineChars="0"/>
                    <w:jc w:val="center"/>
                    <w:rPr>
                      <w:rFonts w:cs="Times New Roman"/>
                      <w:sz w:val="21"/>
                      <w:szCs w:val="21"/>
                    </w:rPr>
                  </w:pPr>
                  <w:r>
                    <w:rPr>
                      <w:rFonts w:cs="Times New Roman"/>
                      <w:sz w:val="21"/>
                      <w:szCs w:val="21"/>
                    </w:rPr>
                    <w:t>【A6.1-4】</w:t>
                  </w:r>
                  <w:r>
                    <w:rPr>
                      <w:rFonts w:hint="eastAsia" w:cs="Times New Roman"/>
                      <w:sz w:val="21"/>
                      <w:szCs w:val="21"/>
                    </w:rPr>
                    <w:t>土壤环境重点管控区内：引入新建产业或企业时，应结合产业发展规划，充分考虑企业类型、污染物排放特征以及外环境情况等因素，避免企业形成交叉污染；涉重金属、持久性有机物等有毒有害污染物工业企业退出用地，须经评估、治理，满足后续相应用地土壤环境质量要求</w:t>
                  </w:r>
                  <w:r>
                    <w:rPr>
                      <w:rFonts w:cs="Times New Roman"/>
                      <w:sz w:val="21"/>
                      <w:szCs w:val="21"/>
                    </w:rPr>
                    <w:t>。</w:t>
                  </w:r>
                </w:p>
              </w:tc>
              <w:tc>
                <w:tcPr>
                  <w:tcW w:w="1348" w:type="pct"/>
                  <w:vMerge w:val="continue"/>
                  <w:tcBorders>
                    <w:left w:val="single" w:color="auto" w:sz="4" w:space="0"/>
                    <w:bottom w:val="single" w:color="auto" w:sz="4" w:space="0"/>
                    <w:right w:val="single" w:color="auto" w:sz="4" w:space="0"/>
                  </w:tcBorders>
                  <w:vAlign w:val="center"/>
                </w:tcPr>
                <w:p w14:paraId="192A4ADF">
                  <w:pPr>
                    <w:autoSpaceDE w:val="0"/>
                    <w:autoSpaceDN w:val="0"/>
                    <w:spacing w:line="240" w:lineRule="atLeast"/>
                    <w:ind w:firstLine="0" w:firstLineChars="0"/>
                    <w:jc w:val="center"/>
                    <w:rPr>
                      <w:rFonts w:cs="Times New Roman"/>
                      <w:sz w:val="21"/>
                      <w:szCs w:val="21"/>
                    </w:rPr>
                  </w:pPr>
                </w:p>
              </w:tc>
              <w:tc>
                <w:tcPr>
                  <w:tcW w:w="309" w:type="pct"/>
                  <w:vMerge w:val="continue"/>
                  <w:tcBorders>
                    <w:left w:val="single" w:color="auto" w:sz="4" w:space="0"/>
                    <w:bottom w:val="single" w:color="auto" w:sz="4" w:space="0"/>
                    <w:right w:val="single" w:color="auto" w:sz="12" w:space="0"/>
                  </w:tcBorders>
                  <w:vAlign w:val="center"/>
                </w:tcPr>
                <w:p w14:paraId="0686FB3F">
                  <w:pPr>
                    <w:widowControl/>
                    <w:spacing w:line="240" w:lineRule="atLeast"/>
                    <w:ind w:firstLine="0" w:firstLineChars="0"/>
                    <w:jc w:val="center"/>
                    <w:rPr>
                      <w:rFonts w:cs="Times New Roman"/>
                      <w:sz w:val="21"/>
                      <w:szCs w:val="21"/>
                    </w:rPr>
                  </w:pPr>
                </w:p>
              </w:tc>
            </w:tr>
            <w:tr w14:paraId="1669B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483243AC">
                  <w:pPr>
                    <w:widowControl/>
                    <w:spacing w:line="240" w:lineRule="atLeast"/>
                    <w:ind w:firstLine="0" w:firstLineChars="0"/>
                    <w:jc w:val="center"/>
                    <w:rPr>
                      <w:rFonts w:cs="Times New Roman"/>
                      <w:sz w:val="21"/>
                      <w:szCs w:val="21"/>
                    </w:rPr>
                  </w:pPr>
                </w:p>
              </w:tc>
              <w:tc>
                <w:tcPr>
                  <w:tcW w:w="334" w:type="pct"/>
                  <w:tcBorders>
                    <w:top w:val="single" w:color="auto" w:sz="4" w:space="0"/>
                    <w:left w:val="single" w:color="auto" w:sz="4" w:space="0"/>
                    <w:bottom w:val="single" w:color="auto" w:sz="4" w:space="0"/>
                    <w:right w:val="single" w:color="auto" w:sz="4" w:space="0"/>
                  </w:tcBorders>
                  <w:vAlign w:val="center"/>
                </w:tcPr>
                <w:p w14:paraId="4B5AF7D9">
                  <w:pPr>
                    <w:autoSpaceDE w:val="0"/>
                    <w:autoSpaceDN w:val="0"/>
                    <w:spacing w:line="240" w:lineRule="atLeast"/>
                    <w:ind w:firstLine="0" w:firstLineChars="0"/>
                    <w:jc w:val="center"/>
                    <w:rPr>
                      <w:rFonts w:cs="Times New Roman"/>
                      <w:sz w:val="21"/>
                      <w:szCs w:val="21"/>
                    </w:rPr>
                  </w:pPr>
                  <w:r>
                    <w:rPr>
                      <w:rFonts w:hint="eastAsia" w:cs="Times New Roman"/>
                      <w:sz w:val="21"/>
                      <w:szCs w:val="21"/>
                    </w:rPr>
                    <w:t>A6.2污染物排</w:t>
                  </w:r>
                </w:p>
                <w:p w14:paraId="7BE31BEA">
                  <w:pPr>
                    <w:autoSpaceDE w:val="0"/>
                    <w:autoSpaceDN w:val="0"/>
                    <w:spacing w:line="240" w:lineRule="atLeast"/>
                    <w:ind w:firstLine="0" w:firstLineChars="0"/>
                    <w:jc w:val="center"/>
                    <w:rPr>
                      <w:rFonts w:cs="Times New Roman"/>
                      <w:sz w:val="21"/>
                      <w:szCs w:val="21"/>
                    </w:rPr>
                  </w:pPr>
                  <w:r>
                    <w:rPr>
                      <w:rFonts w:hint="eastAsia" w:cs="Times New Roman"/>
                      <w:sz w:val="21"/>
                      <w:szCs w:val="21"/>
                    </w:rPr>
                    <w:t>放管控</w:t>
                  </w:r>
                </w:p>
              </w:tc>
              <w:tc>
                <w:tcPr>
                  <w:tcW w:w="2734" w:type="pct"/>
                  <w:tcBorders>
                    <w:top w:val="single" w:color="auto" w:sz="4" w:space="0"/>
                    <w:left w:val="single" w:color="auto" w:sz="4" w:space="0"/>
                    <w:bottom w:val="single" w:color="auto" w:sz="4" w:space="0"/>
                    <w:right w:val="single" w:color="auto" w:sz="4" w:space="0"/>
                  </w:tcBorders>
                  <w:vAlign w:val="center"/>
                </w:tcPr>
                <w:p w14:paraId="52B2E947">
                  <w:pPr>
                    <w:widowControl/>
                    <w:spacing w:line="240" w:lineRule="atLeast"/>
                    <w:ind w:firstLine="0" w:firstLineChars="0"/>
                    <w:jc w:val="center"/>
                    <w:rPr>
                      <w:rFonts w:cs="Times New Roman"/>
                      <w:sz w:val="21"/>
                      <w:szCs w:val="21"/>
                    </w:rPr>
                  </w:pPr>
                  <w:r>
                    <w:rPr>
                      <w:rFonts w:hint="eastAsia" w:cs="Times New Roman"/>
                      <w:sz w:val="21"/>
                      <w:szCs w:val="21"/>
                    </w:rPr>
                    <w:t>【A6.2-1】严格实施污染物总量控制制度，根据区域环境质量改善目标，削减污染物排放总量。新建工业项目污染物排放水平要达到同行业国内先进水平。加快落实污水处理厂建设及提升改造，推进工业园区（工业企业）污水处理综合利用设施建设，所有企业实现稳定达标排放。加强土壤和地下水污染防治与修复</w:t>
                  </w:r>
                  <w:r>
                    <w:rPr>
                      <w:rFonts w:cs="Times New Roman"/>
                      <w:sz w:val="21"/>
                      <w:szCs w:val="21"/>
                    </w:rPr>
                    <w:t>。</w:t>
                  </w:r>
                </w:p>
              </w:tc>
              <w:tc>
                <w:tcPr>
                  <w:tcW w:w="1348" w:type="pct"/>
                  <w:tcBorders>
                    <w:top w:val="single" w:color="auto" w:sz="4" w:space="0"/>
                    <w:left w:val="single" w:color="auto" w:sz="4" w:space="0"/>
                    <w:bottom w:val="single" w:color="auto" w:sz="4" w:space="0"/>
                    <w:right w:val="single" w:color="auto" w:sz="4" w:space="0"/>
                  </w:tcBorders>
                  <w:vAlign w:val="center"/>
                </w:tcPr>
                <w:p w14:paraId="34AC19A4">
                  <w:pPr>
                    <w:spacing w:line="240" w:lineRule="atLeast"/>
                    <w:ind w:firstLine="0" w:firstLineChars="0"/>
                    <w:jc w:val="center"/>
                    <w:rPr>
                      <w:rFonts w:cs="Times New Roman"/>
                      <w:sz w:val="21"/>
                      <w:szCs w:val="21"/>
                    </w:rPr>
                  </w:pPr>
                  <w:r>
                    <w:rPr>
                      <w:rFonts w:hint="eastAsia" w:ascii="宋体" w:hAnsi="宋体" w:cs="宋体"/>
                      <w:color w:val="000000"/>
                      <w:sz w:val="21"/>
                      <w:szCs w:val="21"/>
                    </w:rPr>
                    <w:t>本项目产生的污染物较少，在严格落实各项污染治理措施后可实现稳定达标排放</w:t>
                  </w:r>
                  <w:r>
                    <w:rPr>
                      <w:rFonts w:cs="Times New Roman"/>
                      <w:color w:val="000000"/>
                      <w:sz w:val="21"/>
                      <w:szCs w:val="21"/>
                    </w:rPr>
                    <w:t>。</w:t>
                  </w:r>
                  <w:r>
                    <w:rPr>
                      <w:rFonts w:hint="eastAsia" w:cs="Times New Roman"/>
                      <w:color w:val="000000"/>
                      <w:sz w:val="21"/>
                      <w:szCs w:val="21"/>
                    </w:rPr>
                    <w:t>项目不产生涉及总量控制指标的污染物</w:t>
                  </w:r>
                </w:p>
              </w:tc>
              <w:tc>
                <w:tcPr>
                  <w:tcW w:w="309" w:type="pct"/>
                  <w:tcBorders>
                    <w:top w:val="single" w:color="auto" w:sz="4" w:space="0"/>
                    <w:left w:val="single" w:color="auto" w:sz="4" w:space="0"/>
                    <w:bottom w:val="single" w:color="auto" w:sz="4" w:space="0"/>
                    <w:right w:val="single" w:color="auto" w:sz="12" w:space="0"/>
                  </w:tcBorders>
                  <w:vAlign w:val="center"/>
                </w:tcPr>
                <w:p w14:paraId="4960820B">
                  <w:pPr>
                    <w:autoSpaceDE w:val="0"/>
                    <w:autoSpaceDN w:val="0"/>
                    <w:spacing w:line="240" w:lineRule="atLeast"/>
                    <w:ind w:firstLine="0" w:firstLineChars="0"/>
                    <w:jc w:val="center"/>
                    <w:rPr>
                      <w:rFonts w:cs="Times New Roman"/>
                      <w:sz w:val="21"/>
                      <w:szCs w:val="21"/>
                    </w:rPr>
                  </w:pPr>
                  <w:r>
                    <w:rPr>
                      <w:rFonts w:cs="Times New Roman"/>
                      <w:sz w:val="21"/>
                      <w:szCs w:val="21"/>
                    </w:rPr>
                    <w:t>符合</w:t>
                  </w:r>
                </w:p>
              </w:tc>
            </w:tr>
            <w:tr w14:paraId="5ACA6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8" w:space="0"/>
                    <w:right w:val="single" w:color="auto" w:sz="4" w:space="0"/>
                  </w:tcBorders>
                  <w:vAlign w:val="center"/>
                </w:tcPr>
                <w:p w14:paraId="7058E06E">
                  <w:pPr>
                    <w:widowControl/>
                    <w:spacing w:line="240" w:lineRule="atLeast"/>
                    <w:ind w:firstLine="0" w:firstLineChars="0"/>
                    <w:jc w:val="center"/>
                    <w:rPr>
                      <w:rFonts w:cs="Times New Roman"/>
                      <w:sz w:val="21"/>
                      <w:szCs w:val="21"/>
                    </w:rPr>
                  </w:pPr>
                </w:p>
              </w:tc>
              <w:tc>
                <w:tcPr>
                  <w:tcW w:w="334" w:type="pct"/>
                  <w:tcBorders>
                    <w:top w:val="single" w:color="auto" w:sz="4" w:space="0"/>
                    <w:left w:val="single" w:color="auto" w:sz="4" w:space="0"/>
                    <w:bottom w:val="single" w:color="auto" w:sz="4" w:space="0"/>
                    <w:right w:val="single" w:color="auto" w:sz="4" w:space="0"/>
                  </w:tcBorders>
                  <w:vAlign w:val="center"/>
                </w:tcPr>
                <w:p w14:paraId="1CA6CEAE">
                  <w:pPr>
                    <w:autoSpaceDE w:val="0"/>
                    <w:autoSpaceDN w:val="0"/>
                    <w:spacing w:line="240" w:lineRule="atLeast"/>
                    <w:ind w:firstLine="0" w:firstLineChars="0"/>
                    <w:jc w:val="center"/>
                    <w:rPr>
                      <w:rFonts w:cs="Times New Roman"/>
                      <w:sz w:val="21"/>
                      <w:szCs w:val="21"/>
                    </w:rPr>
                  </w:pPr>
                  <w:r>
                    <w:rPr>
                      <w:rFonts w:hint="eastAsia" w:cs="Times New Roman"/>
                      <w:sz w:val="21"/>
                      <w:szCs w:val="21"/>
                    </w:rPr>
                    <w:t>A6.3环境风险</w:t>
                  </w:r>
                </w:p>
                <w:p w14:paraId="4653A048">
                  <w:pPr>
                    <w:autoSpaceDE w:val="0"/>
                    <w:autoSpaceDN w:val="0"/>
                    <w:spacing w:line="240" w:lineRule="atLeast"/>
                    <w:ind w:firstLine="0" w:firstLineChars="0"/>
                    <w:jc w:val="center"/>
                    <w:rPr>
                      <w:rFonts w:cs="Times New Roman"/>
                      <w:sz w:val="21"/>
                      <w:szCs w:val="21"/>
                    </w:rPr>
                  </w:pPr>
                  <w:r>
                    <w:rPr>
                      <w:rFonts w:hint="eastAsia" w:cs="Times New Roman"/>
                      <w:sz w:val="21"/>
                      <w:szCs w:val="21"/>
                    </w:rPr>
                    <w:t>防控</w:t>
                  </w:r>
                </w:p>
              </w:tc>
              <w:tc>
                <w:tcPr>
                  <w:tcW w:w="2734" w:type="pct"/>
                  <w:tcBorders>
                    <w:top w:val="single" w:color="auto" w:sz="4" w:space="0"/>
                    <w:left w:val="single" w:color="auto" w:sz="4" w:space="0"/>
                    <w:bottom w:val="single" w:color="auto" w:sz="4" w:space="0"/>
                    <w:right w:val="single" w:color="auto" w:sz="4" w:space="0"/>
                  </w:tcBorders>
                  <w:vAlign w:val="center"/>
                </w:tcPr>
                <w:p w14:paraId="1138D768">
                  <w:pPr>
                    <w:autoSpaceDE w:val="0"/>
                    <w:autoSpaceDN w:val="0"/>
                    <w:spacing w:line="240" w:lineRule="atLeast"/>
                    <w:ind w:firstLine="0" w:firstLineChars="0"/>
                    <w:jc w:val="center"/>
                    <w:rPr>
                      <w:rFonts w:cs="Times New Roman"/>
                      <w:sz w:val="21"/>
                      <w:szCs w:val="21"/>
                    </w:rPr>
                  </w:pPr>
                  <w:r>
                    <w:rPr>
                      <w:rFonts w:hint="eastAsia" w:cs="Times New Roman"/>
                      <w:sz w:val="21"/>
                      <w:szCs w:val="21"/>
                    </w:rPr>
                    <w:t>【A6.3-1】定期评估邻近环境敏感区的工业企业、工业集聚区环境和健康风险。强化工业集聚区企业环境风险防范设施设备建设和正常运行监管，加强重点环境风险管控企业应急预案制定，建立常态化的企业隐患排查整治监管机制，加强风险防控体系建设</w:t>
                  </w:r>
                  <w:r>
                    <w:rPr>
                      <w:rFonts w:cs="Times New Roman"/>
                      <w:sz w:val="21"/>
                      <w:szCs w:val="21"/>
                    </w:rPr>
                    <w:t>。</w:t>
                  </w:r>
                </w:p>
              </w:tc>
              <w:tc>
                <w:tcPr>
                  <w:tcW w:w="1348" w:type="pct"/>
                  <w:tcBorders>
                    <w:top w:val="single" w:color="auto" w:sz="4" w:space="0"/>
                    <w:left w:val="single" w:color="auto" w:sz="4" w:space="0"/>
                    <w:bottom w:val="single" w:color="auto" w:sz="4" w:space="0"/>
                    <w:right w:val="single" w:color="auto" w:sz="4" w:space="0"/>
                  </w:tcBorders>
                  <w:vAlign w:val="center"/>
                </w:tcPr>
                <w:p w14:paraId="4CAC5DD0">
                  <w:pPr>
                    <w:spacing w:line="240" w:lineRule="atLeast"/>
                    <w:ind w:firstLine="0" w:firstLineChars="0"/>
                    <w:rPr>
                      <w:rFonts w:cs="Times New Roman"/>
                      <w:sz w:val="21"/>
                      <w:szCs w:val="21"/>
                    </w:rPr>
                  </w:pPr>
                  <w:r>
                    <w:rPr>
                      <w:rFonts w:hint="eastAsia" w:cs="Times New Roman"/>
                      <w:sz w:val="21"/>
                      <w:szCs w:val="21"/>
                    </w:rPr>
                    <w:t>本项目在运行过程中应严格按照分区防控措施的相关要求，落实防腐防渗处理，有效降低环境风险</w:t>
                  </w:r>
                </w:p>
              </w:tc>
              <w:tc>
                <w:tcPr>
                  <w:tcW w:w="309" w:type="pct"/>
                  <w:tcBorders>
                    <w:top w:val="single" w:color="auto" w:sz="4" w:space="0"/>
                    <w:left w:val="single" w:color="auto" w:sz="4" w:space="0"/>
                    <w:bottom w:val="single" w:color="auto" w:sz="4" w:space="0"/>
                    <w:right w:val="single" w:color="auto" w:sz="12" w:space="0"/>
                  </w:tcBorders>
                  <w:vAlign w:val="center"/>
                </w:tcPr>
                <w:p w14:paraId="0B97D4C6">
                  <w:pPr>
                    <w:autoSpaceDE w:val="0"/>
                    <w:autoSpaceDN w:val="0"/>
                    <w:spacing w:line="240" w:lineRule="atLeast"/>
                    <w:ind w:firstLine="0" w:firstLineChars="0"/>
                    <w:jc w:val="center"/>
                    <w:rPr>
                      <w:rFonts w:cs="Times New Roman"/>
                      <w:sz w:val="21"/>
                      <w:szCs w:val="21"/>
                    </w:rPr>
                  </w:pPr>
                  <w:r>
                    <w:rPr>
                      <w:rFonts w:cs="Times New Roman"/>
                      <w:sz w:val="21"/>
                      <w:szCs w:val="21"/>
                    </w:rPr>
                    <w:t>符合</w:t>
                  </w:r>
                </w:p>
              </w:tc>
            </w:tr>
            <w:tr w14:paraId="2051C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jc w:val="center"/>
              </w:trPr>
              <w:tc>
                <w:tcPr>
                  <w:tcW w:w="273" w:type="pct"/>
                  <w:vMerge w:val="continue"/>
                  <w:tcBorders>
                    <w:top w:val="single" w:color="auto" w:sz="8" w:space="0"/>
                    <w:left w:val="single" w:color="auto" w:sz="12" w:space="0"/>
                    <w:bottom w:val="single" w:color="auto" w:sz="12" w:space="0"/>
                    <w:right w:val="single" w:color="auto" w:sz="4" w:space="0"/>
                  </w:tcBorders>
                  <w:vAlign w:val="center"/>
                </w:tcPr>
                <w:p w14:paraId="22A1CF74">
                  <w:pPr>
                    <w:widowControl/>
                    <w:spacing w:line="240" w:lineRule="atLeast"/>
                    <w:ind w:firstLine="0" w:firstLineChars="0"/>
                    <w:jc w:val="center"/>
                    <w:rPr>
                      <w:rFonts w:cs="Times New Roman"/>
                      <w:sz w:val="21"/>
                      <w:szCs w:val="21"/>
                    </w:rPr>
                  </w:pPr>
                </w:p>
              </w:tc>
              <w:tc>
                <w:tcPr>
                  <w:tcW w:w="334" w:type="pct"/>
                  <w:tcBorders>
                    <w:top w:val="single" w:color="auto" w:sz="4" w:space="0"/>
                    <w:left w:val="single" w:color="auto" w:sz="4" w:space="0"/>
                    <w:bottom w:val="single" w:color="auto" w:sz="12" w:space="0"/>
                    <w:right w:val="single" w:color="auto" w:sz="4" w:space="0"/>
                  </w:tcBorders>
                  <w:vAlign w:val="center"/>
                </w:tcPr>
                <w:p w14:paraId="34A05CD9">
                  <w:pPr>
                    <w:widowControl/>
                    <w:spacing w:line="240" w:lineRule="atLeast"/>
                    <w:ind w:firstLine="0" w:firstLineChars="0"/>
                    <w:jc w:val="center"/>
                    <w:rPr>
                      <w:rFonts w:cs="Times New Roman"/>
                      <w:sz w:val="21"/>
                      <w:szCs w:val="21"/>
                    </w:rPr>
                  </w:pPr>
                  <w:r>
                    <w:rPr>
                      <w:rFonts w:hint="eastAsia" w:cs="Times New Roman"/>
                      <w:sz w:val="21"/>
                      <w:szCs w:val="21"/>
                    </w:rPr>
                    <w:t>A6.4 资源利用</w:t>
                  </w:r>
                </w:p>
                <w:p w14:paraId="0716C428">
                  <w:pPr>
                    <w:widowControl/>
                    <w:spacing w:line="240" w:lineRule="atLeast"/>
                    <w:ind w:firstLine="0" w:firstLineChars="0"/>
                    <w:jc w:val="center"/>
                    <w:rPr>
                      <w:rFonts w:cs="Times New Roman"/>
                      <w:sz w:val="21"/>
                      <w:szCs w:val="21"/>
                    </w:rPr>
                  </w:pPr>
                  <w:r>
                    <w:rPr>
                      <w:rFonts w:hint="eastAsia" w:cs="Times New Roman"/>
                      <w:sz w:val="21"/>
                      <w:szCs w:val="21"/>
                    </w:rPr>
                    <w:t>要求</w:t>
                  </w:r>
                </w:p>
              </w:tc>
              <w:tc>
                <w:tcPr>
                  <w:tcW w:w="2734" w:type="pct"/>
                  <w:tcBorders>
                    <w:top w:val="single" w:color="auto" w:sz="4" w:space="0"/>
                    <w:left w:val="single" w:color="auto" w:sz="4" w:space="0"/>
                    <w:bottom w:val="single" w:color="auto" w:sz="12" w:space="0"/>
                    <w:right w:val="single" w:color="auto" w:sz="4" w:space="0"/>
                  </w:tcBorders>
                  <w:vAlign w:val="center"/>
                </w:tcPr>
                <w:p w14:paraId="0F6FE569">
                  <w:pPr>
                    <w:widowControl/>
                    <w:spacing w:line="240" w:lineRule="atLeast"/>
                    <w:ind w:firstLine="0" w:firstLineChars="0"/>
                    <w:jc w:val="center"/>
                    <w:rPr>
                      <w:rFonts w:cs="Times New Roman"/>
                      <w:sz w:val="21"/>
                      <w:szCs w:val="21"/>
                    </w:rPr>
                  </w:pPr>
                  <w:r>
                    <w:rPr>
                      <w:rFonts w:hint="eastAsia" w:cs="Times New Roman"/>
                      <w:sz w:val="21"/>
                      <w:szCs w:val="21"/>
                    </w:rPr>
                    <w:t>【A6.4-1】推进工业集聚区生态化改造，强化企业清洁生产改造，推进节水型企业、节水型工业园区建设，提高资源能源利用效率</w:t>
                  </w:r>
                  <w:r>
                    <w:rPr>
                      <w:rFonts w:cs="Times New Roman"/>
                      <w:sz w:val="21"/>
                      <w:szCs w:val="21"/>
                    </w:rPr>
                    <w:t>。</w:t>
                  </w:r>
                </w:p>
              </w:tc>
              <w:tc>
                <w:tcPr>
                  <w:tcW w:w="1348" w:type="pct"/>
                  <w:tcBorders>
                    <w:top w:val="single" w:color="auto" w:sz="4" w:space="0"/>
                    <w:left w:val="single" w:color="auto" w:sz="4" w:space="0"/>
                    <w:bottom w:val="single" w:color="auto" w:sz="12" w:space="0"/>
                    <w:right w:val="single" w:color="auto" w:sz="4" w:space="0"/>
                  </w:tcBorders>
                  <w:vAlign w:val="center"/>
                </w:tcPr>
                <w:p w14:paraId="52C0AD6F">
                  <w:pPr>
                    <w:widowControl/>
                    <w:spacing w:line="240" w:lineRule="atLeast"/>
                    <w:ind w:firstLine="0" w:firstLineChars="0"/>
                    <w:jc w:val="center"/>
                    <w:rPr>
                      <w:rFonts w:cs="Times New Roman"/>
                      <w:sz w:val="21"/>
                      <w:szCs w:val="21"/>
                    </w:rPr>
                  </w:pPr>
                  <w:r>
                    <w:rPr>
                      <w:rFonts w:hint="eastAsia" w:cs="Times New Roman"/>
                      <w:sz w:val="21"/>
                      <w:szCs w:val="21"/>
                    </w:rPr>
                    <w:t>项目用水量及耗电量较小，占地面积较小，对区域水资源、土地资源、能源消耗较小</w:t>
                  </w:r>
                </w:p>
              </w:tc>
              <w:tc>
                <w:tcPr>
                  <w:tcW w:w="309" w:type="pct"/>
                  <w:tcBorders>
                    <w:top w:val="single" w:color="auto" w:sz="4" w:space="0"/>
                    <w:left w:val="single" w:color="auto" w:sz="4" w:space="0"/>
                    <w:bottom w:val="single" w:color="auto" w:sz="12" w:space="0"/>
                    <w:right w:val="single" w:color="auto" w:sz="12" w:space="0"/>
                  </w:tcBorders>
                  <w:vAlign w:val="center"/>
                </w:tcPr>
                <w:p w14:paraId="44CA4F52">
                  <w:pPr>
                    <w:widowControl/>
                    <w:spacing w:line="240" w:lineRule="atLeast"/>
                    <w:ind w:firstLine="0" w:firstLineChars="0"/>
                    <w:jc w:val="center"/>
                    <w:rPr>
                      <w:rFonts w:cs="Times New Roman"/>
                      <w:sz w:val="21"/>
                      <w:szCs w:val="21"/>
                    </w:rPr>
                  </w:pPr>
                  <w:r>
                    <w:rPr>
                      <w:rFonts w:cs="Times New Roman"/>
                      <w:sz w:val="21"/>
                      <w:szCs w:val="21"/>
                    </w:rPr>
                    <w:t>符合</w:t>
                  </w:r>
                </w:p>
              </w:tc>
            </w:tr>
          </w:tbl>
          <w:p w14:paraId="7C732960">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1-3  </w:t>
            </w:r>
            <w:r>
              <w:rPr>
                <w:rFonts w:hint="eastAsia" w:cs="Times New Roman"/>
                <w:b/>
                <w:kern w:val="0"/>
                <w:sz w:val="21"/>
                <w:szCs w:val="20"/>
              </w:rPr>
              <w:t>本项目与七大片天山南坡片区总体管控要求符合性分析一览表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5"/>
              <w:gridCol w:w="4420"/>
              <w:gridCol w:w="2039"/>
              <w:gridCol w:w="740"/>
            </w:tblGrid>
            <w:tr w14:paraId="65A31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restart"/>
                  <w:vAlign w:val="center"/>
                </w:tcPr>
                <w:p w14:paraId="6907459A">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天山南坡片区总体管控要求</w:t>
                  </w:r>
                </w:p>
              </w:tc>
              <w:tc>
                <w:tcPr>
                  <w:tcW w:w="2660" w:type="pct"/>
                  <w:vAlign w:val="center"/>
                </w:tcPr>
                <w:p w14:paraId="57061D5B">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管控要求</w:t>
                  </w:r>
                </w:p>
              </w:tc>
              <w:tc>
                <w:tcPr>
                  <w:tcW w:w="1228" w:type="pct"/>
                  <w:vAlign w:val="center"/>
                </w:tcPr>
                <w:p w14:paraId="20A101EE">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w:t>
                  </w:r>
                </w:p>
              </w:tc>
              <w:tc>
                <w:tcPr>
                  <w:tcW w:w="446" w:type="pct"/>
                  <w:vAlign w:val="center"/>
                </w:tcPr>
                <w:p w14:paraId="5BD3C114">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符合性</w:t>
                  </w:r>
                </w:p>
              </w:tc>
            </w:tr>
            <w:tr w14:paraId="76BBB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3BB36E59">
                  <w:pPr>
                    <w:widowControl/>
                    <w:spacing w:line="240" w:lineRule="auto"/>
                    <w:ind w:firstLine="0" w:firstLineChars="0"/>
                    <w:jc w:val="center"/>
                    <w:textAlignment w:val="auto"/>
                    <w:rPr>
                      <w:rFonts w:ascii="宋体" w:hAnsi="宋体" w:cs="Times New Roman"/>
                      <w:color w:val="000000"/>
                      <w:kern w:val="0"/>
                      <w:sz w:val="21"/>
                      <w:szCs w:val="21"/>
                    </w:rPr>
                  </w:pPr>
                </w:p>
              </w:tc>
              <w:tc>
                <w:tcPr>
                  <w:tcW w:w="2660" w:type="pct"/>
                  <w:vAlign w:val="center"/>
                </w:tcPr>
                <w:p w14:paraId="6D9D12E9">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228" w:type="pct"/>
                  <w:vAlign w:val="center"/>
                </w:tcPr>
                <w:p w14:paraId="3DEB78E5">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本项目不在托木尔峰和天山南坡中段冰雪水源及生物多样性保护生态功能区</w:t>
                  </w:r>
                </w:p>
              </w:tc>
              <w:tc>
                <w:tcPr>
                  <w:tcW w:w="446" w:type="pct"/>
                  <w:vAlign w:val="center"/>
                </w:tcPr>
                <w:p w14:paraId="0D89B399">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187F4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1A4A60AE">
                  <w:pPr>
                    <w:widowControl/>
                    <w:spacing w:line="240" w:lineRule="auto"/>
                    <w:ind w:firstLine="0" w:firstLineChars="0"/>
                    <w:jc w:val="center"/>
                    <w:textAlignment w:val="auto"/>
                    <w:rPr>
                      <w:rFonts w:ascii="宋体" w:hAnsi="宋体" w:cs="Times New Roman"/>
                      <w:color w:val="000000"/>
                      <w:kern w:val="0"/>
                      <w:sz w:val="21"/>
                      <w:szCs w:val="21"/>
                    </w:rPr>
                  </w:pPr>
                </w:p>
              </w:tc>
              <w:tc>
                <w:tcPr>
                  <w:tcW w:w="2660" w:type="pct"/>
                  <w:vAlign w:val="center"/>
                </w:tcPr>
                <w:p w14:paraId="326BC110">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228" w:type="pct"/>
                  <w:vAlign w:val="center"/>
                </w:tcPr>
                <w:p w14:paraId="6ADA5216">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本项目不涉及油气勘探开发</w:t>
                  </w:r>
                </w:p>
              </w:tc>
              <w:tc>
                <w:tcPr>
                  <w:tcW w:w="446" w:type="pct"/>
                  <w:vAlign w:val="center"/>
                </w:tcPr>
                <w:p w14:paraId="548BF693">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03B55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65733624">
                  <w:pPr>
                    <w:widowControl/>
                    <w:spacing w:line="240" w:lineRule="auto"/>
                    <w:ind w:firstLine="0" w:firstLineChars="0"/>
                    <w:jc w:val="center"/>
                    <w:textAlignment w:val="auto"/>
                    <w:rPr>
                      <w:rFonts w:ascii="宋体" w:hAnsi="宋体" w:cs="Times New Roman"/>
                      <w:color w:val="000000"/>
                      <w:kern w:val="0"/>
                      <w:sz w:val="21"/>
                      <w:szCs w:val="21"/>
                    </w:rPr>
                  </w:pPr>
                </w:p>
              </w:tc>
              <w:tc>
                <w:tcPr>
                  <w:tcW w:w="2660" w:type="pct"/>
                  <w:vAlign w:val="center"/>
                </w:tcPr>
                <w:p w14:paraId="0FF0EEE7">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推进塔里木河流域用水结构调整，维护塔里木河、博斯腾湖基本生态用水</w:t>
                  </w:r>
                </w:p>
              </w:tc>
              <w:tc>
                <w:tcPr>
                  <w:tcW w:w="1228" w:type="pct"/>
                  <w:vAlign w:val="center"/>
                </w:tcPr>
                <w:p w14:paraId="2909D602">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本项目不涉及塔里木河、博斯腾湖生态用水</w:t>
                  </w:r>
                </w:p>
              </w:tc>
              <w:tc>
                <w:tcPr>
                  <w:tcW w:w="446" w:type="pct"/>
                  <w:vAlign w:val="center"/>
                </w:tcPr>
                <w:p w14:paraId="7963C624">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48B66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5E85201C">
                  <w:pPr>
                    <w:widowControl/>
                    <w:spacing w:line="240" w:lineRule="auto"/>
                    <w:ind w:firstLine="0" w:firstLineChars="0"/>
                    <w:jc w:val="center"/>
                    <w:textAlignment w:val="auto"/>
                    <w:rPr>
                      <w:rFonts w:ascii="宋体" w:hAnsi="宋体" w:cs="Times New Roman"/>
                      <w:color w:val="000000"/>
                      <w:kern w:val="0"/>
                      <w:sz w:val="21"/>
                      <w:szCs w:val="21"/>
                    </w:rPr>
                  </w:pPr>
                </w:p>
              </w:tc>
              <w:tc>
                <w:tcPr>
                  <w:tcW w:w="2660" w:type="pct"/>
                  <w:vAlign w:val="center"/>
                </w:tcPr>
                <w:p w14:paraId="342DC81C">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加强塔里木河流域水环境风险管控。加大博斯腾湖污染源头达标排放治理和监督力度，实施博斯腾湖综合治理。</w:t>
                  </w:r>
                </w:p>
              </w:tc>
              <w:tc>
                <w:tcPr>
                  <w:tcW w:w="1228" w:type="pct"/>
                  <w:vAlign w:val="center"/>
                </w:tcPr>
                <w:p w14:paraId="5B62B043">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w:t>
                  </w:r>
                </w:p>
              </w:tc>
              <w:tc>
                <w:tcPr>
                  <w:tcW w:w="446" w:type="pct"/>
                  <w:vAlign w:val="center"/>
                </w:tcPr>
                <w:p w14:paraId="7410EF3A">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28A9C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64" w:type="pct"/>
                  <w:vMerge w:val="continue"/>
                  <w:vAlign w:val="center"/>
                </w:tcPr>
                <w:p w14:paraId="194E6D99">
                  <w:pPr>
                    <w:widowControl/>
                    <w:spacing w:line="240" w:lineRule="auto"/>
                    <w:ind w:firstLine="0" w:firstLineChars="0"/>
                    <w:jc w:val="center"/>
                    <w:textAlignment w:val="auto"/>
                    <w:rPr>
                      <w:rFonts w:ascii="宋体" w:hAnsi="宋体" w:cs="Times New Roman"/>
                      <w:color w:val="000000"/>
                      <w:kern w:val="0"/>
                      <w:sz w:val="21"/>
                      <w:szCs w:val="21"/>
                    </w:rPr>
                  </w:pPr>
                </w:p>
              </w:tc>
              <w:tc>
                <w:tcPr>
                  <w:tcW w:w="2660" w:type="pct"/>
                  <w:vAlign w:val="center"/>
                </w:tcPr>
                <w:p w14:paraId="70CF4991">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加强油（气）资源开发区土壤环境污染综合整治。强化涉重金属行业污染防控与工业废物处理处置。</w:t>
                  </w:r>
                </w:p>
              </w:tc>
              <w:tc>
                <w:tcPr>
                  <w:tcW w:w="1228" w:type="pct"/>
                  <w:vAlign w:val="center"/>
                </w:tcPr>
                <w:p w14:paraId="5B462859">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本项目不涉及油气开发，不涉及重金属排放</w:t>
                  </w:r>
                </w:p>
              </w:tc>
              <w:tc>
                <w:tcPr>
                  <w:tcW w:w="446" w:type="pct"/>
                  <w:vAlign w:val="center"/>
                </w:tcPr>
                <w:p w14:paraId="2D86D518">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bl>
          <w:p w14:paraId="15934D38">
            <w:pPr>
              <w:spacing w:before="120" w:after="60" w:line="240" w:lineRule="auto"/>
              <w:ind w:firstLine="0" w:firstLineChars="0"/>
              <w:outlineLvl w:val="2"/>
              <w:rPr>
                <w:rFonts w:cs="Times New Roman"/>
                <w:b/>
                <w:bCs/>
                <w:szCs w:val="32"/>
              </w:rPr>
            </w:pPr>
            <w:r>
              <w:rPr>
                <w:rFonts w:cs="Times New Roman"/>
                <w:b/>
                <w:bCs/>
                <w:szCs w:val="32"/>
              </w:rPr>
              <w:t>4</w:t>
            </w:r>
            <w:r>
              <w:rPr>
                <w:rFonts w:hint="eastAsia" w:cs="Times New Roman"/>
                <w:b/>
                <w:bCs/>
                <w:szCs w:val="32"/>
              </w:rPr>
              <w:t>、与巴州生态环境分区管控符合性分析</w:t>
            </w:r>
          </w:p>
          <w:p w14:paraId="4F0622BA">
            <w:pPr>
              <w:ind w:firstLine="480"/>
              <w:rPr>
                <w:rFonts w:cs="Times New Roman"/>
              </w:rPr>
            </w:pPr>
            <w:r>
              <w:t>根据2024年12月9日发布的《关于印发巴音郭楞蒙古自治州“三线一单”生态环境分区管控动态更新成果（2023年）的通知》（巴政办发〔2024〕32号</w:t>
            </w:r>
            <w:r>
              <w:rPr>
                <w:rFonts w:hint="eastAsia"/>
              </w:rPr>
              <w:t>），分析本项目与巴州生态环境分区管控符</w:t>
            </w:r>
            <w:r>
              <w:rPr>
                <w:rFonts w:cs="Times New Roman"/>
              </w:rPr>
              <w:t>合性分析见表1-4。</w:t>
            </w:r>
          </w:p>
          <w:p w14:paraId="396F1B0E">
            <w:pPr>
              <w:spacing w:before="163" w:beforeLines="50" w:line="240" w:lineRule="auto"/>
              <w:ind w:firstLine="0" w:firstLineChars="0"/>
              <w:jc w:val="center"/>
              <w:rPr>
                <w:rFonts w:cs="Times New Roman"/>
                <w:b/>
                <w:bCs/>
                <w:sz w:val="21"/>
                <w:szCs w:val="21"/>
              </w:rPr>
            </w:pPr>
            <w:r>
              <w:rPr>
                <w:rFonts w:hint="eastAsia" w:cs="Times New Roman"/>
                <w:b/>
                <w:color w:val="000000"/>
                <w:sz w:val="21"/>
                <w:szCs w:val="21"/>
              </w:rPr>
              <w:t>表1</w:t>
            </w:r>
            <w:r>
              <w:rPr>
                <w:rFonts w:cs="Times New Roman"/>
                <w:b/>
                <w:color w:val="000000"/>
                <w:sz w:val="21"/>
                <w:szCs w:val="21"/>
              </w:rPr>
              <w:t xml:space="preserve">-4  </w:t>
            </w:r>
            <w:r>
              <w:rPr>
                <w:rFonts w:hint="eastAsia" w:cs="Times New Roman"/>
                <w:b/>
                <w:bCs/>
                <w:sz w:val="21"/>
                <w:szCs w:val="21"/>
              </w:rPr>
              <w:t>本项目与巴音郭楞蒙古自治州生态环境分区管控方案符合性一览表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1"/>
              <w:gridCol w:w="4926"/>
              <w:gridCol w:w="1836"/>
              <w:gridCol w:w="790"/>
            </w:tblGrid>
            <w:tr w14:paraId="3CD51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12" w:space="0"/>
                    <w:left w:val="single" w:color="auto" w:sz="12" w:space="0"/>
                    <w:bottom w:val="single" w:color="auto" w:sz="6" w:space="0"/>
                    <w:right w:val="single" w:color="auto" w:sz="6" w:space="0"/>
                  </w:tcBorders>
                  <w:vAlign w:val="center"/>
                </w:tcPr>
                <w:p w14:paraId="766DA79F">
                  <w:pPr>
                    <w:spacing w:line="240" w:lineRule="auto"/>
                    <w:ind w:firstLine="0" w:firstLineChars="0"/>
                    <w:contextualSpacing/>
                    <w:jc w:val="center"/>
                    <w:rPr>
                      <w:rFonts w:cs="Times New Roman"/>
                      <w:sz w:val="21"/>
                    </w:rPr>
                  </w:pPr>
                  <w:r>
                    <w:rPr>
                      <w:rFonts w:hint="eastAsia" w:cs="Times New Roman"/>
                      <w:sz w:val="21"/>
                    </w:rPr>
                    <w:t>名称</w:t>
                  </w:r>
                </w:p>
              </w:tc>
              <w:tc>
                <w:tcPr>
                  <w:tcW w:w="2966" w:type="pct"/>
                  <w:tcBorders>
                    <w:top w:val="single" w:color="auto" w:sz="12" w:space="0"/>
                    <w:left w:val="single" w:color="auto" w:sz="6" w:space="0"/>
                    <w:bottom w:val="single" w:color="auto" w:sz="6" w:space="0"/>
                    <w:right w:val="single" w:color="auto" w:sz="6" w:space="0"/>
                  </w:tcBorders>
                  <w:vAlign w:val="center"/>
                </w:tcPr>
                <w:p w14:paraId="67C48029">
                  <w:pPr>
                    <w:spacing w:line="240" w:lineRule="auto"/>
                    <w:ind w:firstLine="0" w:firstLineChars="0"/>
                    <w:contextualSpacing/>
                    <w:jc w:val="center"/>
                    <w:rPr>
                      <w:rFonts w:cs="Times New Roman"/>
                      <w:sz w:val="21"/>
                    </w:rPr>
                  </w:pPr>
                  <w:r>
                    <w:rPr>
                      <w:rFonts w:hint="eastAsia" w:cs="Times New Roman"/>
                      <w:sz w:val="21"/>
                    </w:rPr>
                    <w:t>符合性分析</w:t>
                  </w:r>
                </w:p>
              </w:tc>
              <w:tc>
                <w:tcPr>
                  <w:tcW w:w="1105" w:type="pct"/>
                  <w:tcBorders>
                    <w:top w:val="single" w:color="auto" w:sz="12" w:space="0"/>
                    <w:left w:val="single" w:color="auto" w:sz="6" w:space="0"/>
                    <w:bottom w:val="single" w:color="auto" w:sz="6" w:space="0"/>
                    <w:right w:val="single" w:color="auto" w:sz="6" w:space="0"/>
                  </w:tcBorders>
                  <w:vAlign w:val="center"/>
                </w:tcPr>
                <w:p w14:paraId="78759968">
                  <w:pPr>
                    <w:spacing w:line="240" w:lineRule="auto"/>
                    <w:ind w:firstLine="0" w:firstLineChars="0"/>
                    <w:contextualSpacing/>
                    <w:jc w:val="center"/>
                    <w:rPr>
                      <w:rFonts w:cs="Times New Roman"/>
                      <w:sz w:val="21"/>
                    </w:rPr>
                  </w:pPr>
                  <w:r>
                    <w:rPr>
                      <w:rFonts w:hint="eastAsia" w:cs="Times New Roman"/>
                      <w:sz w:val="21"/>
                    </w:rPr>
                    <w:t>本项目</w:t>
                  </w:r>
                </w:p>
              </w:tc>
              <w:tc>
                <w:tcPr>
                  <w:tcW w:w="476" w:type="pct"/>
                  <w:tcBorders>
                    <w:top w:val="single" w:color="auto" w:sz="12" w:space="0"/>
                    <w:left w:val="single" w:color="auto" w:sz="6" w:space="0"/>
                    <w:bottom w:val="single" w:color="auto" w:sz="6" w:space="0"/>
                    <w:right w:val="single" w:color="auto" w:sz="12" w:space="0"/>
                  </w:tcBorders>
                  <w:vAlign w:val="center"/>
                </w:tcPr>
                <w:p w14:paraId="528B15EE">
                  <w:pPr>
                    <w:spacing w:line="240" w:lineRule="auto"/>
                    <w:ind w:firstLine="0" w:firstLineChars="0"/>
                    <w:contextualSpacing/>
                    <w:jc w:val="center"/>
                    <w:rPr>
                      <w:rFonts w:cs="Times New Roman"/>
                      <w:sz w:val="21"/>
                    </w:rPr>
                  </w:pPr>
                  <w:r>
                    <w:rPr>
                      <w:rFonts w:hint="eastAsia" w:cs="Times New Roman"/>
                      <w:sz w:val="21"/>
                    </w:rPr>
                    <w:t>符合性</w:t>
                  </w:r>
                </w:p>
              </w:tc>
            </w:tr>
            <w:tr w14:paraId="6A489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5694DD32">
                  <w:pPr>
                    <w:spacing w:line="240" w:lineRule="auto"/>
                    <w:ind w:firstLine="0" w:firstLineChars="0"/>
                    <w:contextualSpacing/>
                    <w:rPr>
                      <w:rFonts w:cs="Times New Roman"/>
                      <w:sz w:val="21"/>
                    </w:rPr>
                  </w:pPr>
                  <w:r>
                    <w:rPr>
                      <w:rFonts w:hint="eastAsia" w:cs="Times New Roman"/>
                      <w:sz w:val="21"/>
                    </w:rPr>
                    <w:t>生态保护红线</w:t>
                  </w:r>
                </w:p>
              </w:tc>
              <w:tc>
                <w:tcPr>
                  <w:tcW w:w="2966" w:type="pct"/>
                  <w:tcBorders>
                    <w:top w:val="single" w:color="auto" w:sz="6" w:space="0"/>
                    <w:left w:val="single" w:color="auto" w:sz="6" w:space="0"/>
                    <w:bottom w:val="single" w:color="auto" w:sz="6" w:space="0"/>
                    <w:right w:val="single" w:color="auto" w:sz="6" w:space="0"/>
                  </w:tcBorders>
                  <w:vAlign w:val="center"/>
                </w:tcPr>
                <w:p w14:paraId="27F6BD54">
                  <w:pPr>
                    <w:spacing w:line="240" w:lineRule="auto"/>
                    <w:ind w:firstLine="0" w:firstLineChars="0"/>
                    <w:contextualSpacing/>
                    <w:rPr>
                      <w:rFonts w:cs="Times New Roman"/>
                      <w:sz w:val="21"/>
                    </w:rPr>
                  </w:pPr>
                  <w:r>
                    <w:rPr>
                      <w:rFonts w:hint="eastAsia" w:hAnsi="宋体" w:cs="宋体"/>
                      <w:sz w:val="21"/>
                    </w:rPr>
                    <w:t>按照“生态功能不降低、面积不减少、性质不改变”的基本要求，对划定的生态保护红线实施严格管控，保障和维护国家生态安全的底线和生命线</w:t>
                  </w:r>
                </w:p>
              </w:tc>
              <w:tc>
                <w:tcPr>
                  <w:tcW w:w="1105" w:type="pct"/>
                  <w:tcBorders>
                    <w:top w:val="single" w:color="auto" w:sz="6" w:space="0"/>
                    <w:left w:val="single" w:color="auto" w:sz="6" w:space="0"/>
                    <w:bottom w:val="single" w:color="auto" w:sz="6" w:space="0"/>
                    <w:right w:val="single" w:color="auto" w:sz="6" w:space="0"/>
                  </w:tcBorders>
                  <w:vAlign w:val="center"/>
                </w:tcPr>
                <w:p w14:paraId="3FCA0426">
                  <w:pPr>
                    <w:spacing w:line="240" w:lineRule="auto"/>
                    <w:ind w:firstLine="0" w:firstLineChars="0"/>
                    <w:contextualSpacing/>
                    <w:rPr>
                      <w:rFonts w:cs="Times New Roman"/>
                      <w:sz w:val="21"/>
                    </w:rPr>
                  </w:pPr>
                  <w:r>
                    <w:rPr>
                      <w:rFonts w:hint="eastAsia" w:hAnsi="宋体" w:cs="宋体"/>
                      <w:sz w:val="21"/>
                    </w:rPr>
                    <w:t>本项目不在生态保护红线范围内</w:t>
                  </w:r>
                </w:p>
              </w:tc>
              <w:tc>
                <w:tcPr>
                  <w:tcW w:w="476" w:type="pct"/>
                  <w:tcBorders>
                    <w:top w:val="single" w:color="auto" w:sz="6" w:space="0"/>
                    <w:left w:val="single" w:color="auto" w:sz="6" w:space="0"/>
                    <w:bottom w:val="single" w:color="auto" w:sz="6" w:space="0"/>
                    <w:right w:val="single" w:color="auto" w:sz="12" w:space="0"/>
                  </w:tcBorders>
                  <w:vAlign w:val="center"/>
                </w:tcPr>
                <w:p w14:paraId="440E0E54">
                  <w:pPr>
                    <w:spacing w:line="240" w:lineRule="auto"/>
                    <w:ind w:firstLine="0" w:firstLineChars="0"/>
                    <w:contextualSpacing/>
                    <w:rPr>
                      <w:rFonts w:cs="Times New Roman"/>
                      <w:sz w:val="21"/>
                    </w:rPr>
                  </w:pPr>
                  <w:r>
                    <w:rPr>
                      <w:rFonts w:hint="eastAsia" w:cs="Times New Roman"/>
                      <w:sz w:val="21"/>
                    </w:rPr>
                    <w:t>符合</w:t>
                  </w:r>
                </w:p>
              </w:tc>
            </w:tr>
            <w:tr w14:paraId="39832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7D9328FE">
                  <w:pPr>
                    <w:spacing w:line="240" w:lineRule="auto"/>
                    <w:ind w:firstLine="0" w:firstLineChars="0"/>
                    <w:contextualSpacing/>
                    <w:rPr>
                      <w:rFonts w:cs="Times New Roman"/>
                      <w:sz w:val="21"/>
                    </w:rPr>
                  </w:pPr>
                  <w:r>
                    <w:rPr>
                      <w:rFonts w:cs="Times New Roman"/>
                      <w:sz w:val="21"/>
                    </w:rPr>
                    <w:t>环境质量底线</w:t>
                  </w:r>
                </w:p>
              </w:tc>
              <w:tc>
                <w:tcPr>
                  <w:tcW w:w="2966" w:type="pct"/>
                  <w:tcBorders>
                    <w:top w:val="single" w:color="auto" w:sz="6" w:space="0"/>
                    <w:left w:val="single" w:color="auto" w:sz="6" w:space="0"/>
                    <w:bottom w:val="single" w:color="auto" w:sz="6" w:space="0"/>
                    <w:right w:val="single" w:color="auto" w:sz="6" w:space="0"/>
                  </w:tcBorders>
                  <w:vAlign w:val="center"/>
                </w:tcPr>
                <w:p w14:paraId="11988991">
                  <w:pPr>
                    <w:spacing w:line="240" w:lineRule="auto"/>
                    <w:ind w:firstLine="0" w:firstLineChars="0"/>
                    <w:contextualSpacing/>
                    <w:rPr>
                      <w:rFonts w:cs="Times New Roman"/>
                      <w:color w:val="000000"/>
                      <w:sz w:val="21"/>
                    </w:rPr>
                  </w:pPr>
                  <w:r>
                    <w:rPr>
                      <w:rFonts w:cs="Times New Roman"/>
                      <w:color w:val="000000"/>
                      <w:sz w:val="21"/>
                    </w:rPr>
                    <w:t>项全州水环境质量持续改善，开都河、塔里木河、迪那河、车尔臣河、黄水沟5条河流13个监测断面稳定达到Ⅱ类水（塔里木河氟化物不参与考核，其他指标均为Ⅱ类），孔雀河4个监测断面达到II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cs="Times New Roman"/>
                      <w:color w:val="000000"/>
                      <w:sz w:val="21"/>
                      <w:vertAlign w:val="subscript"/>
                    </w:rPr>
                    <w:t>2</w:t>
                  </w:r>
                  <w:r>
                    <w:rPr>
                      <w:rFonts w:cs="Times New Roman"/>
                      <w:color w:val="000000"/>
                      <w:sz w:val="21"/>
                    </w:rPr>
                    <w:t>、NO</w:t>
                  </w:r>
                  <w:r>
                    <w:rPr>
                      <w:rFonts w:cs="Times New Roman"/>
                      <w:color w:val="000000"/>
                      <w:sz w:val="21"/>
                      <w:vertAlign w:val="subscript"/>
                    </w:rPr>
                    <w:t>2</w:t>
                  </w:r>
                  <w:r>
                    <w:rPr>
                      <w:rFonts w:cs="Times New Roman"/>
                      <w:color w:val="000000"/>
                      <w:sz w:val="21"/>
                    </w:rPr>
                    <w:t>浓度长期维持在较低水平，达到环境空气质量一级标准；逐步减少颗粒物排放，PM</w:t>
                  </w:r>
                  <w:r>
                    <w:rPr>
                      <w:rFonts w:cs="Times New Roman"/>
                      <w:color w:val="000000"/>
                      <w:sz w:val="21"/>
                      <w:vertAlign w:val="subscript"/>
                    </w:rPr>
                    <w:t>10</w:t>
                  </w:r>
                  <w:r>
                    <w:rPr>
                      <w:rFonts w:cs="Times New Roman"/>
                      <w:color w:val="000000"/>
                      <w:sz w:val="21"/>
                    </w:rPr>
                    <w:t>、PM</w:t>
                  </w:r>
                  <w:r>
                    <w:rPr>
                      <w:rFonts w:cs="Times New Roman"/>
                      <w:color w:val="000000"/>
                      <w:sz w:val="21"/>
                      <w:vertAlign w:val="subscript"/>
                    </w:rPr>
                    <w:t>2.5</w:t>
                  </w:r>
                  <w:r>
                    <w:rPr>
                      <w:rFonts w:cs="Times New Roman"/>
                      <w:color w:val="000000"/>
                      <w:sz w:val="21"/>
                    </w:rPr>
                    <w:t>平均浓度分别低于81μg/m</w:t>
                  </w:r>
                  <w:r>
                    <w:rPr>
                      <w:rFonts w:cs="Times New Roman"/>
                      <w:color w:val="000000"/>
                      <w:sz w:val="21"/>
                      <w:vertAlign w:val="superscript"/>
                    </w:rPr>
                    <w:t>3</w:t>
                  </w:r>
                  <w:r>
                    <w:rPr>
                      <w:rFonts w:cs="Times New Roman"/>
                      <w:color w:val="000000"/>
                      <w:sz w:val="21"/>
                    </w:rPr>
                    <w:t>、31.5μg/m</w:t>
                  </w:r>
                  <w:r>
                    <w:rPr>
                      <w:rFonts w:cs="Times New Roman"/>
                      <w:color w:val="000000"/>
                      <w:sz w:val="21"/>
                      <w:vertAlign w:val="superscript"/>
                    </w:rPr>
                    <w:t>3</w:t>
                  </w:r>
                  <w:r>
                    <w:rPr>
                      <w:rFonts w:cs="Times New Roman"/>
                      <w:color w:val="000000"/>
                      <w:sz w:val="21"/>
                    </w:rPr>
                    <w:t>(库尔勒市，扣除沙尘天气影响)，空气优良天数比例大于75.2%(库尔勒市)，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105" w:type="pct"/>
                  <w:tcBorders>
                    <w:top w:val="single" w:color="auto" w:sz="6" w:space="0"/>
                    <w:left w:val="single" w:color="auto" w:sz="6" w:space="0"/>
                    <w:bottom w:val="single" w:color="auto" w:sz="6" w:space="0"/>
                    <w:right w:val="single" w:color="auto" w:sz="6" w:space="0"/>
                  </w:tcBorders>
                  <w:vAlign w:val="center"/>
                </w:tcPr>
                <w:p w14:paraId="23E24BBB">
                  <w:pPr>
                    <w:spacing w:line="240" w:lineRule="auto"/>
                    <w:ind w:firstLine="0" w:firstLineChars="0"/>
                    <w:contextualSpacing/>
                    <w:rPr>
                      <w:rFonts w:cs="Times New Roman"/>
                      <w:color w:val="000000"/>
                      <w:sz w:val="21"/>
                    </w:rPr>
                  </w:pPr>
                  <w:r>
                    <w:rPr>
                      <w:rFonts w:hint="eastAsia" w:cs="Times New Roman"/>
                      <w:color w:val="000000"/>
                      <w:sz w:val="21"/>
                    </w:rPr>
                    <w:t>项目所在区域SO</w:t>
                  </w:r>
                  <w:r>
                    <w:rPr>
                      <w:rFonts w:hint="eastAsia" w:cs="Times New Roman"/>
                      <w:color w:val="000000"/>
                      <w:sz w:val="21"/>
                      <w:vertAlign w:val="subscript"/>
                    </w:rPr>
                    <w:t>2</w:t>
                  </w:r>
                  <w:r>
                    <w:rPr>
                      <w:rFonts w:hint="eastAsia" w:cs="Times New Roman"/>
                      <w:color w:val="000000"/>
                      <w:sz w:val="21"/>
                    </w:rPr>
                    <w:t>、NO</w:t>
                  </w:r>
                  <w:r>
                    <w:rPr>
                      <w:rFonts w:hint="eastAsia" w:cs="Times New Roman"/>
                      <w:color w:val="000000"/>
                      <w:sz w:val="21"/>
                      <w:vertAlign w:val="subscript"/>
                    </w:rPr>
                    <w:t>2</w:t>
                  </w:r>
                  <w:r>
                    <w:rPr>
                      <w:rFonts w:hint="eastAsia" w:cs="Times New Roman"/>
                      <w:color w:val="000000"/>
                      <w:sz w:val="21"/>
                    </w:rPr>
                    <w:t>、CO和O</w:t>
                  </w:r>
                  <w:r>
                    <w:rPr>
                      <w:rFonts w:hint="eastAsia" w:cs="Times New Roman"/>
                      <w:color w:val="000000"/>
                      <w:sz w:val="21"/>
                      <w:vertAlign w:val="subscript"/>
                    </w:rPr>
                    <w:t>3</w:t>
                  </w:r>
                  <w:r>
                    <w:rPr>
                      <w:rFonts w:hint="eastAsia" w:cs="Times New Roman"/>
                      <w:color w:val="000000"/>
                      <w:sz w:val="21"/>
                    </w:rPr>
                    <w:t>、PM</w:t>
                  </w:r>
                  <w:r>
                    <w:rPr>
                      <w:rFonts w:hint="eastAsia" w:cs="Times New Roman"/>
                      <w:color w:val="000000"/>
                      <w:sz w:val="21"/>
                      <w:vertAlign w:val="subscript"/>
                    </w:rPr>
                    <w:t>2.5</w:t>
                  </w:r>
                  <w:r>
                    <w:rPr>
                      <w:rFonts w:hint="eastAsia" w:cs="Times New Roman"/>
                      <w:color w:val="000000"/>
                      <w:sz w:val="21"/>
                    </w:rPr>
                    <w:t>平均浓度均满足《环境空气质量标准》（GB3095-2012）</w:t>
                  </w:r>
                  <w:r>
                    <w:rPr>
                      <w:rFonts w:cs="Times New Roman"/>
                      <w:color w:val="000000"/>
                      <w:sz w:val="21"/>
                    </w:rPr>
                    <w:t>的二级标准；受沙尘天气影响PM</w:t>
                  </w:r>
                  <w:r>
                    <w:rPr>
                      <w:rFonts w:cs="Times New Roman"/>
                      <w:color w:val="000000"/>
                      <w:sz w:val="21"/>
                      <w:vertAlign w:val="subscript"/>
                    </w:rPr>
                    <w:t>10</w:t>
                  </w:r>
                  <w:r>
                    <w:rPr>
                      <w:rFonts w:cs="Times New Roman"/>
                      <w:color w:val="000000"/>
                      <w:sz w:val="21"/>
                    </w:rPr>
                    <w:t>年均值浓度超过《环境空气质量标准》（GB3095-2012）的二级标准要求，本项目所在区域为非达标区域。项目运营期废气可满足相应污染物排放限值；项目所在区域地表水满足《</w:t>
                  </w:r>
                  <w:r>
                    <w:rPr>
                      <w:rFonts w:hint="eastAsia" w:cs="Times New Roman"/>
                      <w:color w:val="000000"/>
                      <w:sz w:val="21"/>
                    </w:rPr>
                    <w:t>地表水环境质量</w:t>
                  </w:r>
                  <w:r>
                    <w:rPr>
                      <w:rFonts w:cs="Times New Roman"/>
                      <w:color w:val="000000"/>
                      <w:sz w:val="21"/>
                    </w:rPr>
                    <w:t>标准》（GB3838-2002）</w:t>
                  </w:r>
                  <w:r>
                    <w:rPr>
                      <w:rFonts w:cs="Times New Roman"/>
                      <w:color w:val="000000"/>
                      <w:sz w:val="21"/>
                    </w:rPr>
                    <w:fldChar w:fldCharType="begin"/>
                  </w:r>
                  <w:r>
                    <w:rPr>
                      <w:rFonts w:cs="Times New Roman"/>
                      <w:color w:val="000000"/>
                      <w:sz w:val="21"/>
                    </w:rPr>
                    <w:instrText xml:space="preserve"> = 1 \* ROMAN \* MERGEFORMAT </w:instrText>
                  </w:r>
                  <w:r>
                    <w:rPr>
                      <w:rFonts w:cs="Times New Roman"/>
                      <w:color w:val="000000"/>
                      <w:sz w:val="21"/>
                    </w:rPr>
                    <w:fldChar w:fldCharType="separate"/>
                  </w:r>
                  <w:r>
                    <w:t>I</w:t>
                  </w:r>
                  <w:r>
                    <w:rPr>
                      <w:rFonts w:cs="Times New Roman"/>
                      <w:color w:val="000000"/>
                      <w:sz w:val="21"/>
                    </w:rPr>
                    <w:fldChar w:fldCharType="end"/>
                  </w:r>
                  <w:r>
                    <w:rPr>
                      <w:rFonts w:cs="Times New Roman"/>
                      <w:color w:val="000000"/>
                      <w:sz w:val="21"/>
                    </w:rPr>
                    <w:t>类标准要求；项目所在区域声环境质量满足《声环境质量标准》（GB3096-2008）3类标准</w:t>
                  </w:r>
                </w:p>
              </w:tc>
              <w:tc>
                <w:tcPr>
                  <w:tcW w:w="476" w:type="pct"/>
                  <w:tcBorders>
                    <w:top w:val="single" w:color="auto" w:sz="6" w:space="0"/>
                    <w:left w:val="single" w:color="auto" w:sz="6" w:space="0"/>
                    <w:bottom w:val="single" w:color="auto" w:sz="6" w:space="0"/>
                    <w:right w:val="single" w:color="auto" w:sz="12" w:space="0"/>
                  </w:tcBorders>
                  <w:vAlign w:val="center"/>
                </w:tcPr>
                <w:p w14:paraId="3B80066C">
                  <w:pPr>
                    <w:spacing w:line="240" w:lineRule="auto"/>
                    <w:ind w:firstLine="0" w:firstLineChars="0"/>
                    <w:contextualSpacing/>
                    <w:rPr>
                      <w:rFonts w:cs="Times New Roman"/>
                      <w:sz w:val="21"/>
                    </w:rPr>
                  </w:pPr>
                  <w:r>
                    <w:rPr>
                      <w:rFonts w:hint="eastAsia" w:cs="Times New Roman"/>
                      <w:sz w:val="21"/>
                    </w:rPr>
                    <w:t>符合</w:t>
                  </w:r>
                </w:p>
              </w:tc>
            </w:tr>
            <w:tr w14:paraId="06236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3" w:type="pct"/>
                  <w:tcBorders>
                    <w:top w:val="single" w:color="auto" w:sz="6" w:space="0"/>
                    <w:left w:val="single" w:color="auto" w:sz="12" w:space="0"/>
                    <w:bottom w:val="single" w:color="auto" w:sz="6" w:space="0"/>
                    <w:right w:val="single" w:color="auto" w:sz="6" w:space="0"/>
                  </w:tcBorders>
                  <w:vAlign w:val="center"/>
                </w:tcPr>
                <w:p w14:paraId="787A75DE">
                  <w:pPr>
                    <w:spacing w:line="240" w:lineRule="auto"/>
                    <w:ind w:firstLine="0" w:firstLineChars="0"/>
                    <w:contextualSpacing/>
                    <w:rPr>
                      <w:rFonts w:cs="Times New Roman"/>
                      <w:sz w:val="21"/>
                    </w:rPr>
                  </w:pPr>
                  <w:r>
                    <w:rPr>
                      <w:rFonts w:hint="eastAsia" w:cs="Times New Roman"/>
                      <w:sz w:val="21"/>
                    </w:rPr>
                    <w:t>资源利用上线</w:t>
                  </w:r>
                </w:p>
              </w:tc>
              <w:tc>
                <w:tcPr>
                  <w:tcW w:w="2966" w:type="pct"/>
                  <w:tcBorders>
                    <w:top w:val="single" w:color="auto" w:sz="6" w:space="0"/>
                    <w:left w:val="single" w:color="auto" w:sz="6" w:space="0"/>
                    <w:bottom w:val="single" w:color="auto" w:sz="6" w:space="0"/>
                    <w:right w:val="single" w:color="auto" w:sz="6" w:space="0"/>
                  </w:tcBorders>
                  <w:vAlign w:val="center"/>
                </w:tcPr>
                <w:p w14:paraId="0D08B392">
                  <w:pPr>
                    <w:spacing w:line="240" w:lineRule="auto"/>
                    <w:ind w:firstLine="0" w:firstLineChars="0"/>
                    <w:contextualSpacing/>
                    <w:rPr>
                      <w:rFonts w:cs="Times New Roman"/>
                      <w:sz w:val="21"/>
                    </w:rPr>
                  </w:pPr>
                  <w:r>
                    <w:rPr>
                      <w:rFonts w:hint="eastAsia" w:hAnsi="宋体" w:cs="宋体"/>
                      <w:sz w:val="21"/>
                    </w:rPr>
                    <w:t>强化节约集约利用，持续提升资源能源利用效率，水资源、土地资源、能源消耗等达到国家、自治区下达的总量和强度控制目标，</w:t>
                  </w:r>
                  <w:r>
                    <w:rPr>
                      <w:rFonts w:hint="eastAsia" w:cs="Times New Roman"/>
                      <w:sz w:val="21"/>
                    </w:rPr>
                    <w:t>加快低碳发展，提升碳汇能力，做好碳达峰和碳中和工作</w:t>
                  </w:r>
                </w:p>
              </w:tc>
              <w:tc>
                <w:tcPr>
                  <w:tcW w:w="1105" w:type="pct"/>
                  <w:tcBorders>
                    <w:top w:val="single" w:color="auto" w:sz="6" w:space="0"/>
                    <w:left w:val="single" w:color="auto" w:sz="6" w:space="0"/>
                    <w:bottom w:val="single" w:color="auto" w:sz="6" w:space="0"/>
                    <w:right w:val="single" w:color="auto" w:sz="6" w:space="0"/>
                  </w:tcBorders>
                  <w:vAlign w:val="center"/>
                </w:tcPr>
                <w:p w14:paraId="21DDAD80">
                  <w:pPr>
                    <w:spacing w:line="240" w:lineRule="auto"/>
                    <w:ind w:firstLine="0" w:firstLineChars="0"/>
                    <w:contextualSpacing/>
                    <w:rPr>
                      <w:rFonts w:cs="Times New Roman"/>
                      <w:sz w:val="21"/>
                    </w:rPr>
                  </w:pPr>
                  <w:r>
                    <w:rPr>
                      <w:rFonts w:hint="eastAsia" w:cs="Times New Roman"/>
                      <w:color w:val="000000"/>
                      <w:sz w:val="21"/>
                      <w:szCs w:val="21"/>
                    </w:rPr>
                    <w:t>用水主要是人员生活用水，用水量较小</w:t>
                  </w:r>
                </w:p>
              </w:tc>
              <w:tc>
                <w:tcPr>
                  <w:tcW w:w="476" w:type="pct"/>
                  <w:tcBorders>
                    <w:top w:val="single" w:color="auto" w:sz="6" w:space="0"/>
                    <w:left w:val="single" w:color="auto" w:sz="6" w:space="0"/>
                    <w:bottom w:val="single" w:color="auto" w:sz="6" w:space="0"/>
                    <w:right w:val="single" w:color="auto" w:sz="12" w:space="0"/>
                  </w:tcBorders>
                  <w:vAlign w:val="center"/>
                </w:tcPr>
                <w:p w14:paraId="5055C996">
                  <w:pPr>
                    <w:spacing w:line="240" w:lineRule="auto"/>
                    <w:ind w:firstLine="0" w:firstLineChars="0"/>
                    <w:contextualSpacing/>
                    <w:rPr>
                      <w:rFonts w:cs="Times New Roman"/>
                      <w:sz w:val="21"/>
                    </w:rPr>
                  </w:pPr>
                  <w:r>
                    <w:rPr>
                      <w:rFonts w:hint="eastAsia" w:cs="Times New Roman"/>
                      <w:sz w:val="21"/>
                    </w:rPr>
                    <w:t>符合</w:t>
                  </w:r>
                </w:p>
              </w:tc>
            </w:tr>
          </w:tbl>
          <w:p w14:paraId="165795D8">
            <w:pPr>
              <w:ind w:firstLine="480"/>
              <w:textAlignment w:val="auto"/>
              <w:rPr>
                <w:rFonts w:cs="Times New Roman"/>
                <w:szCs w:val="24"/>
              </w:rPr>
            </w:pPr>
            <w:r>
              <w:rPr>
                <w:rFonts w:hint="eastAsia" w:cs="Times New Roman"/>
                <w:szCs w:val="24"/>
              </w:rPr>
              <w:t>与《巴音郭楞蒙古自治州总体管控要求》相符性分析见表1</w:t>
            </w:r>
            <w:r>
              <w:rPr>
                <w:rFonts w:cs="Times New Roman"/>
                <w:szCs w:val="24"/>
              </w:rPr>
              <w:t>-5</w:t>
            </w:r>
            <w:r>
              <w:rPr>
                <w:rFonts w:hint="eastAsia" w:cs="Times New Roman"/>
                <w:szCs w:val="24"/>
              </w:rPr>
              <w:t>。</w:t>
            </w:r>
          </w:p>
          <w:p w14:paraId="391C4A06">
            <w:pPr>
              <w:adjustRightInd w:val="0"/>
              <w:spacing w:before="163" w:beforeLines="50" w:line="240" w:lineRule="auto"/>
              <w:ind w:firstLineChars="0"/>
              <w:jc w:val="center"/>
              <w:rPr>
                <w:b/>
                <w:kern w:val="0"/>
                <w:sz w:val="21"/>
                <w:szCs w:val="20"/>
              </w:rPr>
            </w:pPr>
            <w:r>
              <w:rPr>
                <w:rFonts w:hint="eastAsia"/>
                <w:b/>
                <w:kern w:val="0"/>
                <w:sz w:val="21"/>
                <w:szCs w:val="20"/>
              </w:rPr>
              <w:t>表</w:t>
            </w:r>
            <w:r>
              <w:rPr>
                <w:b/>
                <w:kern w:val="0"/>
                <w:sz w:val="21"/>
                <w:szCs w:val="20"/>
              </w:rPr>
              <w:t xml:space="preserve">1-5 </w:t>
            </w:r>
            <w:r>
              <w:rPr>
                <w:rFonts w:hint="eastAsia"/>
                <w:b/>
                <w:kern w:val="0"/>
                <w:sz w:val="21"/>
                <w:szCs w:val="20"/>
              </w:rPr>
              <w:t xml:space="preserve"> 本项目与巴音郭楞蒙古自治州总体管控要求符合性分析一览表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66"/>
              <w:gridCol w:w="286"/>
              <w:gridCol w:w="5593"/>
              <w:gridCol w:w="1371"/>
              <w:gridCol w:w="787"/>
            </w:tblGrid>
            <w:tr w14:paraId="0DA9D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266" w:type="dxa"/>
                  <w:vMerge w:val="restart"/>
                  <w:vAlign w:val="center"/>
                </w:tcPr>
                <w:p w14:paraId="0D5097C2">
                  <w:pPr>
                    <w:spacing w:line="240" w:lineRule="auto"/>
                    <w:ind w:firstLine="0" w:firstLineChars="0"/>
                    <w:contextualSpacing/>
                    <w:jc w:val="center"/>
                    <w:rPr>
                      <w:rFonts w:cs="Times New Roman"/>
                      <w:sz w:val="21"/>
                    </w:rPr>
                  </w:pPr>
                  <w:r>
                    <w:rPr>
                      <w:rFonts w:cs="Times New Roman"/>
                      <w:sz w:val="21"/>
                    </w:rPr>
                    <w:t>巴音郭楞蒙古自治州总体管控要求</w:t>
                  </w:r>
                </w:p>
              </w:tc>
              <w:tc>
                <w:tcPr>
                  <w:tcW w:w="286" w:type="dxa"/>
                  <w:vAlign w:val="center"/>
                </w:tcPr>
                <w:p w14:paraId="67DA9D34">
                  <w:pPr>
                    <w:spacing w:line="240" w:lineRule="auto"/>
                    <w:ind w:firstLine="0" w:firstLineChars="0"/>
                    <w:contextualSpacing/>
                    <w:jc w:val="center"/>
                    <w:rPr>
                      <w:rFonts w:cs="Times New Roman"/>
                      <w:sz w:val="21"/>
                    </w:rPr>
                  </w:pPr>
                  <w:r>
                    <w:rPr>
                      <w:rFonts w:cs="Times New Roman"/>
                      <w:sz w:val="21"/>
                    </w:rPr>
                    <w:t>管控类别</w:t>
                  </w:r>
                </w:p>
              </w:tc>
              <w:tc>
                <w:tcPr>
                  <w:tcW w:w="5594" w:type="dxa"/>
                  <w:vAlign w:val="center"/>
                </w:tcPr>
                <w:p w14:paraId="48CDC8C7">
                  <w:pPr>
                    <w:spacing w:line="240" w:lineRule="auto"/>
                    <w:ind w:firstLine="0" w:firstLineChars="0"/>
                    <w:contextualSpacing/>
                    <w:jc w:val="center"/>
                    <w:rPr>
                      <w:rFonts w:cs="Times New Roman"/>
                      <w:sz w:val="21"/>
                    </w:rPr>
                  </w:pPr>
                  <w:r>
                    <w:rPr>
                      <w:rFonts w:cs="Times New Roman"/>
                      <w:sz w:val="21"/>
                    </w:rPr>
                    <w:t>管控要求</w:t>
                  </w:r>
                </w:p>
              </w:tc>
              <w:tc>
                <w:tcPr>
                  <w:tcW w:w="1371" w:type="dxa"/>
                  <w:vAlign w:val="center"/>
                </w:tcPr>
                <w:p w14:paraId="199C61EC">
                  <w:pPr>
                    <w:spacing w:line="240" w:lineRule="auto"/>
                    <w:ind w:firstLine="0" w:firstLineChars="0"/>
                    <w:contextualSpacing/>
                    <w:jc w:val="center"/>
                    <w:rPr>
                      <w:rFonts w:cs="Times New Roman"/>
                      <w:sz w:val="21"/>
                    </w:rPr>
                  </w:pPr>
                  <w:r>
                    <w:rPr>
                      <w:rFonts w:cs="Times New Roman"/>
                      <w:sz w:val="21"/>
                    </w:rPr>
                    <w:t>本项目</w:t>
                  </w:r>
                </w:p>
              </w:tc>
              <w:tc>
                <w:tcPr>
                  <w:tcW w:w="787" w:type="dxa"/>
                  <w:vAlign w:val="center"/>
                </w:tcPr>
                <w:p w14:paraId="1F65563B">
                  <w:pPr>
                    <w:spacing w:line="240" w:lineRule="auto"/>
                    <w:ind w:firstLine="0" w:firstLineChars="0"/>
                    <w:contextualSpacing/>
                    <w:jc w:val="center"/>
                    <w:rPr>
                      <w:rFonts w:cs="Times New Roman"/>
                      <w:sz w:val="21"/>
                    </w:rPr>
                  </w:pPr>
                  <w:r>
                    <w:rPr>
                      <w:rFonts w:cs="Times New Roman"/>
                      <w:sz w:val="21"/>
                    </w:rPr>
                    <w:t>符合性</w:t>
                  </w:r>
                </w:p>
              </w:tc>
            </w:tr>
            <w:tr w14:paraId="2D7C5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46D51593">
                  <w:pPr>
                    <w:spacing w:line="240" w:lineRule="auto"/>
                    <w:ind w:firstLine="0" w:firstLineChars="0"/>
                    <w:contextualSpacing/>
                    <w:jc w:val="center"/>
                    <w:rPr>
                      <w:rFonts w:cs="Times New Roman"/>
                      <w:sz w:val="21"/>
                    </w:rPr>
                  </w:pPr>
                </w:p>
              </w:tc>
              <w:tc>
                <w:tcPr>
                  <w:tcW w:w="286" w:type="dxa"/>
                  <w:vMerge w:val="restart"/>
                  <w:vAlign w:val="center"/>
                </w:tcPr>
                <w:p w14:paraId="77A97859">
                  <w:pPr>
                    <w:spacing w:line="240" w:lineRule="auto"/>
                    <w:ind w:firstLine="0" w:firstLineChars="0"/>
                    <w:contextualSpacing/>
                    <w:jc w:val="center"/>
                    <w:rPr>
                      <w:rFonts w:cs="Times New Roman"/>
                      <w:sz w:val="21"/>
                    </w:rPr>
                  </w:pPr>
                  <w:r>
                    <w:rPr>
                      <w:rFonts w:cs="Times New Roman"/>
                      <w:sz w:val="21"/>
                    </w:rPr>
                    <w:t>空间布局约束</w:t>
                  </w:r>
                </w:p>
              </w:tc>
              <w:tc>
                <w:tcPr>
                  <w:tcW w:w="5594" w:type="dxa"/>
                  <w:vAlign w:val="center"/>
                </w:tcPr>
                <w:p w14:paraId="3B7AE744">
                  <w:pPr>
                    <w:spacing w:line="240" w:lineRule="auto"/>
                    <w:ind w:firstLine="0" w:firstLineChars="0"/>
                    <w:contextualSpacing/>
                    <w:jc w:val="center"/>
                    <w:rPr>
                      <w:rFonts w:cs="Times New Roman"/>
                      <w:sz w:val="21"/>
                    </w:rPr>
                  </w:pPr>
                  <w:r>
                    <w:rPr>
                      <w:rFonts w:cs="Times New Roman"/>
                      <w:sz w:val="21"/>
                    </w:rPr>
                    <w:t>1.1禁止在人口集中地区和其他依法需要特殊保护的区域内焚烧沥青、油毡、橡胶、塑料、皮革、垃圾以及其他产生有毒有害烟尘和恶臭气体的物质。</w:t>
                  </w:r>
                </w:p>
              </w:tc>
              <w:tc>
                <w:tcPr>
                  <w:tcW w:w="1371" w:type="dxa"/>
                  <w:vAlign w:val="center"/>
                </w:tcPr>
                <w:p w14:paraId="7506FC22">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28039BCA">
                  <w:pPr>
                    <w:spacing w:line="240" w:lineRule="auto"/>
                    <w:ind w:firstLine="0" w:firstLineChars="0"/>
                    <w:contextualSpacing/>
                    <w:jc w:val="center"/>
                    <w:rPr>
                      <w:rFonts w:cs="Times New Roman"/>
                      <w:sz w:val="21"/>
                    </w:rPr>
                  </w:pPr>
                  <w:r>
                    <w:rPr>
                      <w:rFonts w:cs="Times New Roman"/>
                      <w:sz w:val="21"/>
                    </w:rPr>
                    <w:t>符合</w:t>
                  </w:r>
                </w:p>
              </w:tc>
            </w:tr>
            <w:tr w14:paraId="6F03F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6F6F0E7">
                  <w:pPr>
                    <w:spacing w:line="240" w:lineRule="auto"/>
                    <w:ind w:firstLine="0" w:firstLineChars="0"/>
                    <w:contextualSpacing/>
                    <w:jc w:val="center"/>
                    <w:rPr>
                      <w:rFonts w:cs="Times New Roman"/>
                      <w:sz w:val="21"/>
                    </w:rPr>
                  </w:pPr>
                </w:p>
              </w:tc>
              <w:tc>
                <w:tcPr>
                  <w:tcW w:w="286" w:type="dxa"/>
                  <w:vMerge w:val="continue"/>
                  <w:vAlign w:val="center"/>
                </w:tcPr>
                <w:p w14:paraId="1A848E6F">
                  <w:pPr>
                    <w:spacing w:line="240" w:lineRule="auto"/>
                    <w:ind w:firstLine="0" w:firstLineChars="0"/>
                    <w:contextualSpacing/>
                    <w:jc w:val="center"/>
                    <w:rPr>
                      <w:rFonts w:cs="Times New Roman"/>
                      <w:sz w:val="21"/>
                    </w:rPr>
                  </w:pPr>
                </w:p>
              </w:tc>
              <w:tc>
                <w:tcPr>
                  <w:tcW w:w="5594" w:type="dxa"/>
                  <w:vAlign w:val="center"/>
                </w:tcPr>
                <w:p w14:paraId="6A58FADC">
                  <w:pPr>
                    <w:spacing w:line="240" w:lineRule="auto"/>
                    <w:ind w:firstLine="0" w:firstLineChars="0"/>
                    <w:contextualSpacing/>
                    <w:jc w:val="center"/>
                    <w:rPr>
                      <w:rFonts w:cs="Times New Roman"/>
                      <w:sz w:val="21"/>
                    </w:rPr>
                  </w:pPr>
                  <w:r>
                    <w:rPr>
                      <w:rFonts w:cs="Times New Roman"/>
                      <w:sz w:val="21"/>
                    </w:rPr>
                    <w:t>1.2禁止在居民住宅楼、未配套设立专用烟道的商住综合楼以及商住综合楼内与居住层相邻的商业楼层内新建、改建、扩建产生油烟、异味、废气的餐饮服务项目。任何单位和个人不得在当地人民政府禁止的区域内露天烧烤食品或者为露天烧烤食品提供场地。</w:t>
                  </w:r>
                </w:p>
              </w:tc>
              <w:tc>
                <w:tcPr>
                  <w:tcW w:w="1371" w:type="dxa"/>
                  <w:vAlign w:val="center"/>
                </w:tcPr>
                <w:p w14:paraId="729CAF26">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7FF82DDA">
                  <w:pPr>
                    <w:spacing w:line="240" w:lineRule="auto"/>
                    <w:ind w:firstLine="0" w:firstLineChars="0"/>
                    <w:contextualSpacing/>
                    <w:jc w:val="center"/>
                    <w:rPr>
                      <w:rFonts w:cs="Times New Roman"/>
                      <w:sz w:val="21"/>
                    </w:rPr>
                  </w:pPr>
                  <w:r>
                    <w:rPr>
                      <w:rFonts w:cs="Times New Roman"/>
                      <w:sz w:val="21"/>
                    </w:rPr>
                    <w:t>符合</w:t>
                  </w:r>
                </w:p>
              </w:tc>
            </w:tr>
            <w:tr w14:paraId="74DE5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063B250D">
                  <w:pPr>
                    <w:spacing w:line="240" w:lineRule="auto"/>
                    <w:ind w:firstLine="0" w:firstLineChars="0"/>
                    <w:contextualSpacing/>
                    <w:jc w:val="center"/>
                    <w:rPr>
                      <w:rFonts w:cs="Times New Roman"/>
                      <w:sz w:val="21"/>
                    </w:rPr>
                  </w:pPr>
                </w:p>
              </w:tc>
              <w:tc>
                <w:tcPr>
                  <w:tcW w:w="286" w:type="dxa"/>
                  <w:vMerge w:val="continue"/>
                  <w:vAlign w:val="center"/>
                </w:tcPr>
                <w:p w14:paraId="260909B7">
                  <w:pPr>
                    <w:spacing w:line="240" w:lineRule="auto"/>
                    <w:ind w:firstLine="0" w:firstLineChars="0"/>
                    <w:contextualSpacing/>
                    <w:jc w:val="center"/>
                    <w:rPr>
                      <w:rFonts w:cs="Times New Roman"/>
                      <w:sz w:val="21"/>
                    </w:rPr>
                  </w:pPr>
                </w:p>
              </w:tc>
              <w:tc>
                <w:tcPr>
                  <w:tcW w:w="5594" w:type="dxa"/>
                  <w:vAlign w:val="center"/>
                </w:tcPr>
                <w:p w14:paraId="43C6687A">
                  <w:pPr>
                    <w:spacing w:line="240" w:lineRule="auto"/>
                    <w:ind w:firstLine="0" w:firstLineChars="0"/>
                    <w:contextualSpacing/>
                    <w:jc w:val="center"/>
                    <w:rPr>
                      <w:rFonts w:cs="Times New Roman"/>
                      <w:sz w:val="21"/>
                    </w:rPr>
                  </w:pPr>
                  <w:r>
                    <w:rPr>
                      <w:rFonts w:cs="Times New Roman"/>
                      <w:sz w:val="21"/>
                    </w:rPr>
                    <w:t>1.3县级及以上城市建成区原则上不再新建每小时35蒸吨以下的燃煤锅炉，其他地区原则上不再新建每小时10蒸吨及以下的燃煤锅炉。</w:t>
                  </w:r>
                </w:p>
              </w:tc>
              <w:tc>
                <w:tcPr>
                  <w:tcW w:w="1371" w:type="dxa"/>
                  <w:vAlign w:val="center"/>
                </w:tcPr>
                <w:p w14:paraId="2DA2F699">
                  <w:pPr>
                    <w:spacing w:line="240" w:lineRule="auto"/>
                    <w:ind w:firstLine="0" w:firstLineChars="0"/>
                    <w:contextualSpacing/>
                    <w:jc w:val="center"/>
                    <w:rPr>
                      <w:rFonts w:cs="Times New Roman"/>
                      <w:sz w:val="21"/>
                    </w:rPr>
                  </w:pPr>
                  <w:r>
                    <w:rPr>
                      <w:rFonts w:cs="Times New Roman"/>
                      <w:sz w:val="21"/>
                    </w:rPr>
                    <w:t>本项目</w:t>
                  </w:r>
                  <w:r>
                    <w:rPr>
                      <w:rFonts w:hint="eastAsia" w:cs="Times New Roman"/>
                      <w:sz w:val="21"/>
                    </w:rPr>
                    <w:t>不</w:t>
                  </w:r>
                  <w:r>
                    <w:rPr>
                      <w:rFonts w:cs="Times New Roman"/>
                      <w:sz w:val="21"/>
                    </w:rPr>
                    <w:t>使用锅炉</w:t>
                  </w:r>
                </w:p>
              </w:tc>
              <w:tc>
                <w:tcPr>
                  <w:tcW w:w="787" w:type="dxa"/>
                  <w:vAlign w:val="center"/>
                </w:tcPr>
                <w:p w14:paraId="5FDB2319">
                  <w:pPr>
                    <w:spacing w:line="240" w:lineRule="auto"/>
                    <w:ind w:firstLine="0" w:firstLineChars="0"/>
                    <w:contextualSpacing/>
                    <w:jc w:val="center"/>
                    <w:rPr>
                      <w:rFonts w:cs="Times New Roman"/>
                      <w:sz w:val="21"/>
                    </w:rPr>
                  </w:pPr>
                  <w:r>
                    <w:rPr>
                      <w:rFonts w:cs="Times New Roman"/>
                      <w:sz w:val="21"/>
                    </w:rPr>
                    <w:t>符合</w:t>
                  </w:r>
                </w:p>
              </w:tc>
            </w:tr>
            <w:tr w14:paraId="2C5F2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092D810">
                  <w:pPr>
                    <w:spacing w:line="240" w:lineRule="auto"/>
                    <w:ind w:firstLine="0" w:firstLineChars="0"/>
                    <w:contextualSpacing/>
                    <w:jc w:val="center"/>
                    <w:rPr>
                      <w:rFonts w:cs="Times New Roman"/>
                      <w:sz w:val="21"/>
                    </w:rPr>
                  </w:pPr>
                </w:p>
              </w:tc>
              <w:tc>
                <w:tcPr>
                  <w:tcW w:w="286" w:type="dxa"/>
                  <w:vMerge w:val="continue"/>
                  <w:vAlign w:val="center"/>
                </w:tcPr>
                <w:p w14:paraId="6C77A092">
                  <w:pPr>
                    <w:spacing w:line="240" w:lineRule="auto"/>
                    <w:ind w:firstLine="0" w:firstLineChars="0"/>
                    <w:contextualSpacing/>
                    <w:jc w:val="center"/>
                    <w:rPr>
                      <w:rFonts w:cs="Times New Roman"/>
                      <w:sz w:val="21"/>
                    </w:rPr>
                  </w:pPr>
                </w:p>
              </w:tc>
              <w:tc>
                <w:tcPr>
                  <w:tcW w:w="5594" w:type="dxa"/>
                  <w:vAlign w:val="center"/>
                </w:tcPr>
                <w:p w14:paraId="4457FB2C">
                  <w:pPr>
                    <w:spacing w:line="240" w:lineRule="auto"/>
                    <w:ind w:firstLine="0" w:firstLineChars="0"/>
                    <w:contextualSpacing/>
                    <w:rPr>
                      <w:rFonts w:cs="Times New Roman"/>
                      <w:sz w:val="21"/>
                    </w:rPr>
                  </w:pPr>
                  <w:r>
                    <w:rPr>
                      <w:rFonts w:cs="Times New Roman"/>
                      <w:sz w:val="21"/>
                    </w:rPr>
                    <w:t>1.4禁止在自治州行政区域内引进能（水）耗不符合相关国家标准中准入值要求，且污染物排放和环境风险防控不符合国家（地方）标准及有关产业准入条件的高污染（排放）、高能（水）耗、高环境风险的工业项目。</w:t>
                  </w:r>
                </w:p>
              </w:tc>
              <w:tc>
                <w:tcPr>
                  <w:tcW w:w="1371" w:type="dxa"/>
                  <w:vAlign w:val="center"/>
                </w:tcPr>
                <w:p w14:paraId="7E4BA3D1">
                  <w:pPr>
                    <w:spacing w:line="240" w:lineRule="auto"/>
                    <w:ind w:firstLine="0" w:firstLineChars="0"/>
                    <w:contextualSpacing/>
                    <w:jc w:val="center"/>
                    <w:rPr>
                      <w:rFonts w:cs="Times New Roman"/>
                      <w:sz w:val="21"/>
                    </w:rPr>
                  </w:pPr>
                  <w:r>
                    <w:rPr>
                      <w:rFonts w:cs="Times New Roman"/>
                      <w:sz w:val="21"/>
                    </w:rPr>
                    <w:t>本项目不属于“三高”行业</w:t>
                  </w:r>
                </w:p>
              </w:tc>
              <w:tc>
                <w:tcPr>
                  <w:tcW w:w="787" w:type="dxa"/>
                  <w:vAlign w:val="center"/>
                </w:tcPr>
                <w:p w14:paraId="36D88B27">
                  <w:pPr>
                    <w:spacing w:line="240" w:lineRule="auto"/>
                    <w:ind w:firstLine="0" w:firstLineChars="0"/>
                    <w:contextualSpacing/>
                    <w:jc w:val="center"/>
                    <w:rPr>
                      <w:rFonts w:cs="Times New Roman"/>
                      <w:sz w:val="21"/>
                    </w:rPr>
                  </w:pPr>
                  <w:r>
                    <w:rPr>
                      <w:rFonts w:cs="Times New Roman"/>
                      <w:sz w:val="21"/>
                    </w:rPr>
                    <w:t>符合</w:t>
                  </w:r>
                </w:p>
              </w:tc>
            </w:tr>
            <w:tr w14:paraId="66555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59277F92">
                  <w:pPr>
                    <w:spacing w:line="240" w:lineRule="auto"/>
                    <w:ind w:firstLine="0" w:firstLineChars="0"/>
                    <w:contextualSpacing/>
                    <w:jc w:val="center"/>
                    <w:rPr>
                      <w:rFonts w:cs="Times New Roman"/>
                      <w:sz w:val="21"/>
                    </w:rPr>
                  </w:pPr>
                </w:p>
              </w:tc>
              <w:tc>
                <w:tcPr>
                  <w:tcW w:w="286" w:type="dxa"/>
                  <w:vMerge w:val="continue"/>
                  <w:vAlign w:val="center"/>
                </w:tcPr>
                <w:p w14:paraId="5B55FA80">
                  <w:pPr>
                    <w:spacing w:line="240" w:lineRule="auto"/>
                    <w:ind w:firstLine="0" w:firstLineChars="0"/>
                    <w:contextualSpacing/>
                    <w:jc w:val="center"/>
                    <w:rPr>
                      <w:rFonts w:cs="Times New Roman"/>
                      <w:sz w:val="21"/>
                    </w:rPr>
                  </w:pPr>
                </w:p>
              </w:tc>
              <w:tc>
                <w:tcPr>
                  <w:tcW w:w="5594" w:type="dxa"/>
                  <w:vAlign w:val="center"/>
                </w:tcPr>
                <w:p w14:paraId="0C77E103">
                  <w:pPr>
                    <w:spacing w:line="240" w:lineRule="auto"/>
                    <w:ind w:firstLine="0" w:firstLineChars="0"/>
                    <w:contextualSpacing/>
                    <w:rPr>
                      <w:rFonts w:cs="Times New Roman"/>
                      <w:sz w:val="21"/>
                    </w:rPr>
                  </w:pPr>
                  <w:r>
                    <w:rPr>
                      <w:rFonts w:cs="Times New Roman"/>
                      <w:sz w:val="21"/>
                    </w:rPr>
                    <w:t>1.5禁止新建、改建、扩建严重污染大气环境的项目。工业和信息化主管部门应当会同发展和改革、生态环境等部门，根据巴州生态环境局提供的大气监测数据制定工业产业转型升级行动计划和严重污染大气项目退出计划，报本级人民政府批准后向社会公布。对城市建成区大气环境质量造成明显影响的项目，自治州、各县（市）人民政府规定期限内未达到治理要求的项目，应当停产、限期搬迁或者关闭。</w:t>
                  </w:r>
                </w:p>
              </w:tc>
              <w:tc>
                <w:tcPr>
                  <w:tcW w:w="1371" w:type="dxa"/>
                  <w:vAlign w:val="center"/>
                </w:tcPr>
                <w:p w14:paraId="6DFFE1C4">
                  <w:pPr>
                    <w:spacing w:line="240" w:lineRule="auto"/>
                    <w:ind w:firstLine="0" w:firstLineChars="0"/>
                    <w:contextualSpacing/>
                    <w:jc w:val="center"/>
                    <w:rPr>
                      <w:rFonts w:cs="Times New Roman"/>
                      <w:sz w:val="21"/>
                    </w:rPr>
                  </w:pPr>
                  <w:r>
                    <w:rPr>
                      <w:rFonts w:hint="eastAsia" w:ascii="宋体" w:hAnsi="宋体" w:cs="宋体"/>
                      <w:color w:val="000000"/>
                      <w:sz w:val="21"/>
                      <w:szCs w:val="21"/>
                    </w:rPr>
                    <w:t>本项目主要储存丙烷、丁烷等气体</w:t>
                  </w:r>
                  <w:r>
                    <w:rPr>
                      <w:rFonts w:cs="Times New Roman"/>
                      <w:sz w:val="21"/>
                    </w:rPr>
                    <w:t>，不属于重污染行业</w:t>
                  </w:r>
                </w:p>
              </w:tc>
              <w:tc>
                <w:tcPr>
                  <w:tcW w:w="787" w:type="dxa"/>
                  <w:vAlign w:val="center"/>
                </w:tcPr>
                <w:p w14:paraId="0C850674">
                  <w:pPr>
                    <w:spacing w:line="240" w:lineRule="auto"/>
                    <w:ind w:firstLine="0" w:firstLineChars="0"/>
                    <w:contextualSpacing/>
                    <w:jc w:val="center"/>
                    <w:rPr>
                      <w:rFonts w:cs="Times New Roman"/>
                      <w:sz w:val="21"/>
                    </w:rPr>
                  </w:pPr>
                  <w:r>
                    <w:rPr>
                      <w:rFonts w:cs="Times New Roman"/>
                      <w:sz w:val="21"/>
                    </w:rPr>
                    <w:t>符合</w:t>
                  </w:r>
                </w:p>
              </w:tc>
            </w:tr>
            <w:tr w14:paraId="4F6AE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7357304E">
                  <w:pPr>
                    <w:spacing w:line="240" w:lineRule="auto"/>
                    <w:ind w:firstLine="0" w:firstLineChars="0"/>
                    <w:contextualSpacing/>
                    <w:jc w:val="center"/>
                    <w:rPr>
                      <w:rFonts w:cs="Times New Roman"/>
                      <w:sz w:val="21"/>
                    </w:rPr>
                  </w:pPr>
                </w:p>
              </w:tc>
              <w:tc>
                <w:tcPr>
                  <w:tcW w:w="286" w:type="dxa"/>
                  <w:vMerge w:val="continue"/>
                  <w:vAlign w:val="center"/>
                </w:tcPr>
                <w:p w14:paraId="72E51200">
                  <w:pPr>
                    <w:spacing w:line="240" w:lineRule="auto"/>
                    <w:ind w:firstLine="0" w:firstLineChars="0"/>
                    <w:contextualSpacing/>
                    <w:jc w:val="center"/>
                    <w:rPr>
                      <w:rFonts w:cs="Times New Roman"/>
                      <w:sz w:val="21"/>
                    </w:rPr>
                  </w:pPr>
                </w:p>
              </w:tc>
              <w:tc>
                <w:tcPr>
                  <w:tcW w:w="5594" w:type="dxa"/>
                  <w:vAlign w:val="center"/>
                </w:tcPr>
                <w:p w14:paraId="58F078F8">
                  <w:pPr>
                    <w:spacing w:line="240" w:lineRule="auto"/>
                    <w:ind w:firstLine="0" w:firstLineChars="0"/>
                    <w:contextualSpacing/>
                    <w:jc w:val="center"/>
                    <w:rPr>
                      <w:rFonts w:cs="Times New Roman"/>
                      <w:sz w:val="21"/>
                    </w:rPr>
                  </w:pPr>
                  <w:r>
                    <w:rPr>
                      <w:rFonts w:cs="Times New Roman"/>
                      <w:sz w:val="21"/>
                    </w:rPr>
                    <w:t>1.6在饮用水水源保护区内，禁止设置排污口。</w:t>
                  </w:r>
                </w:p>
              </w:tc>
              <w:tc>
                <w:tcPr>
                  <w:tcW w:w="1371" w:type="dxa"/>
                  <w:vAlign w:val="center"/>
                </w:tcPr>
                <w:p w14:paraId="1C5D9C63">
                  <w:pPr>
                    <w:spacing w:line="240" w:lineRule="auto"/>
                    <w:ind w:firstLine="0" w:firstLineChars="0"/>
                    <w:contextualSpacing/>
                    <w:jc w:val="center"/>
                    <w:rPr>
                      <w:rFonts w:cs="Times New Roman"/>
                      <w:sz w:val="21"/>
                    </w:rPr>
                  </w:pPr>
                  <w:r>
                    <w:rPr>
                      <w:rFonts w:hint="eastAsia" w:cs="Times New Roman"/>
                      <w:color w:val="000000" w:themeColor="text1"/>
                      <w:sz w:val="21"/>
                      <w:szCs w:val="24"/>
                      <w14:textFill>
                        <w14:solidFill>
                          <w14:schemeClr w14:val="tx1"/>
                        </w14:solidFill>
                      </w14:textFill>
                    </w:rPr>
                    <w:t>生活污水经化粪池预处理后由吸污车拉运至和静县污水处理厂处理</w:t>
                  </w:r>
                </w:p>
              </w:tc>
              <w:tc>
                <w:tcPr>
                  <w:tcW w:w="787" w:type="dxa"/>
                  <w:vAlign w:val="center"/>
                </w:tcPr>
                <w:p w14:paraId="4E4530B8">
                  <w:pPr>
                    <w:spacing w:line="240" w:lineRule="auto"/>
                    <w:ind w:firstLine="0" w:firstLineChars="0"/>
                    <w:contextualSpacing/>
                    <w:jc w:val="center"/>
                    <w:rPr>
                      <w:rFonts w:cs="Times New Roman"/>
                      <w:sz w:val="21"/>
                    </w:rPr>
                  </w:pPr>
                  <w:r>
                    <w:rPr>
                      <w:rFonts w:cs="Times New Roman"/>
                      <w:sz w:val="21"/>
                    </w:rPr>
                    <w:t>符合</w:t>
                  </w:r>
                </w:p>
              </w:tc>
            </w:tr>
            <w:tr w14:paraId="79BFE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22" w:hRule="atLeast"/>
                <w:jc w:val="center"/>
              </w:trPr>
              <w:tc>
                <w:tcPr>
                  <w:tcW w:w="266" w:type="dxa"/>
                  <w:vMerge w:val="continue"/>
                  <w:vAlign w:val="center"/>
                </w:tcPr>
                <w:p w14:paraId="539AE07C">
                  <w:pPr>
                    <w:spacing w:line="240" w:lineRule="auto"/>
                    <w:ind w:firstLine="0" w:firstLineChars="0"/>
                    <w:contextualSpacing/>
                    <w:jc w:val="center"/>
                    <w:rPr>
                      <w:rFonts w:cs="Times New Roman"/>
                      <w:sz w:val="21"/>
                    </w:rPr>
                  </w:pPr>
                </w:p>
              </w:tc>
              <w:tc>
                <w:tcPr>
                  <w:tcW w:w="286" w:type="dxa"/>
                  <w:vMerge w:val="continue"/>
                  <w:vAlign w:val="center"/>
                </w:tcPr>
                <w:p w14:paraId="77A2D208">
                  <w:pPr>
                    <w:spacing w:line="240" w:lineRule="auto"/>
                    <w:ind w:firstLine="0" w:firstLineChars="0"/>
                    <w:contextualSpacing/>
                    <w:jc w:val="center"/>
                    <w:rPr>
                      <w:rFonts w:cs="Times New Roman"/>
                      <w:sz w:val="21"/>
                    </w:rPr>
                  </w:pPr>
                </w:p>
              </w:tc>
              <w:tc>
                <w:tcPr>
                  <w:tcW w:w="5594" w:type="dxa"/>
                  <w:vAlign w:val="center"/>
                </w:tcPr>
                <w:p w14:paraId="3C6066B5">
                  <w:pPr>
                    <w:spacing w:line="240" w:lineRule="auto"/>
                    <w:ind w:firstLine="0" w:firstLineChars="0"/>
                    <w:contextualSpacing/>
                    <w:jc w:val="center"/>
                    <w:rPr>
                      <w:rFonts w:cs="Times New Roman"/>
                      <w:sz w:val="21"/>
                    </w:rPr>
                  </w:pPr>
                  <w:r>
                    <w:rPr>
                      <w:rFonts w:cs="Times New Roman"/>
                      <w:sz w:val="21"/>
                    </w:rPr>
                    <w:t>1.7开都-孔雀河流域、塔里木河流域沿岸，要严格控制石油加工、化学原料和化学制品制造、医药制造、化学纤维制造、有色金属冶炼、纺织印染等项目环境风险，合理布局生产装置及危险化学品仓储等设施。</w:t>
                  </w:r>
                </w:p>
              </w:tc>
              <w:tc>
                <w:tcPr>
                  <w:tcW w:w="1371" w:type="dxa"/>
                  <w:vMerge w:val="restart"/>
                  <w:vAlign w:val="center"/>
                </w:tcPr>
                <w:p w14:paraId="5950F383">
                  <w:pPr>
                    <w:spacing w:line="240" w:lineRule="auto"/>
                    <w:ind w:firstLine="0" w:firstLineChars="0"/>
                    <w:contextualSpacing/>
                    <w:jc w:val="center"/>
                    <w:rPr>
                      <w:rFonts w:cs="Times New Roman"/>
                      <w:sz w:val="21"/>
                    </w:rPr>
                  </w:pPr>
                  <w:r>
                    <w:rPr>
                      <w:rFonts w:cs="Times New Roman"/>
                      <w:sz w:val="21"/>
                    </w:rPr>
                    <w:t>本项目位</w:t>
                  </w:r>
                  <w:r>
                    <w:rPr>
                      <w:rFonts w:hint="eastAsia" w:cs="Times New Roman"/>
                      <w:sz w:val="21"/>
                    </w:rPr>
                    <w:t>于和静工业园区新兴产业区</w:t>
                  </w:r>
                  <w:r>
                    <w:rPr>
                      <w:rFonts w:cs="Times New Roman"/>
                      <w:sz w:val="21"/>
                    </w:rPr>
                    <w:t>，不在开都-孔雀河流域、塔里木河流域沿岸范围内</w:t>
                  </w:r>
                </w:p>
              </w:tc>
              <w:tc>
                <w:tcPr>
                  <w:tcW w:w="787" w:type="dxa"/>
                  <w:vAlign w:val="center"/>
                </w:tcPr>
                <w:p w14:paraId="119AC68E">
                  <w:pPr>
                    <w:spacing w:line="240" w:lineRule="auto"/>
                    <w:ind w:firstLine="0" w:firstLineChars="0"/>
                    <w:contextualSpacing/>
                    <w:jc w:val="center"/>
                    <w:rPr>
                      <w:rFonts w:cs="Times New Roman"/>
                      <w:sz w:val="21"/>
                    </w:rPr>
                  </w:pPr>
                  <w:r>
                    <w:rPr>
                      <w:rFonts w:cs="Times New Roman"/>
                      <w:sz w:val="21"/>
                    </w:rPr>
                    <w:t>符合</w:t>
                  </w:r>
                </w:p>
              </w:tc>
            </w:tr>
            <w:tr w14:paraId="26D84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3A9F3A7C">
                  <w:pPr>
                    <w:spacing w:line="240" w:lineRule="auto"/>
                    <w:ind w:firstLine="0" w:firstLineChars="0"/>
                    <w:contextualSpacing/>
                    <w:jc w:val="center"/>
                    <w:rPr>
                      <w:rFonts w:cs="Times New Roman"/>
                      <w:sz w:val="21"/>
                    </w:rPr>
                  </w:pPr>
                </w:p>
              </w:tc>
              <w:tc>
                <w:tcPr>
                  <w:tcW w:w="286" w:type="dxa"/>
                  <w:vMerge w:val="continue"/>
                  <w:vAlign w:val="center"/>
                </w:tcPr>
                <w:p w14:paraId="0993828A">
                  <w:pPr>
                    <w:spacing w:line="240" w:lineRule="auto"/>
                    <w:ind w:firstLine="0" w:firstLineChars="0"/>
                    <w:contextualSpacing/>
                    <w:jc w:val="center"/>
                    <w:rPr>
                      <w:rFonts w:cs="Times New Roman"/>
                      <w:sz w:val="21"/>
                    </w:rPr>
                  </w:pPr>
                </w:p>
              </w:tc>
              <w:tc>
                <w:tcPr>
                  <w:tcW w:w="5594" w:type="dxa"/>
                  <w:vAlign w:val="center"/>
                </w:tcPr>
                <w:p w14:paraId="7B03AA4B">
                  <w:pPr>
                    <w:spacing w:line="240" w:lineRule="auto"/>
                    <w:ind w:firstLine="0" w:firstLineChars="0"/>
                    <w:contextualSpacing/>
                    <w:jc w:val="center"/>
                    <w:rPr>
                      <w:rFonts w:cs="Times New Roman"/>
                      <w:sz w:val="21"/>
                    </w:rPr>
                  </w:pPr>
                  <w:r>
                    <w:rPr>
                      <w:rFonts w:cs="Times New Roman"/>
                      <w:sz w:val="21"/>
                    </w:rPr>
                    <w:t>1.9县级以上地方人民政府应当依法将符合条件的优先保护类耕地划为永久基本农田，实行严格保护。在永久基本农田集中区域，不得新建可能造成土壤污染的建设项目；已经建成的，应当限期关闭拆除。</w:t>
                  </w:r>
                </w:p>
              </w:tc>
              <w:tc>
                <w:tcPr>
                  <w:tcW w:w="1371" w:type="dxa"/>
                  <w:vMerge w:val="restart"/>
                  <w:vAlign w:val="center"/>
                </w:tcPr>
                <w:p w14:paraId="56A8E7FF">
                  <w:pPr>
                    <w:spacing w:line="240" w:lineRule="auto"/>
                    <w:ind w:firstLine="0" w:firstLineChars="0"/>
                    <w:contextualSpacing/>
                    <w:jc w:val="center"/>
                    <w:rPr>
                      <w:rFonts w:cs="Times New Roman"/>
                      <w:sz w:val="21"/>
                    </w:rPr>
                  </w:pPr>
                  <w:r>
                    <w:rPr>
                      <w:rFonts w:hint="eastAsia" w:cs="Times New Roman"/>
                      <w:sz w:val="21"/>
                    </w:rPr>
                    <w:t>本项目主要储存丙烷、丁烷等气体</w:t>
                  </w:r>
                  <w:r>
                    <w:rPr>
                      <w:rFonts w:cs="Times New Roman"/>
                      <w:sz w:val="21"/>
                    </w:rPr>
                    <w:t>，不会造成周边土壤环境污染</w:t>
                  </w:r>
                </w:p>
              </w:tc>
              <w:tc>
                <w:tcPr>
                  <w:tcW w:w="787" w:type="dxa"/>
                  <w:vAlign w:val="center"/>
                </w:tcPr>
                <w:p w14:paraId="28D8F914">
                  <w:pPr>
                    <w:spacing w:line="240" w:lineRule="auto"/>
                    <w:ind w:firstLine="0" w:firstLineChars="0"/>
                    <w:contextualSpacing/>
                    <w:jc w:val="center"/>
                    <w:rPr>
                      <w:rFonts w:cs="Times New Roman"/>
                      <w:sz w:val="21"/>
                    </w:rPr>
                  </w:pPr>
                  <w:r>
                    <w:rPr>
                      <w:rFonts w:cs="Times New Roman"/>
                      <w:sz w:val="21"/>
                    </w:rPr>
                    <w:t>符合</w:t>
                  </w:r>
                </w:p>
              </w:tc>
            </w:tr>
            <w:tr w14:paraId="0E61D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5313D529">
                  <w:pPr>
                    <w:spacing w:line="240" w:lineRule="auto"/>
                    <w:ind w:firstLine="0" w:firstLineChars="0"/>
                    <w:contextualSpacing/>
                    <w:jc w:val="center"/>
                    <w:rPr>
                      <w:rFonts w:cs="Times New Roman"/>
                      <w:sz w:val="21"/>
                    </w:rPr>
                  </w:pPr>
                </w:p>
              </w:tc>
              <w:tc>
                <w:tcPr>
                  <w:tcW w:w="286" w:type="dxa"/>
                  <w:vMerge w:val="continue"/>
                  <w:vAlign w:val="center"/>
                </w:tcPr>
                <w:p w14:paraId="3AE56E7F">
                  <w:pPr>
                    <w:spacing w:line="240" w:lineRule="auto"/>
                    <w:ind w:firstLine="0" w:firstLineChars="0"/>
                    <w:contextualSpacing/>
                    <w:jc w:val="center"/>
                    <w:rPr>
                      <w:rFonts w:cs="Times New Roman"/>
                      <w:sz w:val="21"/>
                    </w:rPr>
                  </w:pPr>
                </w:p>
              </w:tc>
              <w:tc>
                <w:tcPr>
                  <w:tcW w:w="5594" w:type="dxa"/>
                  <w:vAlign w:val="center"/>
                </w:tcPr>
                <w:p w14:paraId="0ECCC77F">
                  <w:pPr>
                    <w:spacing w:line="240" w:lineRule="auto"/>
                    <w:ind w:firstLine="0" w:firstLineChars="0"/>
                    <w:contextualSpacing/>
                    <w:jc w:val="center"/>
                    <w:rPr>
                      <w:rFonts w:cs="Times New Roman"/>
                      <w:sz w:val="21"/>
                    </w:rPr>
                  </w:pPr>
                  <w:r>
                    <w:rPr>
                      <w:rFonts w:cs="Times New Roman"/>
                      <w:sz w:val="21"/>
                    </w:rPr>
                    <w:t>1.10落实重度污染土地严格管控措施。加强对严格管控类耕地、园地、草地的用途管理，依法将其划定为农产品禁止生产区域，严禁种植食用农产品，不得列入国家中央财政投资农业高效节水项目建设；对威胁地下水、饮用水水源安全的，有关县市人民政府要制定环境风险管控方案，并落实有关措施。研究推进严格管控类耕地、园地、草地纳入新一轮退耕还林还草实施范围，制定实施重度污染耕地、园地、草地种植结构调整或退耕还林还草计划。推行耕地轮作休耕制度试点、草地轮牧休牧禁牧制度试点。</w:t>
                  </w:r>
                </w:p>
              </w:tc>
              <w:tc>
                <w:tcPr>
                  <w:tcW w:w="1371" w:type="dxa"/>
                  <w:vMerge w:val="continue"/>
                  <w:vAlign w:val="center"/>
                </w:tcPr>
                <w:p w14:paraId="610DFFF1">
                  <w:pPr>
                    <w:spacing w:line="240" w:lineRule="auto"/>
                    <w:ind w:firstLine="0" w:firstLineChars="0"/>
                    <w:contextualSpacing/>
                    <w:jc w:val="center"/>
                    <w:rPr>
                      <w:rFonts w:cs="Times New Roman"/>
                      <w:sz w:val="21"/>
                    </w:rPr>
                  </w:pPr>
                </w:p>
              </w:tc>
              <w:tc>
                <w:tcPr>
                  <w:tcW w:w="787" w:type="dxa"/>
                  <w:vAlign w:val="center"/>
                </w:tcPr>
                <w:p w14:paraId="7120B237">
                  <w:pPr>
                    <w:spacing w:line="240" w:lineRule="auto"/>
                    <w:ind w:firstLine="0" w:firstLineChars="0"/>
                    <w:contextualSpacing/>
                    <w:jc w:val="center"/>
                    <w:rPr>
                      <w:rFonts w:cs="Times New Roman"/>
                      <w:sz w:val="21"/>
                    </w:rPr>
                  </w:pPr>
                  <w:r>
                    <w:rPr>
                      <w:rFonts w:cs="Times New Roman"/>
                      <w:sz w:val="21"/>
                    </w:rPr>
                    <w:t>符合</w:t>
                  </w:r>
                </w:p>
              </w:tc>
            </w:tr>
            <w:tr w14:paraId="24BA8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5A7D229E">
                  <w:pPr>
                    <w:spacing w:line="240" w:lineRule="auto"/>
                    <w:ind w:firstLine="0" w:firstLineChars="0"/>
                    <w:contextualSpacing/>
                    <w:jc w:val="center"/>
                    <w:rPr>
                      <w:rFonts w:cs="Times New Roman"/>
                      <w:sz w:val="21"/>
                    </w:rPr>
                  </w:pPr>
                </w:p>
              </w:tc>
              <w:tc>
                <w:tcPr>
                  <w:tcW w:w="286" w:type="dxa"/>
                  <w:vMerge w:val="restart"/>
                  <w:vAlign w:val="center"/>
                </w:tcPr>
                <w:p w14:paraId="0DA60009">
                  <w:pPr>
                    <w:spacing w:line="240" w:lineRule="auto"/>
                    <w:ind w:firstLine="0" w:firstLineChars="0"/>
                    <w:contextualSpacing/>
                    <w:jc w:val="center"/>
                    <w:rPr>
                      <w:rFonts w:cs="Times New Roman"/>
                      <w:sz w:val="21"/>
                    </w:rPr>
                  </w:pPr>
                  <w:r>
                    <w:rPr>
                      <w:rFonts w:cs="Times New Roman"/>
                      <w:sz w:val="21"/>
                    </w:rPr>
                    <w:t>污染物排放管控</w:t>
                  </w:r>
                </w:p>
              </w:tc>
              <w:tc>
                <w:tcPr>
                  <w:tcW w:w="5594" w:type="dxa"/>
                  <w:vAlign w:val="center"/>
                </w:tcPr>
                <w:p w14:paraId="345C1DAE">
                  <w:pPr>
                    <w:spacing w:line="240" w:lineRule="auto"/>
                    <w:ind w:firstLine="0" w:firstLineChars="0"/>
                    <w:contextualSpacing/>
                    <w:rPr>
                      <w:rFonts w:cs="Times New Roman"/>
                      <w:sz w:val="21"/>
                    </w:rPr>
                  </w:pPr>
                  <w:r>
                    <w:rPr>
                      <w:rFonts w:cs="Times New Roman"/>
                      <w:sz w:val="21"/>
                    </w:rPr>
                    <w:t>2.1水源涵养和生物多样性维护型重点生态功能区水质达到地表水、地下水I类，空气质量达到一级。</w:t>
                  </w:r>
                </w:p>
              </w:tc>
              <w:tc>
                <w:tcPr>
                  <w:tcW w:w="1371" w:type="dxa"/>
                  <w:vAlign w:val="center"/>
                </w:tcPr>
                <w:p w14:paraId="4CEB6FD5">
                  <w:pPr>
                    <w:spacing w:line="240" w:lineRule="auto"/>
                    <w:ind w:firstLine="0" w:firstLineChars="0"/>
                    <w:contextualSpacing/>
                    <w:jc w:val="center"/>
                    <w:rPr>
                      <w:rFonts w:cs="Times New Roman"/>
                      <w:sz w:val="21"/>
                    </w:rPr>
                  </w:pPr>
                  <w:r>
                    <w:rPr>
                      <w:rFonts w:cs="Times New Roman"/>
                      <w:sz w:val="21"/>
                    </w:rPr>
                    <w:t>本项目不涉及重点生态功能区</w:t>
                  </w:r>
                </w:p>
              </w:tc>
              <w:tc>
                <w:tcPr>
                  <w:tcW w:w="787" w:type="dxa"/>
                  <w:vAlign w:val="center"/>
                </w:tcPr>
                <w:p w14:paraId="7F2E0D20">
                  <w:pPr>
                    <w:spacing w:line="240" w:lineRule="auto"/>
                    <w:ind w:firstLine="0" w:firstLineChars="0"/>
                    <w:contextualSpacing/>
                    <w:jc w:val="center"/>
                    <w:rPr>
                      <w:rFonts w:cs="Times New Roman"/>
                      <w:sz w:val="21"/>
                    </w:rPr>
                  </w:pPr>
                  <w:r>
                    <w:rPr>
                      <w:rFonts w:cs="Times New Roman"/>
                      <w:sz w:val="21"/>
                    </w:rPr>
                    <w:t>符合</w:t>
                  </w:r>
                </w:p>
              </w:tc>
            </w:tr>
            <w:tr w14:paraId="45635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21F9B12D">
                  <w:pPr>
                    <w:spacing w:line="240" w:lineRule="auto"/>
                    <w:ind w:firstLine="0" w:firstLineChars="0"/>
                    <w:contextualSpacing/>
                    <w:jc w:val="center"/>
                    <w:rPr>
                      <w:rFonts w:cs="Times New Roman"/>
                      <w:sz w:val="21"/>
                    </w:rPr>
                  </w:pPr>
                </w:p>
              </w:tc>
              <w:tc>
                <w:tcPr>
                  <w:tcW w:w="286" w:type="dxa"/>
                  <w:vMerge w:val="continue"/>
                  <w:vAlign w:val="center"/>
                </w:tcPr>
                <w:p w14:paraId="030ED66E">
                  <w:pPr>
                    <w:spacing w:line="240" w:lineRule="auto"/>
                    <w:ind w:firstLine="0" w:firstLineChars="0"/>
                    <w:contextualSpacing/>
                    <w:jc w:val="center"/>
                    <w:rPr>
                      <w:rFonts w:cs="Times New Roman"/>
                      <w:sz w:val="21"/>
                    </w:rPr>
                  </w:pPr>
                </w:p>
              </w:tc>
              <w:tc>
                <w:tcPr>
                  <w:tcW w:w="5594" w:type="dxa"/>
                  <w:vAlign w:val="center"/>
                </w:tcPr>
                <w:p w14:paraId="6B44ED96">
                  <w:pPr>
                    <w:spacing w:line="240" w:lineRule="auto"/>
                    <w:ind w:firstLine="0" w:firstLineChars="0"/>
                    <w:contextualSpacing/>
                    <w:jc w:val="center"/>
                    <w:rPr>
                      <w:rFonts w:cs="Times New Roman"/>
                      <w:sz w:val="21"/>
                    </w:rPr>
                  </w:pPr>
                  <w:r>
                    <w:rPr>
                      <w:rFonts w:cs="Times New Roman"/>
                      <w:sz w:val="21"/>
                    </w:rPr>
                    <w:t>2.2燃煤电厂和其他燃煤单位应当采用清洁生产工艺，配套建设除尘、脱硫、脱硝等装置，或者采取技术改造等其他控制大气污染物排放的措施。国家鼓励燃煤单位采用先进的除尘、脱硫、脱硝、脱汞等大气污染物协同控制的技术和装置，减少大气污染物的排放。</w:t>
                  </w:r>
                </w:p>
              </w:tc>
              <w:tc>
                <w:tcPr>
                  <w:tcW w:w="1371" w:type="dxa"/>
                  <w:vAlign w:val="center"/>
                </w:tcPr>
                <w:p w14:paraId="4E5B731A">
                  <w:pPr>
                    <w:spacing w:line="240" w:lineRule="auto"/>
                    <w:ind w:firstLine="0" w:firstLineChars="0"/>
                    <w:contextualSpacing/>
                    <w:jc w:val="center"/>
                    <w:rPr>
                      <w:rFonts w:cs="Times New Roman"/>
                      <w:sz w:val="21"/>
                    </w:rPr>
                  </w:pPr>
                  <w:r>
                    <w:rPr>
                      <w:rFonts w:cs="Times New Roman"/>
                      <w:sz w:val="21"/>
                    </w:rPr>
                    <w:t>本项目</w:t>
                  </w:r>
                  <w:r>
                    <w:rPr>
                      <w:rFonts w:hint="eastAsia" w:cs="Times New Roman"/>
                      <w:sz w:val="21"/>
                    </w:rPr>
                    <w:t>不</w:t>
                  </w:r>
                  <w:r>
                    <w:rPr>
                      <w:rFonts w:cs="Times New Roman"/>
                      <w:sz w:val="21"/>
                    </w:rPr>
                    <w:t>使用</w:t>
                  </w:r>
                  <w:r>
                    <w:rPr>
                      <w:rFonts w:hint="eastAsia" w:cs="Times New Roman"/>
                      <w:sz w:val="21"/>
                    </w:rPr>
                    <w:t>锅炉</w:t>
                  </w:r>
                </w:p>
              </w:tc>
              <w:tc>
                <w:tcPr>
                  <w:tcW w:w="787" w:type="dxa"/>
                  <w:vAlign w:val="center"/>
                </w:tcPr>
                <w:p w14:paraId="255B94AC">
                  <w:pPr>
                    <w:spacing w:line="240" w:lineRule="auto"/>
                    <w:ind w:firstLine="0" w:firstLineChars="0"/>
                    <w:contextualSpacing/>
                    <w:jc w:val="center"/>
                    <w:rPr>
                      <w:rFonts w:cs="Times New Roman"/>
                      <w:sz w:val="21"/>
                    </w:rPr>
                  </w:pPr>
                  <w:r>
                    <w:rPr>
                      <w:rFonts w:cs="Times New Roman"/>
                      <w:sz w:val="21"/>
                    </w:rPr>
                    <w:t>符合</w:t>
                  </w:r>
                </w:p>
              </w:tc>
            </w:tr>
            <w:tr w14:paraId="7C4FD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71F52984">
                  <w:pPr>
                    <w:spacing w:line="240" w:lineRule="auto"/>
                    <w:ind w:firstLine="0" w:firstLineChars="0"/>
                    <w:contextualSpacing/>
                    <w:jc w:val="center"/>
                    <w:rPr>
                      <w:rFonts w:cs="Times New Roman"/>
                      <w:sz w:val="21"/>
                    </w:rPr>
                  </w:pPr>
                </w:p>
              </w:tc>
              <w:tc>
                <w:tcPr>
                  <w:tcW w:w="286" w:type="dxa"/>
                  <w:vMerge w:val="continue"/>
                  <w:vAlign w:val="center"/>
                </w:tcPr>
                <w:p w14:paraId="65469999">
                  <w:pPr>
                    <w:spacing w:line="240" w:lineRule="auto"/>
                    <w:ind w:firstLine="0" w:firstLineChars="0"/>
                    <w:contextualSpacing/>
                    <w:jc w:val="center"/>
                    <w:rPr>
                      <w:rFonts w:cs="Times New Roman"/>
                      <w:sz w:val="21"/>
                    </w:rPr>
                  </w:pPr>
                </w:p>
              </w:tc>
              <w:tc>
                <w:tcPr>
                  <w:tcW w:w="5594" w:type="dxa"/>
                  <w:vAlign w:val="center"/>
                </w:tcPr>
                <w:p w14:paraId="607F6B1B">
                  <w:pPr>
                    <w:spacing w:line="240" w:lineRule="auto"/>
                    <w:ind w:firstLine="0" w:firstLineChars="0"/>
                    <w:contextualSpacing/>
                    <w:jc w:val="center"/>
                    <w:rPr>
                      <w:rFonts w:cs="Times New Roman"/>
                      <w:sz w:val="21"/>
                    </w:rPr>
                  </w:pPr>
                  <w:r>
                    <w:rPr>
                      <w:rFonts w:cs="Times New Roman"/>
                      <w:sz w:val="21"/>
                    </w:rPr>
                    <w:t>2.6根据水环境保护的需要，在饮用水水源保护区内，采取禁止或者限制使用含磷洗涤剂、化肥、农药以及限制种植养殖等措施。</w:t>
                  </w:r>
                </w:p>
              </w:tc>
              <w:tc>
                <w:tcPr>
                  <w:tcW w:w="1371" w:type="dxa"/>
                  <w:vAlign w:val="center"/>
                </w:tcPr>
                <w:p w14:paraId="133CD390">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1F8CEC3E">
                  <w:pPr>
                    <w:spacing w:line="240" w:lineRule="auto"/>
                    <w:ind w:firstLine="0" w:firstLineChars="0"/>
                    <w:contextualSpacing/>
                    <w:jc w:val="center"/>
                    <w:rPr>
                      <w:rFonts w:cs="Times New Roman"/>
                      <w:sz w:val="21"/>
                    </w:rPr>
                  </w:pPr>
                  <w:r>
                    <w:rPr>
                      <w:rFonts w:cs="Times New Roman"/>
                      <w:sz w:val="21"/>
                    </w:rPr>
                    <w:t>符合</w:t>
                  </w:r>
                </w:p>
              </w:tc>
            </w:tr>
            <w:tr w14:paraId="3BBBF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D231B32">
                  <w:pPr>
                    <w:spacing w:line="240" w:lineRule="auto"/>
                    <w:ind w:firstLine="0" w:firstLineChars="0"/>
                    <w:contextualSpacing/>
                    <w:jc w:val="center"/>
                    <w:rPr>
                      <w:rFonts w:cs="Times New Roman"/>
                      <w:sz w:val="21"/>
                    </w:rPr>
                  </w:pPr>
                </w:p>
              </w:tc>
              <w:tc>
                <w:tcPr>
                  <w:tcW w:w="286" w:type="dxa"/>
                  <w:vMerge w:val="continue"/>
                  <w:vAlign w:val="center"/>
                </w:tcPr>
                <w:p w14:paraId="66D70EB9">
                  <w:pPr>
                    <w:spacing w:line="240" w:lineRule="auto"/>
                    <w:ind w:firstLine="0" w:firstLineChars="0"/>
                    <w:contextualSpacing/>
                    <w:jc w:val="center"/>
                    <w:rPr>
                      <w:rFonts w:cs="Times New Roman"/>
                      <w:sz w:val="21"/>
                    </w:rPr>
                  </w:pPr>
                </w:p>
              </w:tc>
              <w:tc>
                <w:tcPr>
                  <w:tcW w:w="5594" w:type="dxa"/>
                  <w:vAlign w:val="center"/>
                </w:tcPr>
                <w:p w14:paraId="635CCCEF">
                  <w:pPr>
                    <w:spacing w:line="240" w:lineRule="auto"/>
                    <w:ind w:firstLine="0" w:firstLineChars="0"/>
                    <w:contextualSpacing/>
                    <w:rPr>
                      <w:rFonts w:cs="Times New Roman"/>
                      <w:sz w:val="21"/>
                    </w:rPr>
                  </w:pPr>
                  <w:r>
                    <w:rPr>
                      <w:rFonts w:cs="Times New Roman"/>
                      <w:sz w:val="21"/>
                    </w:rPr>
                    <w:t>2.7饮用水源地准保护区内无新建、扩建制药、化工、造纸、制革、印染、染料、炼焦、炼硫、炼砷、炼油、电镀、农药等对水体污染严重的建设项目。</w:t>
                  </w:r>
                </w:p>
              </w:tc>
              <w:tc>
                <w:tcPr>
                  <w:tcW w:w="1371" w:type="dxa"/>
                  <w:vAlign w:val="center"/>
                </w:tcPr>
                <w:p w14:paraId="7A2EE515">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741744EC">
                  <w:pPr>
                    <w:spacing w:line="240" w:lineRule="auto"/>
                    <w:ind w:firstLine="0" w:firstLineChars="0"/>
                    <w:contextualSpacing/>
                    <w:jc w:val="center"/>
                    <w:rPr>
                      <w:rFonts w:cs="Times New Roman"/>
                      <w:sz w:val="21"/>
                    </w:rPr>
                  </w:pPr>
                  <w:r>
                    <w:rPr>
                      <w:rFonts w:cs="Times New Roman"/>
                      <w:sz w:val="21"/>
                    </w:rPr>
                    <w:t>符合</w:t>
                  </w:r>
                </w:p>
              </w:tc>
            </w:tr>
            <w:tr w14:paraId="4FE9D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35711F52">
                  <w:pPr>
                    <w:spacing w:line="240" w:lineRule="auto"/>
                    <w:ind w:firstLine="0" w:firstLineChars="0"/>
                    <w:contextualSpacing/>
                    <w:jc w:val="center"/>
                    <w:rPr>
                      <w:rFonts w:cs="Times New Roman"/>
                      <w:sz w:val="21"/>
                    </w:rPr>
                  </w:pPr>
                </w:p>
              </w:tc>
              <w:tc>
                <w:tcPr>
                  <w:tcW w:w="286" w:type="dxa"/>
                  <w:vMerge w:val="continue"/>
                  <w:vAlign w:val="center"/>
                </w:tcPr>
                <w:p w14:paraId="4FCB552B">
                  <w:pPr>
                    <w:spacing w:line="240" w:lineRule="auto"/>
                    <w:ind w:firstLine="0" w:firstLineChars="0"/>
                    <w:contextualSpacing/>
                    <w:jc w:val="center"/>
                    <w:rPr>
                      <w:rFonts w:cs="Times New Roman"/>
                      <w:sz w:val="21"/>
                    </w:rPr>
                  </w:pPr>
                </w:p>
              </w:tc>
              <w:tc>
                <w:tcPr>
                  <w:tcW w:w="5594" w:type="dxa"/>
                  <w:vAlign w:val="center"/>
                </w:tcPr>
                <w:p w14:paraId="468F3E4B">
                  <w:pPr>
                    <w:spacing w:line="240" w:lineRule="auto"/>
                    <w:ind w:firstLine="0" w:firstLineChars="0"/>
                    <w:contextualSpacing/>
                    <w:jc w:val="center"/>
                    <w:rPr>
                      <w:rFonts w:cs="Times New Roman"/>
                      <w:sz w:val="21"/>
                    </w:rPr>
                  </w:pPr>
                  <w:r>
                    <w:rPr>
                      <w:rFonts w:cs="Times New Roman"/>
                      <w:sz w:val="21"/>
                    </w:rPr>
                    <w:t>2.8饮用水水源二级保护区内城镇生活垃圾全部集中收集并在保护区外进行无害化处置。准保护区内工业园区企业的第一类水污染物达到车间排放要求、常规污染物达到间接排放标准后，进入园区污水处理厂集中处理。不能满足水质要求的地表水饮用水水源，准保护区或汇水区域采取水污染物容量总量控制措施，限期达标。</w:t>
                  </w:r>
                </w:p>
              </w:tc>
              <w:tc>
                <w:tcPr>
                  <w:tcW w:w="1371" w:type="dxa"/>
                  <w:vAlign w:val="center"/>
                </w:tcPr>
                <w:p w14:paraId="00559DC4">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6F92057F">
                  <w:pPr>
                    <w:spacing w:line="240" w:lineRule="auto"/>
                    <w:ind w:firstLine="0" w:firstLineChars="0"/>
                    <w:contextualSpacing/>
                    <w:jc w:val="center"/>
                    <w:rPr>
                      <w:rFonts w:cs="Times New Roman"/>
                      <w:sz w:val="21"/>
                    </w:rPr>
                  </w:pPr>
                  <w:r>
                    <w:rPr>
                      <w:rFonts w:cs="Times New Roman"/>
                      <w:sz w:val="21"/>
                    </w:rPr>
                    <w:t>符合</w:t>
                  </w:r>
                </w:p>
              </w:tc>
            </w:tr>
            <w:tr w14:paraId="4F096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59635D3D">
                  <w:pPr>
                    <w:spacing w:line="240" w:lineRule="auto"/>
                    <w:ind w:firstLine="0" w:firstLineChars="0"/>
                    <w:contextualSpacing/>
                    <w:jc w:val="center"/>
                    <w:rPr>
                      <w:rFonts w:cs="Times New Roman"/>
                      <w:sz w:val="21"/>
                    </w:rPr>
                  </w:pPr>
                </w:p>
              </w:tc>
              <w:tc>
                <w:tcPr>
                  <w:tcW w:w="286" w:type="dxa"/>
                  <w:vMerge w:val="continue"/>
                  <w:vAlign w:val="center"/>
                </w:tcPr>
                <w:p w14:paraId="53FCE126">
                  <w:pPr>
                    <w:spacing w:line="240" w:lineRule="auto"/>
                    <w:ind w:firstLine="0" w:firstLineChars="0"/>
                    <w:contextualSpacing/>
                    <w:jc w:val="center"/>
                    <w:rPr>
                      <w:rFonts w:cs="Times New Roman"/>
                      <w:sz w:val="21"/>
                    </w:rPr>
                  </w:pPr>
                </w:p>
              </w:tc>
              <w:tc>
                <w:tcPr>
                  <w:tcW w:w="5594" w:type="dxa"/>
                  <w:vAlign w:val="center"/>
                </w:tcPr>
                <w:p w14:paraId="27564F8A">
                  <w:pPr>
                    <w:spacing w:line="240" w:lineRule="auto"/>
                    <w:ind w:firstLine="0" w:firstLineChars="0"/>
                    <w:contextualSpacing/>
                    <w:jc w:val="center"/>
                    <w:rPr>
                      <w:rFonts w:cs="Times New Roman"/>
                      <w:sz w:val="21"/>
                    </w:rPr>
                  </w:pPr>
                  <w:r>
                    <w:rPr>
                      <w:rFonts w:cs="Times New Roman"/>
                      <w:sz w:val="21"/>
                    </w:rPr>
                    <w:t>2.9所有排污单位必须依法实现全面达标排放。逐一排查工业企业排污情况，重点排污单位应按要求安装污染物在线监控设施，达标企业应采取措施确保稳定达标。实行“红黄牌”警示制度，对超标和超总量的企业予以“黄牌”警示，一律限制生产或停产整治；对整治仍不能达到要求且情节严重的企业予以“红牌”处罚，一律停业、关闭。定期公布环保“黄牌”、“红牌”企业名单。定期抽查排污单位达标排放情况，结果向社会公布。加大综合惩处和处罚执行力度，建立环保领域非诉案件执行联动配合机制，对行政处罚、行政命令执行情况实施后督察。</w:t>
                  </w:r>
                </w:p>
              </w:tc>
              <w:tc>
                <w:tcPr>
                  <w:tcW w:w="1371" w:type="dxa"/>
                  <w:vAlign w:val="center"/>
                </w:tcPr>
                <w:p w14:paraId="353627B7">
                  <w:pPr>
                    <w:spacing w:line="240" w:lineRule="auto"/>
                    <w:ind w:firstLine="0" w:firstLineChars="0"/>
                    <w:contextualSpacing/>
                    <w:rPr>
                      <w:rFonts w:cs="Times New Roman"/>
                      <w:sz w:val="21"/>
                    </w:rPr>
                  </w:pPr>
                  <w:r>
                    <w:rPr>
                      <w:rFonts w:hint="eastAsia" w:cs="Times New Roman"/>
                      <w:sz w:val="21"/>
                    </w:rPr>
                    <w:t>目前，厂区现有项目已按要求取得固定污染源排污登记回执，登记编号：916528275725122713001X，有效期为2023年8月2日至2028年8月1日。本项目建成后，需对排污许可内容进行变更</w:t>
                  </w:r>
                </w:p>
              </w:tc>
              <w:tc>
                <w:tcPr>
                  <w:tcW w:w="787" w:type="dxa"/>
                  <w:vAlign w:val="center"/>
                </w:tcPr>
                <w:p w14:paraId="799E755D">
                  <w:pPr>
                    <w:spacing w:line="240" w:lineRule="auto"/>
                    <w:ind w:firstLine="0" w:firstLineChars="0"/>
                    <w:contextualSpacing/>
                    <w:jc w:val="center"/>
                    <w:rPr>
                      <w:rFonts w:cs="Times New Roman"/>
                      <w:sz w:val="21"/>
                    </w:rPr>
                  </w:pPr>
                  <w:r>
                    <w:rPr>
                      <w:rFonts w:cs="Times New Roman"/>
                      <w:sz w:val="21"/>
                    </w:rPr>
                    <w:t>符合</w:t>
                  </w:r>
                </w:p>
              </w:tc>
            </w:tr>
            <w:tr w14:paraId="477CA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35ED665A">
                  <w:pPr>
                    <w:spacing w:line="240" w:lineRule="auto"/>
                    <w:ind w:firstLine="0" w:firstLineChars="0"/>
                    <w:contextualSpacing/>
                    <w:jc w:val="center"/>
                    <w:rPr>
                      <w:rFonts w:cs="Times New Roman"/>
                      <w:sz w:val="21"/>
                    </w:rPr>
                  </w:pPr>
                </w:p>
              </w:tc>
              <w:tc>
                <w:tcPr>
                  <w:tcW w:w="286" w:type="dxa"/>
                  <w:vMerge w:val="continue"/>
                  <w:vAlign w:val="center"/>
                </w:tcPr>
                <w:p w14:paraId="6F7C6D26">
                  <w:pPr>
                    <w:spacing w:line="240" w:lineRule="auto"/>
                    <w:ind w:firstLine="0" w:firstLineChars="0"/>
                    <w:contextualSpacing/>
                    <w:jc w:val="center"/>
                    <w:rPr>
                      <w:rFonts w:cs="Times New Roman"/>
                      <w:sz w:val="21"/>
                    </w:rPr>
                  </w:pPr>
                </w:p>
              </w:tc>
              <w:tc>
                <w:tcPr>
                  <w:tcW w:w="5594" w:type="dxa"/>
                  <w:vAlign w:val="center"/>
                </w:tcPr>
                <w:p w14:paraId="13743E92">
                  <w:pPr>
                    <w:spacing w:line="240" w:lineRule="auto"/>
                    <w:ind w:firstLine="0" w:firstLineChars="0"/>
                    <w:contextualSpacing/>
                    <w:rPr>
                      <w:rFonts w:cs="Times New Roman"/>
                      <w:sz w:val="21"/>
                    </w:rPr>
                  </w:pPr>
                  <w:r>
                    <w:rPr>
                      <w:rFonts w:cs="Times New Roman"/>
                      <w:sz w:val="21"/>
                    </w:rPr>
                    <w:t>2.10严格控制环境激素类化学品污染。完成环境激素类化学品生产使用情况调查，监控评估水源地、农产品种植区及水产品集中养殖区风险，实施环境激素类化学品淘汰、限制、替代等措施。严格控制持久性有机污染物排放，实施持久性有机污染物统计报表制度，对污染物和废弃物进行严格管理。</w:t>
                  </w:r>
                </w:p>
              </w:tc>
              <w:tc>
                <w:tcPr>
                  <w:tcW w:w="1371" w:type="dxa"/>
                  <w:vAlign w:val="center"/>
                </w:tcPr>
                <w:p w14:paraId="6D9132F0">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765C2176">
                  <w:pPr>
                    <w:spacing w:line="240" w:lineRule="auto"/>
                    <w:ind w:firstLine="0" w:firstLineChars="0"/>
                    <w:contextualSpacing/>
                    <w:jc w:val="center"/>
                    <w:rPr>
                      <w:rFonts w:cs="Times New Roman"/>
                      <w:sz w:val="21"/>
                    </w:rPr>
                  </w:pPr>
                  <w:r>
                    <w:rPr>
                      <w:rFonts w:cs="Times New Roman"/>
                      <w:sz w:val="21"/>
                    </w:rPr>
                    <w:t>符合</w:t>
                  </w:r>
                </w:p>
              </w:tc>
            </w:tr>
            <w:tr w14:paraId="4742B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4B4025C">
                  <w:pPr>
                    <w:spacing w:line="240" w:lineRule="auto"/>
                    <w:ind w:firstLine="0" w:firstLineChars="0"/>
                    <w:contextualSpacing/>
                    <w:jc w:val="center"/>
                    <w:rPr>
                      <w:rFonts w:cs="Times New Roman"/>
                      <w:sz w:val="21"/>
                    </w:rPr>
                  </w:pPr>
                </w:p>
              </w:tc>
              <w:tc>
                <w:tcPr>
                  <w:tcW w:w="286" w:type="dxa"/>
                  <w:vMerge w:val="restart"/>
                  <w:vAlign w:val="center"/>
                </w:tcPr>
                <w:p w14:paraId="58CB32A0">
                  <w:pPr>
                    <w:spacing w:line="240" w:lineRule="auto"/>
                    <w:ind w:firstLine="0" w:firstLineChars="0"/>
                    <w:contextualSpacing/>
                    <w:jc w:val="center"/>
                    <w:rPr>
                      <w:rFonts w:cs="Times New Roman"/>
                      <w:sz w:val="21"/>
                    </w:rPr>
                  </w:pPr>
                  <w:r>
                    <w:rPr>
                      <w:rFonts w:cs="Times New Roman"/>
                      <w:sz w:val="21"/>
                    </w:rPr>
                    <w:t>环境风险管控</w:t>
                  </w:r>
                </w:p>
              </w:tc>
              <w:tc>
                <w:tcPr>
                  <w:tcW w:w="5594" w:type="dxa"/>
                  <w:vAlign w:val="center"/>
                </w:tcPr>
                <w:p w14:paraId="06620E9A">
                  <w:pPr>
                    <w:spacing w:line="240" w:lineRule="auto"/>
                    <w:ind w:firstLine="0" w:firstLineChars="0"/>
                    <w:contextualSpacing/>
                    <w:rPr>
                      <w:rFonts w:cs="Times New Roman"/>
                      <w:sz w:val="21"/>
                    </w:rPr>
                  </w:pPr>
                  <w:r>
                    <w:rPr>
                      <w:rFonts w:cs="Times New Roman"/>
                      <w:sz w:val="21"/>
                    </w:rPr>
                    <w:t>3.1加强重污染天气应急联动。完善自治区重污染天气预警分级标准，统一同一区域内应急预警标准。当预测到区域将出现大范围重污染天气时，统一发布区域预警信息，各县市按级别启动应急响应，落实应急措施，实施区域应急联动。</w:t>
                  </w:r>
                </w:p>
              </w:tc>
              <w:tc>
                <w:tcPr>
                  <w:tcW w:w="1371" w:type="dxa"/>
                  <w:vAlign w:val="center"/>
                </w:tcPr>
                <w:p w14:paraId="7AD6E1B0">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209D2289">
                  <w:pPr>
                    <w:spacing w:line="240" w:lineRule="auto"/>
                    <w:ind w:firstLine="0" w:firstLineChars="0"/>
                    <w:contextualSpacing/>
                    <w:jc w:val="center"/>
                    <w:rPr>
                      <w:rFonts w:cs="Times New Roman"/>
                      <w:sz w:val="21"/>
                    </w:rPr>
                  </w:pPr>
                  <w:r>
                    <w:rPr>
                      <w:rFonts w:cs="Times New Roman"/>
                      <w:sz w:val="21"/>
                    </w:rPr>
                    <w:t>符合</w:t>
                  </w:r>
                </w:p>
              </w:tc>
            </w:tr>
            <w:tr w14:paraId="7051E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6560AA23">
                  <w:pPr>
                    <w:spacing w:line="240" w:lineRule="auto"/>
                    <w:ind w:firstLine="0" w:firstLineChars="0"/>
                    <w:contextualSpacing/>
                    <w:jc w:val="center"/>
                    <w:rPr>
                      <w:rFonts w:cs="Times New Roman"/>
                      <w:sz w:val="21"/>
                    </w:rPr>
                  </w:pPr>
                </w:p>
              </w:tc>
              <w:tc>
                <w:tcPr>
                  <w:tcW w:w="286" w:type="dxa"/>
                  <w:vMerge w:val="continue"/>
                  <w:vAlign w:val="center"/>
                </w:tcPr>
                <w:p w14:paraId="486BE5CB">
                  <w:pPr>
                    <w:spacing w:line="240" w:lineRule="auto"/>
                    <w:ind w:firstLine="0" w:firstLineChars="0"/>
                    <w:contextualSpacing/>
                    <w:jc w:val="center"/>
                    <w:rPr>
                      <w:rFonts w:cs="Times New Roman"/>
                      <w:sz w:val="21"/>
                    </w:rPr>
                  </w:pPr>
                </w:p>
              </w:tc>
              <w:tc>
                <w:tcPr>
                  <w:tcW w:w="5594" w:type="dxa"/>
                  <w:vAlign w:val="center"/>
                </w:tcPr>
                <w:p w14:paraId="6E5B77DB">
                  <w:pPr>
                    <w:spacing w:line="240" w:lineRule="auto"/>
                    <w:ind w:firstLine="0" w:firstLineChars="0"/>
                    <w:contextualSpacing/>
                    <w:rPr>
                      <w:rFonts w:cs="Times New Roman"/>
                      <w:sz w:val="21"/>
                    </w:rPr>
                  </w:pPr>
                  <w:r>
                    <w:rPr>
                      <w:rFonts w:cs="Times New Roman"/>
                      <w:sz w:val="21"/>
                    </w:rPr>
                    <w:t>3.2完善重污染天气应急减排措施。各地进一步完善或制、修订重污染天气应急预案。提高应急预案中污染物减排比例，黄色、橙色、红色级别减排比例原则上分别不低于10%、20%、30%。细化应急减排措施，落实到企业各工艺环节，实施“一厂一策”清单化管理。制定应急运输响应方案，在黄色及以上重污染天气预警期间，对钢铁、建材、焦化、有色、化工、矿山等涉及大宗物料运输的重点用车企业，实施应急运输响应。</w:t>
                  </w:r>
                </w:p>
              </w:tc>
              <w:tc>
                <w:tcPr>
                  <w:tcW w:w="1371" w:type="dxa"/>
                  <w:vAlign w:val="center"/>
                </w:tcPr>
                <w:p w14:paraId="461207F7">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3CC86EDD">
                  <w:pPr>
                    <w:spacing w:line="240" w:lineRule="auto"/>
                    <w:ind w:firstLine="0" w:firstLineChars="0"/>
                    <w:contextualSpacing/>
                    <w:jc w:val="center"/>
                    <w:rPr>
                      <w:rFonts w:cs="Times New Roman"/>
                      <w:sz w:val="21"/>
                    </w:rPr>
                  </w:pPr>
                  <w:r>
                    <w:rPr>
                      <w:rFonts w:cs="Times New Roman"/>
                      <w:sz w:val="21"/>
                    </w:rPr>
                    <w:t>符合</w:t>
                  </w:r>
                </w:p>
              </w:tc>
            </w:tr>
            <w:tr w14:paraId="016B6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26B3053">
                  <w:pPr>
                    <w:spacing w:line="240" w:lineRule="auto"/>
                    <w:ind w:firstLine="0" w:firstLineChars="0"/>
                    <w:contextualSpacing/>
                    <w:jc w:val="center"/>
                    <w:rPr>
                      <w:rFonts w:cs="Times New Roman"/>
                      <w:sz w:val="21"/>
                    </w:rPr>
                  </w:pPr>
                </w:p>
              </w:tc>
              <w:tc>
                <w:tcPr>
                  <w:tcW w:w="286" w:type="dxa"/>
                  <w:vMerge w:val="continue"/>
                  <w:vAlign w:val="center"/>
                </w:tcPr>
                <w:p w14:paraId="3529A78F">
                  <w:pPr>
                    <w:spacing w:line="240" w:lineRule="auto"/>
                    <w:ind w:firstLine="0" w:firstLineChars="0"/>
                    <w:contextualSpacing/>
                    <w:jc w:val="center"/>
                    <w:rPr>
                      <w:rFonts w:cs="Times New Roman"/>
                      <w:sz w:val="21"/>
                    </w:rPr>
                  </w:pPr>
                </w:p>
              </w:tc>
              <w:tc>
                <w:tcPr>
                  <w:tcW w:w="5594" w:type="dxa"/>
                  <w:vAlign w:val="center"/>
                </w:tcPr>
                <w:p w14:paraId="1A0DF6C3">
                  <w:pPr>
                    <w:spacing w:line="240" w:lineRule="auto"/>
                    <w:ind w:firstLine="0" w:firstLineChars="0"/>
                    <w:contextualSpacing/>
                    <w:rPr>
                      <w:rFonts w:cs="Times New Roman"/>
                      <w:sz w:val="21"/>
                    </w:rPr>
                  </w:pPr>
                  <w:r>
                    <w:rPr>
                      <w:rFonts w:cs="Times New Roman"/>
                      <w:sz w:val="21"/>
                    </w:rPr>
                    <w:t>3.3人民政府应当制定重污染天气应急预案，报上一级生态环境主管部门备案，并向社会公布。重污染天气应急预案应当根据实际需要和情势变化适时修订。重点排污单位应当根据所在地重污染天气应急预案，编制本单位重污染天气应急响应方案。医疗、教育、交通、应急管理等重点部门按照部门分预案开展应急管理工作，对发生或者可能发生危害人体健康和安全的重污染天气，应当启动应急方案。</w:t>
                  </w:r>
                </w:p>
              </w:tc>
              <w:tc>
                <w:tcPr>
                  <w:tcW w:w="1371" w:type="dxa"/>
                  <w:vAlign w:val="center"/>
                </w:tcPr>
                <w:p w14:paraId="24C05A34">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02513BAF">
                  <w:pPr>
                    <w:spacing w:line="240" w:lineRule="auto"/>
                    <w:ind w:firstLine="0" w:firstLineChars="0"/>
                    <w:contextualSpacing/>
                    <w:jc w:val="center"/>
                    <w:rPr>
                      <w:rFonts w:cs="Times New Roman"/>
                      <w:sz w:val="21"/>
                    </w:rPr>
                  </w:pPr>
                  <w:r>
                    <w:rPr>
                      <w:rFonts w:cs="Times New Roman"/>
                      <w:sz w:val="21"/>
                    </w:rPr>
                    <w:t>符合</w:t>
                  </w:r>
                </w:p>
              </w:tc>
            </w:tr>
            <w:tr w14:paraId="0C30C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0FF3622D">
                  <w:pPr>
                    <w:spacing w:line="240" w:lineRule="auto"/>
                    <w:ind w:firstLine="0" w:firstLineChars="0"/>
                    <w:contextualSpacing/>
                    <w:jc w:val="center"/>
                    <w:rPr>
                      <w:rFonts w:cs="Times New Roman"/>
                      <w:sz w:val="21"/>
                    </w:rPr>
                  </w:pPr>
                </w:p>
              </w:tc>
              <w:tc>
                <w:tcPr>
                  <w:tcW w:w="286" w:type="dxa"/>
                  <w:vMerge w:val="continue"/>
                  <w:vAlign w:val="center"/>
                </w:tcPr>
                <w:p w14:paraId="070A030E">
                  <w:pPr>
                    <w:spacing w:line="240" w:lineRule="auto"/>
                    <w:ind w:firstLine="0" w:firstLineChars="0"/>
                    <w:contextualSpacing/>
                    <w:jc w:val="center"/>
                    <w:rPr>
                      <w:rFonts w:cs="Times New Roman"/>
                      <w:sz w:val="21"/>
                    </w:rPr>
                  </w:pPr>
                </w:p>
              </w:tc>
              <w:tc>
                <w:tcPr>
                  <w:tcW w:w="5594" w:type="dxa"/>
                  <w:vAlign w:val="center"/>
                </w:tcPr>
                <w:p w14:paraId="2623E4F8">
                  <w:pPr>
                    <w:spacing w:line="240" w:lineRule="auto"/>
                    <w:ind w:firstLine="0" w:firstLineChars="0"/>
                    <w:contextualSpacing/>
                    <w:rPr>
                      <w:rFonts w:cs="Times New Roman"/>
                      <w:sz w:val="21"/>
                    </w:rPr>
                  </w:pPr>
                  <w:r>
                    <w:rPr>
                      <w:rFonts w:cs="Times New Roman"/>
                      <w:sz w:val="21"/>
                    </w:rPr>
                    <w:t>3.4自治州、各县（市）人民政府应当根据重污染天气的预警等级，及时启动重污染天气应急预案，并采取与预警等级对应的响应措施，相关单位和个人应当配合。</w:t>
                  </w:r>
                </w:p>
              </w:tc>
              <w:tc>
                <w:tcPr>
                  <w:tcW w:w="1371" w:type="dxa"/>
                  <w:vAlign w:val="center"/>
                </w:tcPr>
                <w:p w14:paraId="4A13C28F">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731BCA67">
                  <w:pPr>
                    <w:spacing w:line="240" w:lineRule="auto"/>
                    <w:ind w:firstLine="0" w:firstLineChars="0"/>
                    <w:contextualSpacing/>
                    <w:jc w:val="center"/>
                    <w:rPr>
                      <w:rFonts w:cs="Times New Roman"/>
                      <w:sz w:val="21"/>
                    </w:rPr>
                  </w:pPr>
                  <w:r>
                    <w:rPr>
                      <w:rFonts w:cs="Times New Roman"/>
                      <w:sz w:val="21"/>
                    </w:rPr>
                    <w:t>符合</w:t>
                  </w:r>
                </w:p>
              </w:tc>
            </w:tr>
            <w:tr w14:paraId="09BB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460967FA">
                  <w:pPr>
                    <w:spacing w:line="240" w:lineRule="auto"/>
                    <w:ind w:firstLine="0" w:firstLineChars="0"/>
                    <w:contextualSpacing/>
                    <w:jc w:val="center"/>
                    <w:rPr>
                      <w:rFonts w:cs="Times New Roman"/>
                      <w:sz w:val="21"/>
                    </w:rPr>
                  </w:pPr>
                </w:p>
              </w:tc>
              <w:tc>
                <w:tcPr>
                  <w:tcW w:w="286" w:type="dxa"/>
                  <w:vMerge w:val="continue"/>
                  <w:vAlign w:val="center"/>
                </w:tcPr>
                <w:p w14:paraId="71E6BBBB">
                  <w:pPr>
                    <w:spacing w:line="240" w:lineRule="auto"/>
                    <w:ind w:firstLine="0" w:firstLineChars="0"/>
                    <w:contextualSpacing/>
                    <w:jc w:val="center"/>
                    <w:rPr>
                      <w:rFonts w:cs="Times New Roman"/>
                      <w:sz w:val="21"/>
                    </w:rPr>
                  </w:pPr>
                </w:p>
              </w:tc>
              <w:tc>
                <w:tcPr>
                  <w:tcW w:w="5594" w:type="dxa"/>
                  <w:vAlign w:val="center"/>
                </w:tcPr>
                <w:p w14:paraId="3BBCF3F0">
                  <w:pPr>
                    <w:spacing w:line="240" w:lineRule="auto"/>
                    <w:ind w:firstLine="0" w:firstLineChars="0"/>
                    <w:contextualSpacing/>
                    <w:rPr>
                      <w:rFonts w:cs="Times New Roman"/>
                      <w:sz w:val="21"/>
                    </w:rPr>
                  </w:pPr>
                  <w:r>
                    <w:rPr>
                      <w:rFonts w:cs="Times New Roman"/>
                      <w:sz w:val="21"/>
                    </w:rPr>
                    <w:t>3.5推进重点流域、饮用水源等环境敏感区域防控体系建设，落实环境风险防控措施，配备拦截、吸附等基本应急处置物资。落实饮用水源一级保护区周边人类活动频繁区域隔离墙、隔离网、视频监控等防范设施建设。</w:t>
                  </w:r>
                </w:p>
              </w:tc>
              <w:tc>
                <w:tcPr>
                  <w:tcW w:w="1371" w:type="dxa"/>
                  <w:vAlign w:val="center"/>
                </w:tcPr>
                <w:p w14:paraId="5AE71388">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6DE51DF9">
                  <w:pPr>
                    <w:spacing w:line="240" w:lineRule="auto"/>
                    <w:ind w:firstLine="0" w:firstLineChars="0"/>
                    <w:contextualSpacing/>
                    <w:jc w:val="center"/>
                    <w:rPr>
                      <w:rFonts w:cs="Times New Roman"/>
                      <w:sz w:val="21"/>
                    </w:rPr>
                  </w:pPr>
                  <w:r>
                    <w:rPr>
                      <w:rFonts w:cs="Times New Roman"/>
                      <w:sz w:val="21"/>
                    </w:rPr>
                    <w:t>符合</w:t>
                  </w:r>
                </w:p>
              </w:tc>
            </w:tr>
            <w:tr w14:paraId="49FC9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03585FA6">
                  <w:pPr>
                    <w:spacing w:line="240" w:lineRule="auto"/>
                    <w:ind w:firstLine="0" w:firstLineChars="0"/>
                    <w:contextualSpacing/>
                    <w:jc w:val="center"/>
                    <w:rPr>
                      <w:rFonts w:cs="Times New Roman"/>
                      <w:sz w:val="21"/>
                    </w:rPr>
                  </w:pPr>
                </w:p>
              </w:tc>
              <w:tc>
                <w:tcPr>
                  <w:tcW w:w="286" w:type="dxa"/>
                  <w:vMerge w:val="continue"/>
                  <w:vAlign w:val="center"/>
                </w:tcPr>
                <w:p w14:paraId="705A2324">
                  <w:pPr>
                    <w:spacing w:line="240" w:lineRule="auto"/>
                    <w:ind w:firstLine="0" w:firstLineChars="0"/>
                    <w:contextualSpacing/>
                    <w:jc w:val="center"/>
                    <w:rPr>
                      <w:rFonts w:cs="Times New Roman"/>
                      <w:sz w:val="21"/>
                    </w:rPr>
                  </w:pPr>
                </w:p>
              </w:tc>
              <w:tc>
                <w:tcPr>
                  <w:tcW w:w="5594" w:type="dxa"/>
                  <w:vAlign w:val="center"/>
                </w:tcPr>
                <w:p w14:paraId="4D0312FD">
                  <w:pPr>
                    <w:spacing w:line="240" w:lineRule="auto"/>
                    <w:ind w:firstLine="0" w:firstLineChars="0"/>
                    <w:contextualSpacing/>
                    <w:jc w:val="center"/>
                    <w:rPr>
                      <w:rFonts w:cs="Times New Roman"/>
                      <w:sz w:val="21"/>
                    </w:rPr>
                  </w:pPr>
                  <w:r>
                    <w:rPr>
                      <w:rFonts w:cs="Times New Roman"/>
                      <w:sz w:val="21"/>
                    </w:rPr>
                    <w:t>3.6对饮用水水源保护区内排放重金属等有毒有害污染物的企业，优先取缔关闭；对饮用水水源保护区受重金属污染的土壤，修复处理以确保饮用水水源环境安全；对天然背景值超标、水厂无法处理的重金属等污染的水源，需尽快更换。</w:t>
                  </w:r>
                </w:p>
              </w:tc>
              <w:tc>
                <w:tcPr>
                  <w:tcW w:w="1371" w:type="dxa"/>
                  <w:vAlign w:val="center"/>
                </w:tcPr>
                <w:p w14:paraId="09FC57F1">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30C67ED6">
                  <w:pPr>
                    <w:spacing w:line="240" w:lineRule="auto"/>
                    <w:ind w:firstLine="0" w:firstLineChars="0"/>
                    <w:contextualSpacing/>
                    <w:jc w:val="center"/>
                    <w:rPr>
                      <w:rFonts w:cs="Times New Roman"/>
                      <w:sz w:val="21"/>
                    </w:rPr>
                  </w:pPr>
                  <w:r>
                    <w:rPr>
                      <w:rFonts w:cs="Times New Roman"/>
                      <w:sz w:val="21"/>
                    </w:rPr>
                    <w:t>符合</w:t>
                  </w:r>
                </w:p>
              </w:tc>
            </w:tr>
            <w:tr w14:paraId="53BDC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7AA35BEC">
                  <w:pPr>
                    <w:spacing w:line="240" w:lineRule="auto"/>
                    <w:ind w:firstLine="0" w:firstLineChars="0"/>
                    <w:contextualSpacing/>
                    <w:jc w:val="center"/>
                    <w:rPr>
                      <w:rFonts w:cs="Times New Roman"/>
                      <w:sz w:val="21"/>
                    </w:rPr>
                  </w:pPr>
                </w:p>
              </w:tc>
              <w:tc>
                <w:tcPr>
                  <w:tcW w:w="286" w:type="dxa"/>
                  <w:vMerge w:val="continue"/>
                  <w:vAlign w:val="center"/>
                </w:tcPr>
                <w:p w14:paraId="680A72A1">
                  <w:pPr>
                    <w:spacing w:line="240" w:lineRule="auto"/>
                    <w:ind w:firstLine="0" w:firstLineChars="0"/>
                    <w:contextualSpacing/>
                    <w:jc w:val="center"/>
                    <w:rPr>
                      <w:rFonts w:cs="Times New Roman"/>
                      <w:sz w:val="21"/>
                    </w:rPr>
                  </w:pPr>
                </w:p>
              </w:tc>
              <w:tc>
                <w:tcPr>
                  <w:tcW w:w="5594" w:type="dxa"/>
                  <w:vAlign w:val="center"/>
                </w:tcPr>
                <w:p w14:paraId="73DC7B1A">
                  <w:pPr>
                    <w:spacing w:line="240" w:lineRule="auto"/>
                    <w:ind w:firstLine="0" w:firstLineChars="0"/>
                    <w:contextualSpacing/>
                    <w:rPr>
                      <w:rFonts w:cs="Times New Roman"/>
                      <w:sz w:val="21"/>
                    </w:rPr>
                  </w:pPr>
                  <w:r>
                    <w:rPr>
                      <w:rFonts w:cs="Times New Roman"/>
                      <w:sz w:val="21"/>
                    </w:rPr>
                    <w:t>3.7强化对水源周边可能影响水源安全的制药、化工、造纸、采选、制革、印染、电镀、农药等重点行业企业的执法监管。</w:t>
                  </w:r>
                </w:p>
              </w:tc>
              <w:tc>
                <w:tcPr>
                  <w:tcW w:w="1371" w:type="dxa"/>
                  <w:vAlign w:val="center"/>
                </w:tcPr>
                <w:p w14:paraId="6C6B94DF">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763B15BC">
                  <w:pPr>
                    <w:spacing w:line="240" w:lineRule="auto"/>
                    <w:ind w:firstLine="0" w:firstLineChars="0"/>
                    <w:contextualSpacing/>
                    <w:jc w:val="center"/>
                    <w:rPr>
                      <w:rFonts w:cs="Times New Roman"/>
                      <w:sz w:val="21"/>
                    </w:rPr>
                  </w:pPr>
                  <w:r>
                    <w:rPr>
                      <w:rFonts w:cs="Times New Roman"/>
                      <w:sz w:val="21"/>
                    </w:rPr>
                    <w:t>符合</w:t>
                  </w:r>
                </w:p>
              </w:tc>
            </w:tr>
            <w:tr w14:paraId="3BCCC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33AF772E">
                  <w:pPr>
                    <w:spacing w:line="240" w:lineRule="auto"/>
                    <w:ind w:firstLine="0" w:firstLineChars="0"/>
                    <w:contextualSpacing/>
                    <w:jc w:val="center"/>
                    <w:rPr>
                      <w:rFonts w:cs="Times New Roman"/>
                      <w:sz w:val="21"/>
                    </w:rPr>
                  </w:pPr>
                </w:p>
              </w:tc>
              <w:tc>
                <w:tcPr>
                  <w:tcW w:w="286" w:type="dxa"/>
                  <w:vMerge w:val="continue"/>
                  <w:vAlign w:val="center"/>
                </w:tcPr>
                <w:p w14:paraId="6D7BE47E">
                  <w:pPr>
                    <w:spacing w:line="240" w:lineRule="auto"/>
                    <w:ind w:firstLine="0" w:firstLineChars="0"/>
                    <w:contextualSpacing/>
                    <w:jc w:val="center"/>
                    <w:rPr>
                      <w:rFonts w:cs="Times New Roman"/>
                      <w:sz w:val="21"/>
                    </w:rPr>
                  </w:pPr>
                </w:p>
              </w:tc>
              <w:tc>
                <w:tcPr>
                  <w:tcW w:w="5594" w:type="dxa"/>
                  <w:vAlign w:val="center"/>
                </w:tcPr>
                <w:p w14:paraId="44F9AC3C">
                  <w:pPr>
                    <w:spacing w:line="240" w:lineRule="auto"/>
                    <w:ind w:firstLine="0" w:firstLineChars="0"/>
                    <w:contextualSpacing/>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3.8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五)建设占压城镇排水与污水处理设施的建筑物、构筑物或者其他设施；(六)其他危及城镇排水与污水处理设施安全的活动。</w:t>
                  </w:r>
                </w:p>
              </w:tc>
              <w:tc>
                <w:tcPr>
                  <w:tcW w:w="1371" w:type="dxa"/>
                  <w:vAlign w:val="center"/>
                </w:tcPr>
                <w:p w14:paraId="39515A61">
                  <w:pPr>
                    <w:spacing w:line="240" w:lineRule="auto"/>
                    <w:ind w:firstLine="0" w:firstLineChars="0"/>
                    <w:contextualSpacing/>
                    <w:jc w:val="center"/>
                    <w:rPr>
                      <w:rFonts w:cs="Times New Roman"/>
                      <w:color w:val="000000" w:themeColor="text1"/>
                      <w:sz w:val="21"/>
                      <w14:textFill>
                        <w14:solidFill>
                          <w14:schemeClr w14:val="tx1"/>
                        </w14:solidFill>
                      </w14:textFill>
                    </w:rPr>
                  </w:pPr>
                  <w:r>
                    <w:rPr>
                      <w:rFonts w:hint="eastAsia" w:cs="Times New Roman"/>
                      <w:color w:val="000000" w:themeColor="text1"/>
                      <w:sz w:val="21"/>
                      <w:szCs w:val="24"/>
                      <w14:textFill>
                        <w14:solidFill>
                          <w14:schemeClr w14:val="tx1"/>
                        </w14:solidFill>
                      </w14:textFill>
                    </w:rPr>
                    <w:t>本项目无生产废水，生活污水经化粪池预处理后由吸污车拉运至和静县污水处理厂处理</w:t>
                  </w:r>
                </w:p>
              </w:tc>
              <w:tc>
                <w:tcPr>
                  <w:tcW w:w="787" w:type="dxa"/>
                  <w:vAlign w:val="center"/>
                </w:tcPr>
                <w:p w14:paraId="01051A40">
                  <w:pPr>
                    <w:spacing w:line="240" w:lineRule="auto"/>
                    <w:ind w:firstLine="0" w:firstLineChars="0"/>
                    <w:contextualSpacing/>
                    <w:jc w:val="center"/>
                    <w:rPr>
                      <w:rFonts w:cs="Times New Roman"/>
                      <w:sz w:val="21"/>
                    </w:rPr>
                  </w:pPr>
                  <w:r>
                    <w:rPr>
                      <w:rFonts w:cs="Times New Roman"/>
                      <w:sz w:val="21"/>
                    </w:rPr>
                    <w:t>符合</w:t>
                  </w:r>
                </w:p>
              </w:tc>
            </w:tr>
            <w:tr w14:paraId="70366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3A486809">
                  <w:pPr>
                    <w:spacing w:line="240" w:lineRule="auto"/>
                    <w:ind w:firstLine="0" w:firstLineChars="0"/>
                    <w:contextualSpacing/>
                    <w:jc w:val="center"/>
                    <w:rPr>
                      <w:rFonts w:cs="Times New Roman"/>
                      <w:sz w:val="21"/>
                    </w:rPr>
                  </w:pPr>
                </w:p>
              </w:tc>
              <w:tc>
                <w:tcPr>
                  <w:tcW w:w="286" w:type="dxa"/>
                  <w:vMerge w:val="continue"/>
                  <w:vAlign w:val="center"/>
                </w:tcPr>
                <w:p w14:paraId="06CBEE73">
                  <w:pPr>
                    <w:spacing w:line="240" w:lineRule="auto"/>
                    <w:ind w:firstLine="0" w:firstLineChars="0"/>
                    <w:contextualSpacing/>
                    <w:jc w:val="center"/>
                    <w:rPr>
                      <w:rFonts w:cs="Times New Roman"/>
                      <w:sz w:val="21"/>
                    </w:rPr>
                  </w:pPr>
                </w:p>
              </w:tc>
              <w:tc>
                <w:tcPr>
                  <w:tcW w:w="5594" w:type="dxa"/>
                  <w:vAlign w:val="center"/>
                </w:tcPr>
                <w:p w14:paraId="588768B3">
                  <w:pPr>
                    <w:spacing w:line="240" w:lineRule="auto"/>
                    <w:ind w:firstLine="0" w:firstLineChars="0"/>
                    <w:contextualSpacing/>
                    <w:rPr>
                      <w:rFonts w:cs="Times New Roman"/>
                      <w:sz w:val="21"/>
                    </w:rPr>
                  </w:pPr>
                  <w:r>
                    <w:rPr>
                      <w:rFonts w:cs="Times New Roman"/>
                      <w:sz w:val="21"/>
                    </w:rPr>
                    <w:t>3.9健全保护区内危险化学品运输管理制度。保护区内有道路、桥梁穿越的，危险化学品运输采取限制运载重量和物资种类、限定行驶线路等管理措施，并完善应急处置设施。保护区内运输危险化学品车辆及其他穿越保护区的流动源，利用全球定位系统等设备实时监控。</w:t>
                  </w:r>
                </w:p>
              </w:tc>
              <w:tc>
                <w:tcPr>
                  <w:tcW w:w="1371" w:type="dxa"/>
                  <w:vMerge w:val="restart"/>
                  <w:vAlign w:val="center"/>
                </w:tcPr>
                <w:p w14:paraId="5DC87A56">
                  <w:pPr>
                    <w:spacing w:line="240" w:lineRule="auto"/>
                    <w:ind w:firstLine="0" w:firstLineChars="0"/>
                    <w:contextualSpacing/>
                    <w:rPr>
                      <w:rFonts w:cs="Times New Roman"/>
                      <w:sz w:val="21"/>
                    </w:rPr>
                  </w:pPr>
                  <w:r>
                    <w:rPr>
                      <w:rFonts w:hint="eastAsia" w:cs="Times New Roman"/>
                      <w:sz w:val="21"/>
                    </w:rPr>
                    <w:t>丙烷、丁烷作为危险化学品，其运输和管理必须严格遵守国家相关法律法规要求；</w:t>
                  </w:r>
                  <w:r>
                    <w:rPr>
                      <w:rFonts w:cs="Times New Roman"/>
                      <w:sz w:val="21"/>
                    </w:rPr>
                    <w:t>本项目已制定环境风险防范措施</w:t>
                  </w:r>
                </w:p>
              </w:tc>
              <w:tc>
                <w:tcPr>
                  <w:tcW w:w="787" w:type="dxa"/>
                  <w:vAlign w:val="center"/>
                </w:tcPr>
                <w:p w14:paraId="6F0A10E0">
                  <w:pPr>
                    <w:spacing w:line="240" w:lineRule="auto"/>
                    <w:ind w:firstLine="0" w:firstLineChars="0"/>
                    <w:contextualSpacing/>
                    <w:jc w:val="center"/>
                    <w:rPr>
                      <w:rFonts w:cs="Times New Roman"/>
                      <w:sz w:val="21"/>
                    </w:rPr>
                  </w:pPr>
                  <w:r>
                    <w:rPr>
                      <w:rFonts w:cs="Times New Roman"/>
                      <w:sz w:val="21"/>
                    </w:rPr>
                    <w:t>符合</w:t>
                  </w:r>
                </w:p>
              </w:tc>
            </w:tr>
            <w:tr w14:paraId="1C1C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7221D2E3">
                  <w:pPr>
                    <w:spacing w:line="240" w:lineRule="auto"/>
                    <w:ind w:firstLine="0" w:firstLineChars="0"/>
                    <w:contextualSpacing/>
                    <w:jc w:val="center"/>
                    <w:rPr>
                      <w:rFonts w:cs="Times New Roman"/>
                      <w:sz w:val="21"/>
                    </w:rPr>
                  </w:pPr>
                </w:p>
              </w:tc>
              <w:tc>
                <w:tcPr>
                  <w:tcW w:w="286" w:type="dxa"/>
                  <w:vMerge w:val="continue"/>
                  <w:vAlign w:val="center"/>
                </w:tcPr>
                <w:p w14:paraId="16A433B2">
                  <w:pPr>
                    <w:spacing w:line="240" w:lineRule="auto"/>
                    <w:ind w:firstLine="0" w:firstLineChars="0"/>
                    <w:contextualSpacing/>
                    <w:jc w:val="center"/>
                    <w:rPr>
                      <w:rFonts w:cs="Times New Roman"/>
                      <w:sz w:val="21"/>
                    </w:rPr>
                  </w:pPr>
                </w:p>
              </w:tc>
              <w:tc>
                <w:tcPr>
                  <w:tcW w:w="5594" w:type="dxa"/>
                  <w:vAlign w:val="center"/>
                </w:tcPr>
                <w:p w14:paraId="345FF66D">
                  <w:pPr>
                    <w:spacing w:line="240" w:lineRule="auto"/>
                    <w:ind w:firstLine="0" w:firstLineChars="0"/>
                    <w:contextualSpacing/>
                    <w:rPr>
                      <w:rFonts w:cs="Times New Roman"/>
                      <w:sz w:val="21"/>
                    </w:rPr>
                  </w:pPr>
                  <w:r>
                    <w:rPr>
                      <w:rFonts w:cs="Times New Roman"/>
                      <w:sz w:val="21"/>
                    </w:rPr>
                    <w:t>3.10严格环境风险控制。防范环境风险。定期评估沿河流湖库的工业企业、工业集聚区环境和健康风险，加强预案管理，落实防控措施，排除水污染隐患。评估现有化学物质环境和健康风险，根据国家公布的优先控制化学品名录，对高风险化学品生产、使用进行严格限制，并逐步淘汰替代。</w:t>
                  </w:r>
                </w:p>
              </w:tc>
              <w:tc>
                <w:tcPr>
                  <w:tcW w:w="1371" w:type="dxa"/>
                  <w:vMerge w:val="continue"/>
                  <w:vAlign w:val="center"/>
                </w:tcPr>
                <w:p w14:paraId="607D875E">
                  <w:pPr>
                    <w:spacing w:line="240" w:lineRule="auto"/>
                    <w:ind w:firstLine="0" w:firstLineChars="0"/>
                    <w:contextualSpacing/>
                    <w:jc w:val="center"/>
                    <w:rPr>
                      <w:rFonts w:cs="Times New Roman"/>
                      <w:sz w:val="21"/>
                    </w:rPr>
                  </w:pPr>
                </w:p>
              </w:tc>
              <w:tc>
                <w:tcPr>
                  <w:tcW w:w="787" w:type="dxa"/>
                  <w:vAlign w:val="center"/>
                </w:tcPr>
                <w:p w14:paraId="4ABEFDD6">
                  <w:pPr>
                    <w:spacing w:line="240" w:lineRule="auto"/>
                    <w:ind w:firstLine="0" w:firstLineChars="0"/>
                    <w:contextualSpacing/>
                    <w:jc w:val="center"/>
                    <w:rPr>
                      <w:rFonts w:cs="Times New Roman"/>
                      <w:sz w:val="21"/>
                    </w:rPr>
                  </w:pPr>
                  <w:r>
                    <w:rPr>
                      <w:rFonts w:cs="Times New Roman"/>
                      <w:sz w:val="21"/>
                    </w:rPr>
                    <w:t>符合</w:t>
                  </w:r>
                </w:p>
              </w:tc>
            </w:tr>
            <w:tr w14:paraId="12E28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74B1E5E">
                  <w:pPr>
                    <w:spacing w:line="240" w:lineRule="auto"/>
                    <w:ind w:firstLine="0" w:firstLineChars="0"/>
                    <w:contextualSpacing/>
                    <w:jc w:val="center"/>
                    <w:rPr>
                      <w:rFonts w:cs="Times New Roman"/>
                      <w:sz w:val="21"/>
                    </w:rPr>
                  </w:pPr>
                </w:p>
              </w:tc>
              <w:tc>
                <w:tcPr>
                  <w:tcW w:w="286" w:type="dxa"/>
                  <w:vMerge w:val="restart"/>
                  <w:vAlign w:val="center"/>
                </w:tcPr>
                <w:p w14:paraId="37D8B23F">
                  <w:pPr>
                    <w:spacing w:line="240" w:lineRule="auto"/>
                    <w:ind w:firstLine="0" w:firstLineChars="0"/>
                    <w:contextualSpacing/>
                    <w:jc w:val="center"/>
                    <w:rPr>
                      <w:rFonts w:cs="Times New Roman"/>
                      <w:sz w:val="21"/>
                    </w:rPr>
                  </w:pPr>
                  <w:r>
                    <w:rPr>
                      <w:rFonts w:cs="Times New Roman"/>
                      <w:sz w:val="21"/>
                    </w:rPr>
                    <w:t>资源利用要求</w:t>
                  </w:r>
                </w:p>
              </w:tc>
              <w:tc>
                <w:tcPr>
                  <w:tcW w:w="5594" w:type="dxa"/>
                  <w:vAlign w:val="center"/>
                </w:tcPr>
                <w:p w14:paraId="0F3AFA46">
                  <w:pPr>
                    <w:spacing w:line="240" w:lineRule="auto"/>
                    <w:ind w:firstLine="0" w:firstLineChars="0"/>
                    <w:contextualSpacing/>
                    <w:rPr>
                      <w:rFonts w:cs="Times New Roman"/>
                      <w:sz w:val="21"/>
                    </w:rPr>
                  </w:pPr>
                  <w:r>
                    <w:rPr>
                      <w:rFonts w:cs="Times New Roman"/>
                      <w:sz w:val="21"/>
                    </w:rPr>
                    <w:t>4.1加强秸秆综合利用和氨排放控制。全面推进秸秆综合利用，鼓励秸秆资源化、饲料化、肥料化利用，推动秸秆还田与离田收集。全面加强秸秆禁烧管控，强化各级政府秸秆禁烧主体责任，充分发挥网格化监管作用，在初春、秋收和夏收阶段开展秸秆禁烧专项巡查。</w:t>
                  </w:r>
                </w:p>
              </w:tc>
              <w:tc>
                <w:tcPr>
                  <w:tcW w:w="1371" w:type="dxa"/>
                  <w:vAlign w:val="center"/>
                </w:tcPr>
                <w:p w14:paraId="64A00BAC">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6AECA0D2">
                  <w:pPr>
                    <w:spacing w:line="240" w:lineRule="auto"/>
                    <w:ind w:firstLine="0" w:firstLineChars="0"/>
                    <w:contextualSpacing/>
                    <w:jc w:val="center"/>
                    <w:rPr>
                      <w:rFonts w:cs="Times New Roman"/>
                      <w:sz w:val="21"/>
                    </w:rPr>
                  </w:pPr>
                  <w:r>
                    <w:rPr>
                      <w:rFonts w:cs="Times New Roman"/>
                      <w:sz w:val="21"/>
                    </w:rPr>
                    <w:t>符合</w:t>
                  </w:r>
                </w:p>
              </w:tc>
            </w:tr>
            <w:tr w14:paraId="0709E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16AB3202">
                  <w:pPr>
                    <w:spacing w:line="240" w:lineRule="auto"/>
                    <w:ind w:firstLine="0" w:firstLineChars="0"/>
                    <w:contextualSpacing/>
                    <w:jc w:val="center"/>
                    <w:rPr>
                      <w:rFonts w:cs="Times New Roman"/>
                      <w:sz w:val="21"/>
                    </w:rPr>
                  </w:pPr>
                </w:p>
              </w:tc>
              <w:tc>
                <w:tcPr>
                  <w:tcW w:w="286" w:type="dxa"/>
                  <w:vMerge w:val="continue"/>
                  <w:vAlign w:val="center"/>
                </w:tcPr>
                <w:p w14:paraId="40AA3405">
                  <w:pPr>
                    <w:spacing w:line="240" w:lineRule="auto"/>
                    <w:ind w:firstLine="0" w:firstLineChars="0"/>
                    <w:contextualSpacing/>
                    <w:jc w:val="center"/>
                    <w:rPr>
                      <w:rFonts w:cs="Times New Roman"/>
                      <w:sz w:val="21"/>
                    </w:rPr>
                  </w:pPr>
                </w:p>
              </w:tc>
              <w:tc>
                <w:tcPr>
                  <w:tcW w:w="5594" w:type="dxa"/>
                  <w:vAlign w:val="center"/>
                </w:tcPr>
                <w:p w14:paraId="5C9A6D9F">
                  <w:pPr>
                    <w:spacing w:line="240" w:lineRule="auto"/>
                    <w:ind w:firstLine="0" w:firstLineChars="0"/>
                    <w:contextualSpacing/>
                    <w:rPr>
                      <w:rFonts w:cs="Times New Roman"/>
                      <w:sz w:val="21"/>
                    </w:rPr>
                  </w:pPr>
                  <w:r>
                    <w:rPr>
                      <w:rFonts w:cs="Times New Roman"/>
                      <w:sz w:val="21"/>
                    </w:rPr>
                    <w:t>4.2提高能源利用效率。继续实施能源消耗总量和强度双控行动。大力开发、推广节能高效技术和产品，实现重点用能行业、设备节能标准全覆盖。</w:t>
                  </w:r>
                </w:p>
              </w:tc>
              <w:tc>
                <w:tcPr>
                  <w:tcW w:w="1371" w:type="dxa"/>
                  <w:vAlign w:val="center"/>
                </w:tcPr>
                <w:p w14:paraId="2B6C4361">
                  <w:pPr>
                    <w:spacing w:line="240" w:lineRule="auto"/>
                    <w:ind w:firstLine="0" w:firstLineChars="0"/>
                    <w:contextualSpacing/>
                    <w:jc w:val="center"/>
                    <w:rPr>
                      <w:rFonts w:cs="Times New Roman"/>
                      <w:sz w:val="21"/>
                    </w:rPr>
                  </w:pPr>
                  <w:r>
                    <w:rPr>
                      <w:rFonts w:cs="Times New Roman"/>
                      <w:sz w:val="21"/>
                    </w:rPr>
                    <w:t>本项目采用先进节能高效工艺和设备</w:t>
                  </w:r>
                </w:p>
              </w:tc>
              <w:tc>
                <w:tcPr>
                  <w:tcW w:w="787" w:type="dxa"/>
                  <w:vAlign w:val="center"/>
                </w:tcPr>
                <w:p w14:paraId="7361B92D">
                  <w:pPr>
                    <w:spacing w:line="240" w:lineRule="auto"/>
                    <w:ind w:firstLine="0" w:firstLineChars="0"/>
                    <w:contextualSpacing/>
                    <w:jc w:val="center"/>
                    <w:rPr>
                      <w:rFonts w:cs="Times New Roman"/>
                      <w:sz w:val="21"/>
                    </w:rPr>
                  </w:pPr>
                  <w:r>
                    <w:rPr>
                      <w:rFonts w:cs="Times New Roman"/>
                      <w:sz w:val="21"/>
                    </w:rPr>
                    <w:t>符合</w:t>
                  </w:r>
                </w:p>
              </w:tc>
            </w:tr>
            <w:tr w14:paraId="43710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218F740B">
                  <w:pPr>
                    <w:spacing w:line="240" w:lineRule="auto"/>
                    <w:ind w:firstLine="0" w:firstLineChars="0"/>
                    <w:contextualSpacing/>
                    <w:jc w:val="center"/>
                    <w:rPr>
                      <w:rFonts w:cs="Times New Roman"/>
                      <w:sz w:val="21"/>
                    </w:rPr>
                  </w:pPr>
                </w:p>
              </w:tc>
              <w:tc>
                <w:tcPr>
                  <w:tcW w:w="286" w:type="dxa"/>
                  <w:vMerge w:val="continue"/>
                  <w:vAlign w:val="center"/>
                </w:tcPr>
                <w:p w14:paraId="17637B4D">
                  <w:pPr>
                    <w:spacing w:line="240" w:lineRule="auto"/>
                    <w:ind w:firstLine="0" w:firstLineChars="0"/>
                    <w:contextualSpacing/>
                    <w:jc w:val="center"/>
                    <w:rPr>
                      <w:rFonts w:cs="Times New Roman"/>
                      <w:sz w:val="21"/>
                    </w:rPr>
                  </w:pPr>
                </w:p>
              </w:tc>
              <w:tc>
                <w:tcPr>
                  <w:tcW w:w="5594" w:type="dxa"/>
                  <w:vAlign w:val="center"/>
                </w:tcPr>
                <w:p w14:paraId="5E7E0061">
                  <w:pPr>
                    <w:spacing w:line="240" w:lineRule="auto"/>
                    <w:ind w:firstLine="0" w:firstLineChars="0"/>
                    <w:contextualSpacing/>
                    <w:rPr>
                      <w:rFonts w:cs="Times New Roman"/>
                      <w:sz w:val="21"/>
                    </w:rPr>
                  </w:pPr>
                  <w:r>
                    <w:rPr>
                      <w:rFonts w:cs="Times New Roman"/>
                      <w:sz w:val="21"/>
                    </w:rPr>
                    <w:t>4.3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p>
              </w:tc>
              <w:tc>
                <w:tcPr>
                  <w:tcW w:w="1371" w:type="dxa"/>
                  <w:vAlign w:val="center"/>
                </w:tcPr>
                <w:p w14:paraId="22E1670D">
                  <w:pPr>
                    <w:spacing w:line="240" w:lineRule="auto"/>
                    <w:ind w:firstLine="0" w:firstLineChars="0"/>
                    <w:contextualSpacing/>
                    <w:jc w:val="center"/>
                    <w:rPr>
                      <w:rFonts w:cs="Times New Roman"/>
                      <w:sz w:val="21"/>
                    </w:rPr>
                  </w:pPr>
                  <w:r>
                    <w:rPr>
                      <w:rFonts w:cs="Times New Roman"/>
                      <w:sz w:val="21"/>
                    </w:rPr>
                    <w:t>项目生产工艺用水量较少</w:t>
                  </w:r>
                </w:p>
              </w:tc>
              <w:tc>
                <w:tcPr>
                  <w:tcW w:w="787" w:type="dxa"/>
                  <w:vAlign w:val="center"/>
                </w:tcPr>
                <w:p w14:paraId="3C3B2115">
                  <w:pPr>
                    <w:spacing w:line="240" w:lineRule="auto"/>
                    <w:ind w:firstLine="0" w:firstLineChars="0"/>
                    <w:contextualSpacing/>
                    <w:jc w:val="center"/>
                    <w:rPr>
                      <w:rFonts w:cs="Times New Roman"/>
                      <w:sz w:val="21"/>
                    </w:rPr>
                  </w:pPr>
                  <w:r>
                    <w:rPr>
                      <w:rFonts w:cs="Times New Roman"/>
                      <w:sz w:val="21"/>
                    </w:rPr>
                    <w:t>符合</w:t>
                  </w:r>
                </w:p>
              </w:tc>
            </w:tr>
            <w:tr w14:paraId="60D8F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624465BC">
                  <w:pPr>
                    <w:spacing w:line="240" w:lineRule="auto"/>
                    <w:ind w:firstLine="0" w:firstLineChars="0"/>
                    <w:contextualSpacing/>
                    <w:jc w:val="center"/>
                    <w:rPr>
                      <w:rFonts w:cs="Times New Roman"/>
                      <w:sz w:val="21"/>
                    </w:rPr>
                  </w:pPr>
                </w:p>
              </w:tc>
              <w:tc>
                <w:tcPr>
                  <w:tcW w:w="286" w:type="dxa"/>
                  <w:vMerge w:val="continue"/>
                  <w:vAlign w:val="center"/>
                </w:tcPr>
                <w:p w14:paraId="74FFD494">
                  <w:pPr>
                    <w:spacing w:line="240" w:lineRule="auto"/>
                    <w:ind w:firstLine="0" w:firstLineChars="0"/>
                    <w:contextualSpacing/>
                    <w:jc w:val="center"/>
                    <w:rPr>
                      <w:rFonts w:cs="Times New Roman"/>
                      <w:sz w:val="21"/>
                    </w:rPr>
                  </w:pPr>
                </w:p>
              </w:tc>
              <w:tc>
                <w:tcPr>
                  <w:tcW w:w="5594" w:type="dxa"/>
                  <w:vAlign w:val="center"/>
                </w:tcPr>
                <w:p w14:paraId="158B3891">
                  <w:pPr>
                    <w:spacing w:line="240" w:lineRule="auto"/>
                    <w:ind w:firstLine="0" w:firstLineChars="0"/>
                    <w:contextualSpacing/>
                    <w:rPr>
                      <w:rFonts w:cs="Times New Roman"/>
                      <w:sz w:val="21"/>
                    </w:rPr>
                  </w:pPr>
                  <w:r>
                    <w:rPr>
                      <w:rFonts w:cs="Times New Roman"/>
                      <w:sz w:val="21"/>
                    </w:rPr>
                    <w:t>4.4促进再生水利用。制定促进再生水利用的政策，以城市及产业集聚区为重点，实施再生水利用工程，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单体建筑面积超过2万平方米的新建公共建筑应安装建筑中水设施。积极推动其他新建住房安装建筑中水设施。</w:t>
                  </w:r>
                </w:p>
              </w:tc>
              <w:tc>
                <w:tcPr>
                  <w:tcW w:w="1371" w:type="dxa"/>
                  <w:vAlign w:val="center"/>
                </w:tcPr>
                <w:p w14:paraId="1905BD76">
                  <w:pPr>
                    <w:spacing w:line="240" w:lineRule="auto"/>
                    <w:ind w:firstLine="0" w:firstLineChars="0"/>
                    <w:contextualSpacing/>
                    <w:jc w:val="center"/>
                    <w:rPr>
                      <w:rFonts w:cs="Times New Roman"/>
                      <w:sz w:val="21"/>
                    </w:rPr>
                  </w:pPr>
                  <w:r>
                    <w:rPr>
                      <w:rFonts w:hint="eastAsia" w:cs="Times New Roman"/>
                      <w:color w:val="000000" w:themeColor="text1"/>
                      <w:sz w:val="21"/>
                      <w:szCs w:val="24"/>
                      <w14:textFill>
                        <w14:solidFill>
                          <w14:schemeClr w14:val="tx1"/>
                        </w14:solidFill>
                      </w14:textFill>
                    </w:rPr>
                    <w:t>本项目无生产废水，生活污水经化粪池预处理后由吸污车拉运至和静县污水处理厂处理</w:t>
                  </w:r>
                </w:p>
              </w:tc>
              <w:tc>
                <w:tcPr>
                  <w:tcW w:w="787" w:type="dxa"/>
                  <w:vAlign w:val="center"/>
                </w:tcPr>
                <w:p w14:paraId="0C4226D8">
                  <w:pPr>
                    <w:spacing w:line="240" w:lineRule="auto"/>
                    <w:ind w:firstLine="0" w:firstLineChars="0"/>
                    <w:contextualSpacing/>
                    <w:jc w:val="center"/>
                    <w:rPr>
                      <w:rFonts w:cs="Times New Roman"/>
                      <w:sz w:val="21"/>
                    </w:rPr>
                  </w:pPr>
                  <w:r>
                    <w:rPr>
                      <w:rFonts w:cs="Times New Roman"/>
                      <w:sz w:val="21"/>
                    </w:rPr>
                    <w:t>符合</w:t>
                  </w:r>
                </w:p>
              </w:tc>
            </w:tr>
            <w:tr w14:paraId="1FA07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7DA93AD6">
                  <w:pPr>
                    <w:spacing w:line="240" w:lineRule="auto"/>
                    <w:ind w:firstLine="0" w:firstLineChars="0"/>
                    <w:contextualSpacing/>
                    <w:jc w:val="center"/>
                    <w:rPr>
                      <w:rFonts w:cs="Times New Roman"/>
                      <w:sz w:val="21"/>
                    </w:rPr>
                  </w:pPr>
                </w:p>
              </w:tc>
              <w:tc>
                <w:tcPr>
                  <w:tcW w:w="286" w:type="dxa"/>
                  <w:vMerge w:val="continue"/>
                  <w:vAlign w:val="center"/>
                </w:tcPr>
                <w:p w14:paraId="60432EBC">
                  <w:pPr>
                    <w:spacing w:line="240" w:lineRule="auto"/>
                    <w:ind w:firstLine="0" w:firstLineChars="0"/>
                    <w:contextualSpacing/>
                    <w:jc w:val="center"/>
                    <w:rPr>
                      <w:rFonts w:cs="Times New Roman"/>
                      <w:sz w:val="21"/>
                    </w:rPr>
                  </w:pPr>
                </w:p>
              </w:tc>
              <w:tc>
                <w:tcPr>
                  <w:tcW w:w="5594" w:type="dxa"/>
                  <w:vAlign w:val="center"/>
                </w:tcPr>
                <w:p w14:paraId="0C64BA0B">
                  <w:pPr>
                    <w:spacing w:line="240" w:lineRule="auto"/>
                    <w:ind w:firstLine="0" w:firstLineChars="0"/>
                    <w:contextualSpacing/>
                    <w:rPr>
                      <w:rFonts w:cs="Times New Roman"/>
                      <w:sz w:val="21"/>
                    </w:rPr>
                  </w:pPr>
                  <w:r>
                    <w:rPr>
                      <w:rFonts w:cs="Times New Roman"/>
                      <w:sz w:val="21"/>
                    </w:rPr>
                    <w:t>4.5依法制定和完善重点河流水资源调度方案。采取闸坝联合调度、生态补水等措施，合理安排闸坝下泄水量和泄流时段，维持河湖基本生态用水需求，重点保障枯水期生态基流。加快重大水资源配置工程建设，提高区域水资源调配能力，发挥好控制性水利工程在改善水质中的作用。制定应急调度预案和调度计划，适时开展抗旱应急、突发水污染应急调度。建立和完善防洪防灾体系。不符合河流最小生态流量要求的规划和建设项目要限制运行，对安全隐患重、生态影响大的建设项目要建立退出机制。</w:t>
                  </w:r>
                </w:p>
              </w:tc>
              <w:tc>
                <w:tcPr>
                  <w:tcW w:w="1371" w:type="dxa"/>
                  <w:vAlign w:val="center"/>
                </w:tcPr>
                <w:p w14:paraId="0F41E003">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6D3B866A">
                  <w:pPr>
                    <w:spacing w:line="240" w:lineRule="auto"/>
                    <w:ind w:firstLine="0" w:firstLineChars="0"/>
                    <w:contextualSpacing/>
                    <w:jc w:val="center"/>
                    <w:rPr>
                      <w:rFonts w:cs="Times New Roman"/>
                      <w:sz w:val="21"/>
                    </w:rPr>
                  </w:pPr>
                  <w:r>
                    <w:rPr>
                      <w:rFonts w:cs="Times New Roman"/>
                      <w:sz w:val="21"/>
                    </w:rPr>
                    <w:t>符合</w:t>
                  </w:r>
                </w:p>
              </w:tc>
            </w:tr>
            <w:tr w14:paraId="19B99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6A8C6DF0">
                  <w:pPr>
                    <w:spacing w:line="240" w:lineRule="auto"/>
                    <w:ind w:firstLine="0" w:firstLineChars="0"/>
                    <w:contextualSpacing/>
                    <w:jc w:val="center"/>
                    <w:rPr>
                      <w:rFonts w:cs="Times New Roman"/>
                      <w:sz w:val="21"/>
                    </w:rPr>
                  </w:pPr>
                </w:p>
              </w:tc>
              <w:tc>
                <w:tcPr>
                  <w:tcW w:w="286" w:type="dxa"/>
                  <w:vMerge w:val="continue"/>
                  <w:vAlign w:val="center"/>
                </w:tcPr>
                <w:p w14:paraId="28628407">
                  <w:pPr>
                    <w:spacing w:line="240" w:lineRule="auto"/>
                    <w:ind w:firstLine="0" w:firstLineChars="0"/>
                    <w:contextualSpacing/>
                    <w:jc w:val="center"/>
                    <w:rPr>
                      <w:rFonts w:cs="Times New Roman"/>
                      <w:sz w:val="21"/>
                    </w:rPr>
                  </w:pPr>
                </w:p>
              </w:tc>
              <w:tc>
                <w:tcPr>
                  <w:tcW w:w="5594" w:type="dxa"/>
                  <w:vAlign w:val="center"/>
                </w:tcPr>
                <w:p w14:paraId="666FD356">
                  <w:pPr>
                    <w:spacing w:line="240" w:lineRule="auto"/>
                    <w:ind w:firstLine="0" w:firstLineChars="0"/>
                    <w:contextualSpacing/>
                    <w:rPr>
                      <w:rFonts w:cs="Times New Roman"/>
                      <w:sz w:val="21"/>
                    </w:rPr>
                  </w:pPr>
                  <w:r>
                    <w:rPr>
                      <w:rFonts w:cs="Times New Roman"/>
                      <w:sz w:val="21"/>
                    </w:rPr>
                    <w:t>4.6严格控制开采深层承压水，地热水、矿泉水开发应严格实行取水许可和采矿许可。加强地下水超采区综合治理与修复，实行地下水开采量与水位双控制度，划定地下水禁采区、限采区。依法规范机井建设管理，完成已建机井的排查登记，未经批准的和公共供水管网覆盖范围内的自备水井，逐步予以关闭</w:t>
                  </w:r>
                </w:p>
              </w:tc>
              <w:tc>
                <w:tcPr>
                  <w:tcW w:w="1371" w:type="dxa"/>
                  <w:vAlign w:val="center"/>
                </w:tcPr>
                <w:p w14:paraId="6B0B7F6D">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33247C19">
                  <w:pPr>
                    <w:spacing w:line="240" w:lineRule="auto"/>
                    <w:ind w:firstLine="0" w:firstLineChars="0"/>
                    <w:contextualSpacing/>
                    <w:jc w:val="center"/>
                    <w:rPr>
                      <w:rFonts w:cs="Times New Roman"/>
                      <w:sz w:val="21"/>
                    </w:rPr>
                  </w:pPr>
                  <w:r>
                    <w:rPr>
                      <w:rFonts w:cs="Times New Roman"/>
                      <w:sz w:val="21"/>
                    </w:rPr>
                    <w:t>符合</w:t>
                  </w:r>
                </w:p>
              </w:tc>
            </w:tr>
            <w:tr w14:paraId="06434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00B6D1E5">
                  <w:pPr>
                    <w:spacing w:line="240" w:lineRule="auto"/>
                    <w:ind w:firstLine="0" w:firstLineChars="0"/>
                    <w:contextualSpacing/>
                    <w:jc w:val="center"/>
                    <w:rPr>
                      <w:rFonts w:cs="Times New Roman"/>
                      <w:sz w:val="21"/>
                    </w:rPr>
                  </w:pPr>
                </w:p>
              </w:tc>
              <w:tc>
                <w:tcPr>
                  <w:tcW w:w="286" w:type="dxa"/>
                  <w:vMerge w:val="continue"/>
                  <w:vAlign w:val="center"/>
                </w:tcPr>
                <w:p w14:paraId="009EF26C">
                  <w:pPr>
                    <w:spacing w:line="240" w:lineRule="auto"/>
                    <w:ind w:firstLine="0" w:firstLineChars="0"/>
                    <w:contextualSpacing/>
                    <w:jc w:val="center"/>
                    <w:rPr>
                      <w:rFonts w:cs="Times New Roman"/>
                      <w:sz w:val="21"/>
                    </w:rPr>
                  </w:pPr>
                </w:p>
              </w:tc>
              <w:tc>
                <w:tcPr>
                  <w:tcW w:w="5594" w:type="dxa"/>
                  <w:vAlign w:val="center"/>
                </w:tcPr>
                <w:p w14:paraId="6CC6BD80">
                  <w:pPr>
                    <w:spacing w:line="240" w:lineRule="auto"/>
                    <w:ind w:firstLine="0" w:firstLineChars="0"/>
                    <w:contextualSpacing/>
                    <w:rPr>
                      <w:rFonts w:cs="Times New Roman"/>
                      <w:sz w:val="21"/>
                    </w:rPr>
                  </w:pPr>
                  <w:r>
                    <w:rPr>
                      <w:rFonts w:cs="Times New Roman"/>
                      <w:sz w:val="21"/>
                    </w:rPr>
                    <w:t>4.7编制重点超采区域地下水压采方案。在地下水超采区，禁止兴建地下水取水工程。加强水源置换，合理配置地表水和地下水开采量，减少地下水开采规模，逐步实现地下水采补平衡。</w:t>
                  </w:r>
                </w:p>
              </w:tc>
              <w:tc>
                <w:tcPr>
                  <w:tcW w:w="1371" w:type="dxa"/>
                  <w:vAlign w:val="center"/>
                </w:tcPr>
                <w:p w14:paraId="1F60B98B">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5CBAD326">
                  <w:pPr>
                    <w:spacing w:line="240" w:lineRule="auto"/>
                    <w:ind w:firstLine="0" w:firstLineChars="0"/>
                    <w:contextualSpacing/>
                    <w:jc w:val="center"/>
                    <w:rPr>
                      <w:rFonts w:cs="Times New Roman"/>
                      <w:sz w:val="21"/>
                    </w:rPr>
                  </w:pPr>
                  <w:r>
                    <w:rPr>
                      <w:rFonts w:cs="Times New Roman"/>
                      <w:sz w:val="21"/>
                    </w:rPr>
                    <w:t>符合</w:t>
                  </w:r>
                </w:p>
              </w:tc>
            </w:tr>
            <w:tr w14:paraId="3D327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46" w:hRule="atLeast"/>
                <w:jc w:val="center"/>
              </w:trPr>
              <w:tc>
                <w:tcPr>
                  <w:tcW w:w="266" w:type="dxa"/>
                  <w:vMerge w:val="continue"/>
                  <w:vAlign w:val="center"/>
                </w:tcPr>
                <w:p w14:paraId="5E283103">
                  <w:pPr>
                    <w:spacing w:line="240" w:lineRule="auto"/>
                    <w:ind w:firstLine="0" w:firstLineChars="0"/>
                    <w:contextualSpacing/>
                    <w:jc w:val="center"/>
                    <w:rPr>
                      <w:rFonts w:cs="Times New Roman"/>
                      <w:sz w:val="21"/>
                    </w:rPr>
                  </w:pPr>
                </w:p>
              </w:tc>
              <w:tc>
                <w:tcPr>
                  <w:tcW w:w="286" w:type="dxa"/>
                  <w:vMerge w:val="continue"/>
                  <w:vAlign w:val="center"/>
                </w:tcPr>
                <w:p w14:paraId="46ED307B">
                  <w:pPr>
                    <w:spacing w:line="240" w:lineRule="auto"/>
                    <w:ind w:firstLine="0" w:firstLineChars="0"/>
                    <w:contextualSpacing/>
                    <w:jc w:val="center"/>
                    <w:rPr>
                      <w:rFonts w:cs="Times New Roman"/>
                      <w:sz w:val="21"/>
                    </w:rPr>
                  </w:pPr>
                </w:p>
              </w:tc>
              <w:tc>
                <w:tcPr>
                  <w:tcW w:w="5594" w:type="dxa"/>
                  <w:vAlign w:val="center"/>
                </w:tcPr>
                <w:p w14:paraId="1469CA35">
                  <w:pPr>
                    <w:spacing w:line="240" w:lineRule="auto"/>
                    <w:ind w:firstLine="0" w:firstLineChars="0"/>
                    <w:contextualSpacing/>
                    <w:rPr>
                      <w:rFonts w:cs="Times New Roman"/>
                      <w:sz w:val="21"/>
                    </w:rPr>
                  </w:pPr>
                  <w:r>
                    <w:rPr>
                      <w:rFonts w:cs="Times New Roman"/>
                      <w:sz w:val="21"/>
                    </w:rPr>
                    <w:t>4.8流域执行最严格的水资源管理制度，依法实行取水许可和有偿使用制度。在流域内从事生产、建设活动应当遵守生态环境保护规划，严格执行水资源用水总量控制、用水效率控制、水功能区限制纳污“三条红线”控制指标。流域内水资源开发利用应当兼顾上下游、左右岸和有关县、团镇之间的利益，发挥水资源的综合效益。</w:t>
                  </w:r>
                </w:p>
              </w:tc>
              <w:tc>
                <w:tcPr>
                  <w:tcW w:w="1371" w:type="dxa"/>
                  <w:vAlign w:val="center"/>
                </w:tcPr>
                <w:p w14:paraId="397F1FD5">
                  <w:pPr>
                    <w:spacing w:line="240" w:lineRule="auto"/>
                    <w:ind w:firstLine="0" w:firstLineChars="0"/>
                    <w:contextualSpacing/>
                    <w:jc w:val="center"/>
                    <w:rPr>
                      <w:rFonts w:cs="Times New Roman"/>
                      <w:sz w:val="21"/>
                    </w:rPr>
                  </w:pPr>
                  <w:r>
                    <w:rPr>
                      <w:rFonts w:cs="Times New Roman"/>
                      <w:sz w:val="21"/>
                    </w:rPr>
                    <w:t>不涉及</w:t>
                  </w:r>
                </w:p>
              </w:tc>
              <w:tc>
                <w:tcPr>
                  <w:tcW w:w="787" w:type="dxa"/>
                  <w:vAlign w:val="center"/>
                </w:tcPr>
                <w:p w14:paraId="5CF4FA48">
                  <w:pPr>
                    <w:spacing w:line="240" w:lineRule="auto"/>
                    <w:ind w:firstLine="0" w:firstLineChars="0"/>
                    <w:contextualSpacing/>
                    <w:jc w:val="center"/>
                    <w:rPr>
                      <w:rFonts w:cs="Times New Roman"/>
                      <w:sz w:val="21"/>
                    </w:rPr>
                  </w:pPr>
                  <w:r>
                    <w:rPr>
                      <w:rFonts w:cs="Times New Roman"/>
                      <w:sz w:val="21"/>
                    </w:rPr>
                    <w:t>符合</w:t>
                  </w:r>
                </w:p>
              </w:tc>
            </w:tr>
          </w:tbl>
          <w:p w14:paraId="53E8692E">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1-6  </w:t>
            </w:r>
            <w:r>
              <w:rPr>
                <w:rFonts w:hint="eastAsia" w:cs="Times New Roman"/>
                <w:b/>
                <w:kern w:val="0"/>
                <w:sz w:val="21"/>
                <w:szCs w:val="20"/>
              </w:rPr>
              <w:t>本项目与和静工业园区新兴产业区环境管控单元准入清单符合性分析一览</w:t>
            </w:r>
          </w:p>
          <w:tbl>
            <w:tblPr>
              <w:tblStyle w:val="2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3"/>
              <w:gridCol w:w="496"/>
              <w:gridCol w:w="374"/>
              <w:gridCol w:w="4011"/>
              <w:gridCol w:w="1988"/>
              <w:gridCol w:w="999"/>
            </w:tblGrid>
            <w:tr w14:paraId="222F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gridSpan w:val="3"/>
                  <w:vAlign w:val="center"/>
                </w:tcPr>
                <w:p w14:paraId="1617DEFB">
                  <w:pPr>
                    <w:spacing w:line="240" w:lineRule="auto"/>
                    <w:ind w:firstLine="0" w:firstLineChars="0"/>
                    <w:contextualSpacing/>
                    <w:jc w:val="center"/>
                    <w:rPr>
                      <w:rFonts w:cs="Times New Roman"/>
                      <w:color w:val="000000"/>
                      <w:sz w:val="21"/>
                      <w:szCs w:val="21"/>
                    </w:rPr>
                  </w:pPr>
                  <w:r>
                    <w:rPr>
                      <w:rFonts w:cs="Times New Roman"/>
                      <w:color w:val="000000"/>
                      <w:sz w:val="21"/>
                      <w:szCs w:val="21"/>
                    </w:rPr>
                    <w:t>管控类型</w:t>
                  </w:r>
                </w:p>
              </w:tc>
              <w:tc>
                <w:tcPr>
                  <w:tcW w:w="2416" w:type="pct"/>
                  <w:vAlign w:val="center"/>
                </w:tcPr>
                <w:p w14:paraId="2CD211C9">
                  <w:pPr>
                    <w:spacing w:line="240" w:lineRule="auto"/>
                    <w:ind w:firstLine="0" w:firstLineChars="0"/>
                    <w:contextualSpacing/>
                    <w:jc w:val="center"/>
                    <w:rPr>
                      <w:rFonts w:cs="Times New Roman"/>
                      <w:color w:val="000000"/>
                      <w:sz w:val="21"/>
                      <w:szCs w:val="21"/>
                    </w:rPr>
                  </w:pPr>
                  <w:r>
                    <w:rPr>
                      <w:rFonts w:cs="Times New Roman"/>
                      <w:color w:val="000000"/>
                      <w:sz w:val="21"/>
                      <w:szCs w:val="21"/>
                    </w:rPr>
                    <w:t>管控要求</w:t>
                  </w:r>
                </w:p>
              </w:tc>
              <w:tc>
                <w:tcPr>
                  <w:tcW w:w="1197" w:type="pct"/>
                  <w:vAlign w:val="center"/>
                </w:tcPr>
                <w:p w14:paraId="12011441">
                  <w:pPr>
                    <w:spacing w:line="240" w:lineRule="auto"/>
                    <w:ind w:firstLine="0" w:firstLineChars="0"/>
                    <w:contextualSpacing/>
                    <w:jc w:val="center"/>
                    <w:rPr>
                      <w:rFonts w:cs="Times New Roman"/>
                      <w:color w:val="000000"/>
                      <w:sz w:val="21"/>
                      <w:szCs w:val="21"/>
                    </w:rPr>
                  </w:pPr>
                  <w:r>
                    <w:rPr>
                      <w:rFonts w:cs="Times New Roman"/>
                      <w:color w:val="000000"/>
                      <w:sz w:val="21"/>
                      <w:szCs w:val="21"/>
                    </w:rPr>
                    <w:t>本项目</w:t>
                  </w:r>
                </w:p>
              </w:tc>
              <w:tc>
                <w:tcPr>
                  <w:tcW w:w="602" w:type="pct"/>
                  <w:vAlign w:val="center"/>
                </w:tcPr>
                <w:p w14:paraId="4E72B8FC">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符合性</w:t>
                  </w:r>
                </w:p>
              </w:tc>
            </w:tr>
            <w:tr w14:paraId="44968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6" w:hRule="atLeast"/>
              </w:trPr>
              <w:tc>
                <w:tcPr>
                  <w:tcW w:w="261" w:type="pct"/>
                  <w:vMerge w:val="restart"/>
                  <w:vAlign w:val="center"/>
                </w:tcPr>
                <w:p w14:paraId="130D3940">
                  <w:pPr>
                    <w:spacing w:line="240" w:lineRule="auto"/>
                    <w:ind w:firstLine="0" w:firstLineChars="0"/>
                    <w:contextualSpacing/>
                    <w:jc w:val="center"/>
                    <w:rPr>
                      <w:rFonts w:cs="Times New Roman"/>
                      <w:color w:val="000000"/>
                      <w:sz w:val="21"/>
                      <w:szCs w:val="21"/>
                    </w:rPr>
                  </w:pPr>
                  <w:r>
                    <w:rPr>
                      <w:rFonts w:cs="Times New Roman"/>
                      <w:color w:val="000000"/>
                      <w:sz w:val="21"/>
                      <w:szCs w:val="21"/>
                    </w:rPr>
                    <w:t>ZH65282720007</w:t>
                  </w:r>
                </w:p>
              </w:tc>
              <w:tc>
                <w:tcPr>
                  <w:tcW w:w="299" w:type="pct"/>
                  <w:vMerge w:val="restart"/>
                  <w:vAlign w:val="center"/>
                </w:tcPr>
                <w:p w14:paraId="7D5A0797">
                  <w:pPr>
                    <w:spacing w:line="240" w:lineRule="auto"/>
                    <w:ind w:firstLine="0" w:firstLineChars="0"/>
                    <w:contextualSpacing/>
                    <w:jc w:val="center"/>
                    <w:rPr>
                      <w:rFonts w:cs="Times New Roman"/>
                      <w:color w:val="000000"/>
                      <w:sz w:val="21"/>
                      <w:szCs w:val="21"/>
                    </w:rPr>
                  </w:pPr>
                  <w:r>
                    <w:rPr>
                      <w:rFonts w:cs="Times New Roman"/>
                      <w:color w:val="000000"/>
                      <w:sz w:val="21"/>
                      <w:szCs w:val="21"/>
                    </w:rPr>
                    <w:t>和静工业园区新兴产业区</w:t>
                  </w:r>
                </w:p>
              </w:tc>
              <w:tc>
                <w:tcPr>
                  <w:tcW w:w="225" w:type="pct"/>
                  <w:vAlign w:val="center"/>
                </w:tcPr>
                <w:p w14:paraId="01E226AB">
                  <w:pPr>
                    <w:spacing w:line="240" w:lineRule="auto"/>
                    <w:ind w:firstLine="0" w:firstLineChars="0"/>
                    <w:contextualSpacing/>
                    <w:jc w:val="center"/>
                    <w:rPr>
                      <w:rFonts w:cs="Times New Roman"/>
                      <w:color w:val="000000"/>
                      <w:sz w:val="21"/>
                      <w:szCs w:val="21"/>
                    </w:rPr>
                  </w:pPr>
                  <w:r>
                    <w:rPr>
                      <w:rFonts w:cs="Times New Roman"/>
                      <w:color w:val="000000"/>
                      <w:sz w:val="21"/>
                      <w:szCs w:val="21"/>
                    </w:rPr>
                    <w:t>空间布局约束</w:t>
                  </w:r>
                </w:p>
              </w:tc>
              <w:tc>
                <w:tcPr>
                  <w:tcW w:w="2416" w:type="pct"/>
                  <w:vAlign w:val="center"/>
                </w:tcPr>
                <w:p w14:paraId="5BF21682">
                  <w:pPr>
                    <w:spacing w:line="240" w:lineRule="auto"/>
                    <w:ind w:firstLine="0" w:firstLineChars="0"/>
                    <w:contextualSpacing/>
                    <w:rPr>
                      <w:rFonts w:cs="Times New Roman"/>
                      <w:color w:val="000000"/>
                      <w:sz w:val="21"/>
                      <w:szCs w:val="21"/>
                    </w:rPr>
                  </w:pPr>
                  <w:r>
                    <w:rPr>
                      <w:rFonts w:cs="Times New Roman"/>
                      <w:color w:val="000000"/>
                      <w:sz w:val="21"/>
                      <w:szCs w:val="21"/>
                    </w:rPr>
                    <w:t>符合国家环保和节能减排要求，排放污染物必须达到国家和自治区污染物排放标准，严禁国家明文规定的限制类、淘汰类项目进入园区；不得采用国家、自治区淘汰或禁止使用的生产工艺、技术和设备；项目中的防治措施必须与主体工程同时设计、同时施工、同时投产使用。</w:t>
                  </w:r>
                </w:p>
              </w:tc>
              <w:tc>
                <w:tcPr>
                  <w:tcW w:w="1197" w:type="pct"/>
                  <w:vAlign w:val="center"/>
                </w:tcPr>
                <w:p w14:paraId="71564F65">
                  <w:pPr>
                    <w:spacing w:line="240" w:lineRule="auto"/>
                    <w:ind w:firstLine="0" w:firstLineChars="0"/>
                    <w:contextualSpacing/>
                    <w:jc w:val="center"/>
                    <w:rPr>
                      <w:rFonts w:cs="Times New Roman"/>
                      <w:color w:val="000000"/>
                      <w:sz w:val="21"/>
                      <w:szCs w:val="21"/>
                    </w:rPr>
                  </w:pPr>
                  <w:r>
                    <w:rPr>
                      <w:rFonts w:cs="Times New Roman"/>
                      <w:color w:val="000000"/>
                      <w:sz w:val="21"/>
                      <w:szCs w:val="21"/>
                    </w:rPr>
                    <w:t>本项目属于危险品仓储业，不建设锅炉，符合园区规划，环保设施可稳定达标运行。本项目工艺、设备不属于淘汰落后产能和设备。无重大事故隐患</w:t>
                  </w:r>
                </w:p>
              </w:tc>
              <w:tc>
                <w:tcPr>
                  <w:tcW w:w="602" w:type="pct"/>
                  <w:vAlign w:val="center"/>
                </w:tcPr>
                <w:p w14:paraId="1730C231">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42BEA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1" w:type="pct"/>
                  <w:vMerge w:val="continue"/>
                  <w:vAlign w:val="center"/>
                </w:tcPr>
                <w:p w14:paraId="5D9AC56E">
                  <w:pPr>
                    <w:spacing w:line="240" w:lineRule="auto"/>
                    <w:ind w:firstLine="0" w:firstLineChars="0"/>
                    <w:contextualSpacing/>
                    <w:jc w:val="center"/>
                    <w:rPr>
                      <w:rFonts w:cs="Times New Roman"/>
                      <w:color w:val="000000"/>
                      <w:sz w:val="21"/>
                      <w:szCs w:val="21"/>
                    </w:rPr>
                  </w:pPr>
                </w:p>
              </w:tc>
              <w:tc>
                <w:tcPr>
                  <w:tcW w:w="299" w:type="pct"/>
                  <w:vMerge w:val="continue"/>
                  <w:vAlign w:val="center"/>
                </w:tcPr>
                <w:p w14:paraId="1594EBC0">
                  <w:pPr>
                    <w:spacing w:line="240" w:lineRule="auto"/>
                    <w:ind w:firstLine="0" w:firstLineChars="0"/>
                    <w:contextualSpacing/>
                    <w:jc w:val="center"/>
                    <w:rPr>
                      <w:rFonts w:cs="Times New Roman"/>
                      <w:color w:val="000000"/>
                      <w:sz w:val="21"/>
                      <w:szCs w:val="21"/>
                    </w:rPr>
                  </w:pPr>
                </w:p>
              </w:tc>
              <w:tc>
                <w:tcPr>
                  <w:tcW w:w="225" w:type="pct"/>
                  <w:vAlign w:val="center"/>
                </w:tcPr>
                <w:p w14:paraId="0D24CF9D">
                  <w:pPr>
                    <w:spacing w:line="240" w:lineRule="auto"/>
                    <w:ind w:firstLine="0" w:firstLineChars="0"/>
                    <w:contextualSpacing/>
                    <w:jc w:val="center"/>
                    <w:rPr>
                      <w:rFonts w:cs="Times New Roman"/>
                      <w:color w:val="000000"/>
                      <w:sz w:val="21"/>
                      <w:szCs w:val="21"/>
                    </w:rPr>
                  </w:pPr>
                  <w:r>
                    <w:rPr>
                      <w:rFonts w:cs="Times New Roman"/>
                      <w:color w:val="000000"/>
                      <w:sz w:val="21"/>
                      <w:szCs w:val="21"/>
                    </w:rPr>
                    <w:t>污染物排放管控</w:t>
                  </w:r>
                </w:p>
              </w:tc>
              <w:tc>
                <w:tcPr>
                  <w:tcW w:w="2416" w:type="pct"/>
                  <w:vAlign w:val="center"/>
                </w:tcPr>
                <w:p w14:paraId="583D699D">
                  <w:pPr>
                    <w:spacing w:line="240" w:lineRule="auto"/>
                    <w:ind w:firstLine="0" w:firstLineChars="0"/>
                    <w:contextualSpacing/>
                    <w:rPr>
                      <w:rFonts w:cs="Times New Roman"/>
                      <w:color w:val="000000"/>
                      <w:sz w:val="21"/>
                      <w:szCs w:val="21"/>
                    </w:rPr>
                  </w:pPr>
                  <w:r>
                    <w:rPr>
                      <w:rFonts w:cs="Times New Roman"/>
                      <w:color w:val="000000"/>
                      <w:sz w:val="21"/>
                      <w:szCs w:val="21"/>
                    </w:rPr>
                    <w:t>1.减少污染源头排放。按照《和静县钢铁企业超低排放实施方案》要求，启动实施钢铁行业超低排放升级改造，加快新疆天山钢铁巴州有限公司等钢铁企业实施国家有关钢铁行业超低排放的制度，对原有的脱硫、脱硝、除尘等环保设施进行技术改造。</w:t>
                  </w:r>
                </w:p>
                <w:p w14:paraId="470992FD">
                  <w:pPr>
                    <w:spacing w:line="240" w:lineRule="auto"/>
                    <w:ind w:firstLine="0" w:firstLineChars="0"/>
                    <w:contextualSpacing/>
                    <w:rPr>
                      <w:rFonts w:cs="Times New Roman"/>
                      <w:color w:val="000000"/>
                      <w:sz w:val="21"/>
                      <w:szCs w:val="21"/>
                    </w:rPr>
                  </w:pPr>
                  <w:r>
                    <w:rPr>
                      <w:rFonts w:cs="Times New Roman"/>
                      <w:color w:val="000000"/>
                      <w:sz w:val="21"/>
                      <w:szCs w:val="21"/>
                    </w:rPr>
                    <w:t>2.完善钢铁、金属制品、有色等工业企业污染水治理设施，推进工业污水达标排放，实现污染物稳定达标排放。企业污水自行处理达到行业排放标准或《污水综合排放标准》中的三级标准后方可进入污水处理厂，并在企业排水口安装在线监测设备，以保障污水处理厂进水满足要求。</w:t>
                  </w:r>
                </w:p>
              </w:tc>
              <w:tc>
                <w:tcPr>
                  <w:tcW w:w="1197" w:type="pct"/>
                  <w:vAlign w:val="center"/>
                </w:tcPr>
                <w:p w14:paraId="5558BD6A">
                  <w:pPr>
                    <w:spacing w:line="240" w:lineRule="auto"/>
                    <w:ind w:firstLine="0" w:firstLineChars="0"/>
                    <w:contextualSpacing/>
                    <w:jc w:val="center"/>
                    <w:rPr>
                      <w:rFonts w:cs="Times New Roman"/>
                      <w:color w:val="000000"/>
                      <w:sz w:val="21"/>
                      <w:szCs w:val="21"/>
                    </w:rPr>
                  </w:pPr>
                  <w:r>
                    <w:rPr>
                      <w:rFonts w:cs="Times New Roman"/>
                      <w:color w:val="000000"/>
                      <w:sz w:val="21"/>
                      <w:szCs w:val="21"/>
                    </w:rPr>
                    <w:t>本项目各项污染通过合理可行的治理措施处理后可稳定达标排放</w:t>
                  </w:r>
                </w:p>
              </w:tc>
              <w:tc>
                <w:tcPr>
                  <w:tcW w:w="602" w:type="pct"/>
                  <w:vAlign w:val="center"/>
                </w:tcPr>
                <w:p w14:paraId="48676C9D">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48D27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1" w:type="pct"/>
                  <w:vMerge w:val="continue"/>
                  <w:vAlign w:val="center"/>
                </w:tcPr>
                <w:p w14:paraId="27EAF426">
                  <w:pPr>
                    <w:spacing w:line="240" w:lineRule="auto"/>
                    <w:ind w:firstLine="0" w:firstLineChars="0"/>
                    <w:contextualSpacing/>
                    <w:jc w:val="center"/>
                    <w:rPr>
                      <w:rFonts w:cs="Times New Roman"/>
                      <w:color w:val="000000"/>
                      <w:sz w:val="21"/>
                      <w:szCs w:val="21"/>
                    </w:rPr>
                  </w:pPr>
                </w:p>
              </w:tc>
              <w:tc>
                <w:tcPr>
                  <w:tcW w:w="299" w:type="pct"/>
                  <w:vMerge w:val="continue"/>
                  <w:vAlign w:val="center"/>
                </w:tcPr>
                <w:p w14:paraId="7BA52201">
                  <w:pPr>
                    <w:spacing w:line="240" w:lineRule="auto"/>
                    <w:ind w:firstLine="0" w:firstLineChars="0"/>
                    <w:contextualSpacing/>
                    <w:jc w:val="center"/>
                    <w:rPr>
                      <w:rFonts w:cs="Times New Roman"/>
                      <w:color w:val="000000"/>
                      <w:sz w:val="21"/>
                      <w:szCs w:val="21"/>
                    </w:rPr>
                  </w:pPr>
                </w:p>
              </w:tc>
              <w:tc>
                <w:tcPr>
                  <w:tcW w:w="225" w:type="pct"/>
                  <w:vAlign w:val="center"/>
                </w:tcPr>
                <w:p w14:paraId="09167627">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环境风险防控</w:t>
                  </w:r>
                </w:p>
              </w:tc>
              <w:tc>
                <w:tcPr>
                  <w:tcW w:w="2416" w:type="pct"/>
                  <w:vAlign w:val="center"/>
                </w:tcPr>
                <w:p w14:paraId="3DBF7E53">
                  <w:pPr>
                    <w:spacing w:line="240" w:lineRule="auto"/>
                    <w:ind w:firstLine="0" w:firstLineChars="0"/>
                    <w:contextualSpacing/>
                    <w:rPr>
                      <w:rFonts w:cs="Times New Roman"/>
                      <w:color w:val="000000"/>
                      <w:sz w:val="21"/>
                      <w:szCs w:val="21"/>
                    </w:rPr>
                  </w:pPr>
                  <w:r>
                    <w:rPr>
                      <w:rFonts w:cs="Times New Roman"/>
                      <w:color w:val="000000"/>
                      <w:sz w:val="21"/>
                      <w:szCs w:val="21"/>
                    </w:rPr>
                    <w:t>1.土壤环境重点监管企业全部纳入监督性环境监测范围，重点监测污染物为镉、汞、砷、铅、铬、铜、镍等重金属。土壤环境监管重点行业企业拆除生产设施设备、构筑物和污染治理设施，要事先制定残留污染物清理和安全处置方案，并报所在地环境保护、工业和信息化部门备案，严格按照有关规定实施安全处理处置，防范拆除活动污染土壤。</w:t>
                  </w:r>
                </w:p>
                <w:p w14:paraId="765E0CEB">
                  <w:pPr>
                    <w:spacing w:line="240" w:lineRule="auto"/>
                    <w:ind w:firstLine="0" w:firstLineChars="0"/>
                    <w:contextualSpacing/>
                    <w:rPr>
                      <w:rFonts w:cs="Times New Roman"/>
                      <w:color w:val="000000"/>
                      <w:sz w:val="21"/>
                      <w:szCs w:val="21"/>
                    </w:rPr>
                  </w:pPr>
                  <w:r>
                    <w:rPr>
                      <w:rFonts w:cs="Times New Roman"/>
                      <w:color w:val="000000"/>
                      <w:sz w:val="21"/>
                      <w:szCs w:val="21"/>
                    </w:rPr>
                    <w:t>2.严格环境风险控制。防范环境风险，定期评估工业集聚区环境和健康风险，加强预案管理，落实防控措施，排除水污染隐患。</w:t>
                  </w:r>
                </w:p>
                <w:p w14:paraId="11227A40">
                  <w:pPr>
                    <w:spacing w:line="240" w:lineRule="auto"/>
                    <w:ind w:firstLine="0" w:firstLineChars="0"/>
                    <w:contextualSpacing/>
                    <w:rPr>
                      <w:rFonts w:cs="Times New Roman"/>
                      <w:color w:val="000000"/>
                      <w:sz w:val="21"/>
                      <w:szCs w:val="21"/>
                    </w:rPr>
                  </w:pPr>
                  <w:r>
                    <w:rPr>
                      <w:rFonts w:cs="Times New Roman"/>
                      <w:color w:val="000000"/>
                      <w:sz w:val="21"/>
                      <w:szCs w:val="21"/>
                    </w:rPr>
                    <w:t>3.加强对地下水、地表水污染的动态监测，禁止利用渗坑、渗井排放工业废水和生活污水，控制或杜绝污染。</w:t>
                  </w:r>
                </w:p>
              </w:tc>
              <w:tc>
                <w:tcPr>
                  <w:tcW w:w="1197" w:type="pct"/>
                  <w:vAlign w:val="center"/>
                </w:tcPr>
                <w:p w14:paraId="72B8ABDC">
                  <w:pPr>
                    <w:spacing w:line="240" w:lineRule="auto"/>
                    <w:ind w:firstLine="0" w:firstLineChars="0"/>
                    <w:contextualSpacing/>
                    <w:rPr>
                      <w:rFonts w:cs="Times New Roman"/>
                      <w:color w:val="000000"/>
                      <w:sz w:val="21"/>
                      <w:szCs w:val="21"/>
                    </w:rPr>
                  </w:pPr>
                  <w:r>
                    <w:rPr>
                      <w:rFonts w:hint="eastAsia" w:cs="Times New Roman"/>
                      <w:color w:val="000000"/>
                      <w:sz w:val="21"/>
                      <w:szCs w:val="21"/>
                    </w:rPr>
                    <w:t>本项目通过严格管理各类风险物质，有效控制环境风险。配套建设容积为250m³的消防水池，配置灭火器材；并在充装车间、气体瓶库等区域安装可燃气体泄漏报警装置，保障运行安全</w:t>
                  </w:r>
                </w:p>
              </w:tc>
              <w:tc>
                <w:tcPr>
                  <w:tcW w:w="602" w:type="pct"/>
                  <w:vAlign w:val="center"/>
                </w:tcPr>
                <w:p w14:paraId="31A6031F">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tr w14:paraId="4C3EA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1" w:type="pct"/>
                  <w:vMerge w:val="continue"/>
                  <w:vAlign w:val="center"/>
                </w:tcPr>
                <w:p w14:paraId="4DBEE431">
                  <w:pPr>
                    <w:spacing w:line="240" w:lineRule="auto"/>
                    <w:ind w:firstLine="0" w:firstLineChars="0"/>
                    <w:contextualSpacing/>
                    <w:jc w:val="center"/>
                    <w:rPr>
                      <w:rFonts w:cs="Times New Roman"/>
                      <w:color w:val="000000"/>
                      <w:sz w:val="21"/>
                      <w:szCs w:val="21"/>
                    </w:rPr>
                  </w:pPr>
                </w:p>
              </w:tc>
              <w:tc>
                <w:tcPr>
                  <w:tcW w:w="299" w:type="pct"/>
                  <w:vMerge w:val="continue"/>
                  <w:vAlign w:val="center"/>
                </w:tcPr>
                <w:p w14:paraId="2F450916">
                  <w:pPr>
                    <w:spacing w:line="240" w:lineRule="auto"/>
                    <w:ind w:firstLine="0" w:firstLineChars="0"/>
                    <w:contextualSpacing/>
                    <w:jc w:val="center"/>
                    <w:rPr>
                      <w:rFonts w:cs="Times New Roman"/>
                      <w:color w:val="000000"/>
                      <w:sz w:val="21"/>
                      <w:szCs w:val="21"/>
                    </w:rPr>
                  </w:pPr>
                </w:p>
              </w:tc>
              <w:tc>
                <w:tcPr>
                  <w:tcW w:w="225" w:type="pct"/>
                  <w:vAlign w:val="center"/>
                </w:tcPr>
                <w:p w14:paraId="067A704E">
                  <w:pPr>
                    <w:spacing w:line="240" w:lineRule="auto"/>
                    <w:ind w:firstLine="0" w:firstLineChars="0"/>
                    <w:contextualSpacing/>
                    <w:jc w:val="center"/>
                    <w:rPr>
                      <w:rFonts w:cs="Times New Roman"/>
                      <w:color w:val="000000"/>
                      <w:sz w:val="21"/>
                      <w:szCs w:val="21"/>
                    </w:rPr>
                  </w:pPr>
                  <w:r>
                    <w:rPr>
                      <w:rFonts w:cs="Times New Roman"/>
                      <w:color w:val="000000"/>
                      <w:sz w:val="21"/>
                      <w:szCs w:val="21"/>
                    </w:rPr>
                    <w:t>资源利用效率</w:t>
                  </w:r>
                </w:p>
              </w:tc>
              <w:tc>
                <w:tcPr>
                  <w:tcW w:w="2416" w:type="pct"/>
                  <w:vAlign w:val="center"/>
                </w:tcPr>
                <w:p w14:paraId="2233159D">
                  <w:pPr>
                    <w:spacing w:line="240" w:lineRule="auto"/>
                    <w:ind w:firstLine="0" w:firstLineChars="0"/>
                    <w:contextualSpacing/>
                    <w:rPr>
                      <w:rFonts w:cs="Times New Roman"/>
                      <w:color w:val="000000"/>
                      <w:sz w:val="21"/>
                      <w:szCs w:val="21"/>
                    </w:rPr>
                  </w:pPr>
                  <w:r>
                    <w:rPr>
                      <w:rFonts w:cs="Times New Roman"/>
                      <w:color w:val="000000"/>
                      <w:sz w:val="21"/>
                      <w:szCs w:val="21"/>
                    </w:rPr>
                    <w:t>围绕资源高效循环利用，加大先进节能技术和减排技术的推广应用，推动结构性、技术性和制度性节能减排。强化行业环境监督管理，以重点领域、重点行业和重点企业为突破口，实施节能减排技术改造和重点工程建设。进一步加强节能监察队伍建设，逐步推行碳排放交易、合同能源管理的节能模式，引导企业做好能源利用状况报告的评审和产品能耗对标工作，加强能耗计量专业化和信息化，提高节能监察工作能力。</w:t>
                  </w:r>
                </w:p>
              </w:tc>
              <w:tc>
                <w:tcPr>
                  <w:tcW w:w="1197" w:type="pct"/>
                  <w:vAlign w:val="center"/>
                </w:tcPr>
                <w:p w14:paraId="1CD0E122">
                  <w:pPr>
                    <w:spacing w:line="240" w:lineRule="auto"/>
                    <w:ind w:firstLine="0" w:firstLineChars="0"/>
                    <w:contextualSpacing/>
                    <w:jc w:val="center"/>
                    <w:rPr>
                      <w:rFonts w:cs="Times New Roman"/>
                      <w:color w:val="000000"/>
                      <w:sz w:val="21"/>
                      <w:szCs w:val="21"/>
                    </w:rPr>
                  </w:pPr>
                  <w:r>
                    <w:rPr>
                      <w:rFonts w:cs="Times New Roman"/>
                      <w:color w:val="000000"/>
                      <w:sz w:val="21"/>
                      <w:szCs w:val="21"/>
                    </w:rPr>
                    <w:t>本项目主要储存丙烷、丁烷气体，可提高资源综合利用率，生产过程中的能源消耗很少</w:t>
                  </w:r>
                </w:p>
              </w:tc>
              <w:tc>
                <w:tcPr>
                  <w:tcW w:w="602" w:type="pct"/>
                  <w:vAlign w:val="center"/>
                </w:tcPr>
                <w:p w14:paraId="14599891">
                  <w:pPr>
                    <w:spacing w:line="240" w:lineRule="auto"/>
                    <w:ind w:firstLine="0" w:firstLineChars="0"/>
                    <w:contextualSpacing/>
                    <w:jc w:val="center"/>
                    <w:rPr>
                      <w:rFonts w:cs="Times New Roman"/>
                      <w:color w:val="000000"/>
                      <w:sz w:val="21"/>
                      <w:szCs w:val="21"/>
                    </w:rPr>
                  </w:pPr>
                  <w:r>
                    <w:rPr>
                      <w:rFonts w:cs="Times New Roman"/>
                      <w:color w:val="000000"/>
                      <w:sz w:val="21"/>
                      <w:szCs w:val="21"/>
                    </w:rPr>
                    <w:t>符合</w:t>
                  </w:r>
                </w:p>
              </w:tc>
            </w:tr>
            <w:bookmarkEnd w:id="6"/>
          </w:tbl>
          <w:p w14:paraId="1A145C5E">
            <w:pPr>
              <w:ind w:firstLine="198" w:firstLineChars="82"/>
              <w:rPr>
                <w:b/>
                <w:color w:val="000000" w:themeColor="text1"/>
                <w:szCs w:val="21"/>
                <w14:textFill>
                  <w14:solidFill>
                    <w14:schemeClr w14:val="tx1"/>
                  </w14:solidFill>
                </w14:textFill>
              </w:rPr>
            </w:pPr>
            <w:bookmarkStart w:id="7" w:name="_Hlk97287333"/>
            <w:r>
              <w:rPr>
                <w:b/>
                <w:color w:val="000000" w:themeColor="text1"/>
                <w:szCs w:val="21"/>
                <w14:textFill>
                  <w14:solidFill>
                    <w14:schemeClr w14:val="tx1"/>
                  </w14:solidFill>
                </w14:textFill>
              </w:rPr>
              <w:t>5</w:t>
            </w:r>
            <w:r>
              <w:rPr>
                <w:rFonts w:hint="eastAsia"/>
                <w:b/>
                <w:color w:val="000000" w:themeColor="text1"/>
                <w:szCs w:val="21"/>
                <w14:textFill>
                  <w14:solidFill>
                    <w14:schemeClr w14:val="tx1"/>
                  </w14:solidFill>
                </w14:textFill>
              </w:rPr>
              <w:t>、其他符合性</w:t>
            </w:r>
            <w:r>
              <w:rPr>
                <w:b/>
                <w:color w:val="000000" w:themeColor="text1"/>
                <w:szCs w:val="21"/>
                <w14:textFill>
                  <w14:solidFill>
                    <w14:schemeClr w14:val="tx1"/>
                  </w14:solidFill>
                </w14:textFill>
              </w:rPr>
              <w:t>分析</w:t>
            </w:r>
          </w:p>
          <w:p w14:paraId="1A285253">
            <w:pPr>
              <w:pStyle w:val="37"/>
              <w:spacing w:before="163"/>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其他符合性分析</w:t>
            </w:r>
          </w:p>
          <w:tbl>
            <w:tblPr>
              <w:tblStyle w:val="2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8"/>
              <w:gridCol w:w="3079"/>
              <w:gridCol w:w="2715"/>
              <w:gridCol w:w="979"/>
            </w:tblGrid>
            <w:tr w14:paraId="7FB53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0" w:type="pct"/>
                  <w:vAlign w:val="center"/>
                </w:tcPr>
                <w:p w14:paraId="17EAFB45">
                  <w:pPr>
                    <w:pStyle w:val="32"/>
                    <w:rPr>
                      <w:color w:val="000000" w:themeColor="text1"/>
                      <w14:textFill>
                        <w14:solidFill>
                          <w14:schemeClr w14:val="tx1"/>
                        </w14:solidFill>
                      </w14:textFill>
                    </w:rPr>
                  </w:pPr>
                  <w:bookmarkStart w:id="8" w:name="_Hlk97245357"/>
                  <w:r>
                    <w:rPr>
                      <w:rFonts w:hint="eastAsia"/>
                      <w:color w:val="000000" w:themeColor="text1"/>
                      <w14:textFill>
                        <w14:solidFill>
                          <w14:schemeClr w14:val="tx1"/>
                        </w14:solidFill>
                      </w14:textFill>
                    </w:rPr>
                    <w:t>规划</w:t>
                  </w:r>
                </w:p>
              </w:tc>
              <w:tc>
                <w:tcPr>
                  <w:tcW w:w="1854" w:type="pct"/>
                  <w:vAlign w:val="center"/>
                </w:tcPr>
                <w:p w14:paraId="2CB633A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规划要求</w:t>
                  </w:r>
                </w:p>
              </w:tc>
              <w:tc>
                <w:tcPr>
                  <w:tcW w:w="1634" w:type="pct"/>
                  <w:vAlign w:val="center"/>
                </w:tcPr>
                <w:p w14:paraId="64E74562">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590" w:type="pct"/>
                  <w:vAlign w:val="center"/>
                </w:tcPr>
                <w:p w14:paraId="175DACA7">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1EDA5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6" w:hRule="atLeast"/>
              </w:trPr>
              <w:tc>
                <w:tcPr>
                  <w:tcW w:w="920" w:type="pct"/>
                  <w:vAlign w:val="center"/>
                </w:tcPr>
                <w:p w14:paraId="657DC007">
                  <w:pPr>
                    <w:pStyle w:val="32"/>
                    <w:rPr>
                      <w:color w:val="000000" w:themeColor="text1"/>
                      <w14:textFill>
                        <w14:solidFill>
                          <w14:schemeClr w14:val="tx1"/>
                        </w14:solidFill>
                      </w14:textFill>
                    </w:rPr>
                  </w:pPr>
                  <w:r>
                    <w:rPr>
                      <w:color w:val="000000" w:themeColor="text1"/>
                      <w14:textFill>
                        <w14:solidFill>
                          <w14:schemeClr w14:val="tx1"/>
                        </w14:solidFill>
                      </w14:textFill>
                    </w:rPr>
                    <w:t>新疆维吾尔自治区国民经济和社会发展第十四个五年规划和2035年远景目标纲要</w:t>
                  </w:r>
                </w:p>
              </w:tc>
              <w:tc>
                <w:tcPr>
                  <w:tcW w:w="1854" w:type="pct"/>
                  <w:vAlign w:val="center"/>
                </w:tcPr>
                <w:p w14:paraId="243CA915">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实施战略性新兴产业发展推进工程，加快壮大数字经济、先进装备制造业、新能源、新材料、氢能源、生物医药、节能环保、新能源汽车等产业，提升产业规模和市场竞争力。</w:t>
                  </w:r>
                </w:p>
              </w:tc>
              <w:tc>
                <w:tcPr>
                  <w:tcW w:w="1634" w:type="pct"/>
                  <w:vAlign w:val="center"/>
                </w:tcPr>
                <w:p w14:paraId="462F4A9E">
                  <w:pPr>
                    <w:pStyle w:val="32"/>
                    <w:jc w:val="both"/>
                    <w:rPr>
                      <w:color w:val="000000" w:themeColor="text1"/>
                      <w14:textFill>
                        <w14:solidFill>
                          <w14:schemeClr w14:val="tx1"/>
                        </w14:solidFill>
                      </w14:textFill>
                    </w:rPr>
                  </w:pPr>
                  <w:r>
                    <w:rPr>
                      <w:rFonts w:cs="Times New Roman"/>
                    </w:rPr>
                    <w:t>本项目位</w:t>
                  </w:r>
                  <w:r>
                    <w:rPr>
                      <w:rFonts w:hint="eastAsia" w:cs="Times New Roman"/>
                    </w:rPr>
                    <w:t>于和静工业园区新兴产业区</w:t>
                  </w:r>
                  <w:r>
                    <w:rPr>
                      <w:rFonts w:hint="eastAsia"/>
                      <w:szCs w:val="21"/>
                    </w:rPr>
                    <w:t>，属于危险品仓储业，工艺简单无污染</w:t>
                  </w:r>
                </w:p>
              </w:tc>
              <w:tc>
                <w:tcPr>
                  <w:tcW w:w="590" w:type="pct"/>
                  <w:vAlign w:val="center"/>
                </w:tcPr>
                <w:p w14:paraId="1F4E6DE3">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07B46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0" w:type="pct"/>
                  <w:vAlign w:val="center"/>
                </w:tcPr>
                <w:p w14:paraId="38A7DBFE">
                  <w:pPr>
                    <w:pStyle w:val="32"/>
                    <w:rPr>
                      <w:color w:val="000000" w:themeColor="text1"/>
                      <w14:textFill>
                        <w14:solidFill>
                          <w14:schemeClr w14:val="tx1"/>
                        </w14:solidFill>
                      </w14:textFill>
                    </w:rPr>
                  </w:pPr>
                  <w:r>
                    <w:rPr>
                      <w:color w:val="000000" w:themeColor="text1"/>
                      <w14:textFill>
                        <w14:solidFill>
                          <w14:schemeClr w14:val="tx1"/>
                        </w14:solidFill>
                      </w14:textFill>
                    </w:rPr>
                    <w:t>新疆生态环境保护“十四五”规划</w:t>
                  </w:r>
                </w:p>
              </w:tc>
              <w:tc>
                <w:tcPr>
                  <w:tcW w:w="1854" w:type="pct"/>
                  <w:vAlign w:val="center"/>
                </w:tcPr>
                <w:p w14:paraId="1AAF5E5E">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坚持高质量发展与严格环境准入标准相结合，坚持淘汰落后与鼓励先进相结合，支持产业发展向产业链中下游、价值链中高端迈进，坚持推进产业结构优化调整。全力推动节能环保产业发展，引导产业向绿色生产、清洁生产、循环生产转变，加快推进产业转型升级。</w:t>
                  </w:r>
                </w:p>
              </w:tc>
              <w:tc>
                <w:tcPr>
                  <w:tcW w:w="1634" w:type="pct"/>
                  <w:vAlign w:val="center"/>
                </w:tcPr>
                <w:p w14:paraId="54C3ED6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本项目属于危险品仓储，在落实污染防治措施后，环境影响较小。项目建设符合环保要求，与新疆生态环境保护“十四五”规划中推动绿色发展、优化产业结构的方向一致，具备符合性</w:t>
                  </w:r>
                </w:p>
              </w:tc>
              <w:tc>
                <w:tcPr>
                  <w:tcW w:w="590" w:type="pct"/>
                  <w:vAlign w:val="center"/>
                </w:tcPr>
                <w:p w14:paraId="7B7662A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FBFC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0" w:type="pct"/>
                  <w:vAlign w:val="center"/>
                </w:tcPr>
                <w:p w14:paraId="2F2483B8">
                  <w:pPr>
                    <w:pStyle w:val="32"/>
                    <w:rPr>
                      <w:color w:val="000000" w:themeColor="text1"/>
                      <w14:textFill>
                        <w14:solidFill>
                          <w14:schemeClr w14:val="tx1"/>
                        </w14:solidFill>
                      </w14:textFill>
                    </w:rPr>
                  </w:pPr>
                  <w:r>
                    <w:rPr>
                      <w:color w:val="000000" w:themeColor="text1"/>
                      <w14:textFill>
                        <w14:solidFill>
                          <w14:schemeClr w14:val="tx1"/>
                        </w14:solidFill>
                      </w14:textFill>
                    </w:rPr>
                    <w:t>新疆维吾尔自治区环境保护条例</w:t>
                  </w:r>
                </w:p>
              </w:tc>
              <w:tc>
                <w:tcPr>
                  <w:tcW w:w="1854" w:type="pct"/>
                  <w:vAlign w:val="center"/>
                </w:tcPr>
                <w:p w14:paraId="26DDF320">
                  <w:pPr>
                    <w:pStyle w:val="32"/>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第九条各级人民政府应当支持开展能源节约、资源循环利用、新能源开发、污染治理、生态修复等领域关键技术攻关，鼓励使用清洁能源，支持发展节能环保产业。</w:t>
                  </w:r>
                  <w:r>
                    <w:rPr>
                      <w:color w:val="000000" w:themeColor="text1"/>
                      <w14:textFill>
                        <w14:solidFill>
                          <w14:schemeClr w14:val="tx1"/>
                        </w14:solidFill>
                      </w14:textFill>
                    </w:rPr>
                    <w:t>第三十一条 对不符合国家产业政策、严重污染水环境的生产项目全部予以取缔。鼓励钢铁、纺织印染、造纸、石油石化、化工、制革等高耗水企业开展废水深度处理回用。</w:t>
                  </w:r>
                </w:p>
              </w:tc>
              <w:tc>
                <w:tcPr>
                  <w:tcW w:w="1634" w:type="pct"/>
                  <w:vAlign w:val="center"/>
                </w:tcPr>
                <w:p w14:paraId="2BC4DED4">
                  <w:pPr>
                    <w:pStyle w:val="3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属于国家明令淘汰或禁止类产业，经对照《产业结构调整指导目录（2024年本）》，属于允许类建设项目。项目产生的各类污染物均采取了有效的污染防治措施，排放可控，对环境影响较小。因此，本项目建设符合国家产业政策和环境保护相关要求</w:t>
                  </w:r>
                </w:p>
              </w:tc>
              <w:tc>
                <w:tcPr>
                  <w:tcW w:w="590" w:type="pct"/>
                  <w:vAlign w:val="center"/>
                </w:tcPr>
                <w:p w14:paraId="3AA53A71">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A03F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0" w:type="pct"/>
                  <w:vAlign w:val="center"/>
                </w:tcPr>
                <w:p w14:paraId="2B96CD06">
                  <w:pPr>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sz w:val="21"/>
                      <w:szCs w:val="21"/>
                    </w:rPr>
                    <w:t>《巴音郭楞蒙古自治州生态环境保护“十四五”规划》</w:t>
                  </w:r>
                </w:p>
              </w:tc>
              <w:tc>
                <w:tcPr>
                  <w:tcW w:w="1854" w:type="pct"/>
                  <w:vAlign w:val="center"/>
                </w:tcPr>
                <w:p w14:paraId="53441FD8">
                  <w:pPr>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sz w:val="21"/>
                      <w:szCs w:val="21"/>
                    </w:rPr>
                    <w:t>重点推进石化、化工、包装印刷、工业涂装等重点行业以及机动车、油品储运销等交通源VOC</w:t>
                  </w:r>
                  <w:r>
                    <w:rPr>
                      <w:rFonts w:hint="eastAsia"/>
                      <w:sz w:val="21"/>
                      <w:szCs w:val="21"/>
                      <w:vertAlign w:val="subscript"/>
                    </w:rPr>
                    <w:t>S</w:t>
                  </w:r>
                  <w:r>
                    <w:rPr>
                      <w:rFonts w:hint="eastAsia"/>
                      <w:sz w:val="21"/>
                      <w:szCs w:val="21"/>
                    </w:rPr>
                    <w:t>污染防治，加强VOC</w:t>
                  </w:r>
                  <w:r>
                    <w:rPr>
                      <w:rFonts w:hint="eastAsia"/>
                      <w:sz w:val="21"/>
                      <w:szCs w:val="21"/>
                      <w:vertAlign w:val="subscript"/>
                    </w:rPr>
                    <w:t>S</w:t>
                  </w:r>
                  <w:r>
                    <w:rPr>
                      <w:rFonts w:hint="eastAsia"/>
                      <w:sz w:val="21"/>
                      <w:szCs w:val="21"/>
                    </w:rPr>
                    <w:t>排放总量控制。</w:t>
                  </w:r>
                </w:p>
              </w:tc>
              <w:tc>
                <w:tcPr>
                  <w:tcW w:w="1634" w:type="pct"/>
                  <w:vAlign w:val="center"/>
                </w:tcPr>
                <w:p w14:paraId="778671F0">
                  <w:pPr>
                    <w:adjustRightInd w:val="0"/>
                    <w:snapToGrid w:val="0"/>
                    <w:spacing w:line="240" w:lineRule="auto"/>
                    <w:ind w:firstLine="0" w:firstLineChars="0"/>
                    <w:jc w:val="center"/>
                    <w:textAlignment w:val="auto"/>
                    <w:rPr>
                      <w:color w:val="000000" w:themeColor="text1"/>
                      <w14:textFill>
                        <w14:solidFill>
                          <w14:schemeClr w14:val="tx1"/>
                        </w14:solidFill>
                      </w14:textFill>
                    </w:rPr>
                  </w:pPr>
                  <w:r>
                    <w:rPr>
                      <w:rFonts w:hint="eastAsia" w:cs="Times New Roman"/>
                      <w:sz w:val="21"/>
                      <w:szCs w:val="21"/>
                    </w:rPr>
                    <w:t>本项目设置封闭式充装车间和储存库房，VOC</w:t>
                  </w:r>
                  <w:r>
                    <w:rPr>
                      <w:rFonts w:hint="eastAsia" w:cs="Times New Roman"/>
                      <w:sz w:val="21"/>
                      <w:szCs w:val="21"/>
                      <w:vertAlign w:val="subscript"/>
                    </w:rPr>
                    <w:t>S</w:t>
                  </w:r>
                  <w:r>
                    <w:rPr>
                      <w:rFonts w:hint="eastAsia" w:cs="Times New Roman"/>
                      <w:sz w:val="21"/>
                      <w:szCs w:val="21"/>
                    </w:rPr>
                    <w:t>产生量较少</w:t>
                  </w:r>
                </w:p>
              </w:tc>
              <w:tc>
                <w:tcPr>
                  <w:tcW w:w="590" w:type="pct"/>
                  <w:vAlign w:val="center"/>
                </w:tcPr>
                <w:p w14:paraId="7BCE0789">
                  <w:pPr>
                    <w:widowControl/>
                    <w:adjustRightInd w:val="0"/>
                    <w:snapToGrid w:val="0"/>
                    <w:ind w:firstLine="0" w:firstLineChars="0"/>
                    <w:jc w:val="center"/>
                    <w:textAlignment w:val="auto"/>
                    <w:rPr>
                      <w:color w:val="000000" w:themeColor="text1"/>
                      <w14:textFill>
                        <w14:solidFill>
                          <w14:schemeClr w14:val="tx1"/>
                        </w14:solidFill>
                      </w14:textFill>
                    </w:rPr>
                  </w:pPr>
                  <w:r>
                    <w:rPr>
                      <w:rFonts w:hint="eastAsia"/>
                      <w:sz w:val="21"/>
                      <w:szCs w:val="21"/>
                    </w:rPr>
                    <w:t>符合</w:t>
                  </w:r>
                </w:p>
              </w:tc>
            </w:tr>
            <w:tr w14:paraId="1EE83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0" w:type="pct"/>
                  <w:vAlign w:val="center"/>
                </w:tcPr>
                <w:p w14:paraId="760012BD">
                  <w:pPr>
                    <w:pStyle w:val="32"/>
                    <w:rPr>
                      <w:rFonts w:cs="Times New Roman"/>
                    </w:rPr>
                  </w:pPr>
                  <w:r>
                    <w:rPr>
                      <w:rFonts w:cs="Times New Roman"/>
                    </w:rPr>
                    <w:t>《自治州大气污染防治三年攻坚行动方案（2023－2025年）》</w:t>
                  </w:r>
                </w:p>
              </w:tc>
              <w:tc>
                <w:tcPr>
                  <w:tcW w:w="1854" w:type="pct"/>
                  <w:vAlign w:val="center"/>
                </w:tcPr>
                <w:p w14:paraId="7BDBE3D4">
                  <w:pPr>
                    <w:pStyle w:val="32"/>
                    <w:rPr>
                      <w:rFonts w:cs="Times New Roman"/>
                    </w:rPr>
                  </w:pPr>
                  <w:r>
                    <w:rPr>
                      <w:rFonts w:cs="Times New Roman"/>
                    </w:rPr>
                    <w:t>严格落实施工工地扬尘管控责任，制定施工扬尘污染防治实施方案，在工地公示具体防治措施及负责人信息。全面推行绿色施工，严格执行“六个百分之百”，推进安装视频监控设施。重点区域道路、水务等线性工程实行分段施工。加强施工扬尘监管执法，对问题严重的依法依规实施联合惩戒</w:t>
                  </w:r>
                </w:p>
              </w:tc>
              <w:tc>
                <w:tcPr>
                  <w:tcW w:w="1634" w:type="pct"/>
                  <w:vAlign w:val="center"/>
                </w:tcPr>
                <w:p w14:paraId="3DC02FEE">
                  <w:pPr>
                    <w:pStyle w:val="32"/>
                    <w:jc w:val="both"/>
                    <w:rPr>
                      <w:rFonts w:cs="Times New Roman"/>
                    </w:rPr>
                  </w:pPr>
                  <w:r>
                    <w:rPr>
                      <w:rFonts w:hint="eastAsia"/>
                      <w:snapToGrid w:val="0"/>
                      <w:kern w:val="0"/>
                    </w:rPr>
                    <w:t>项目</w:t>
                  </w:r>
                  <w:r>
                    <w:rPr>
                      <w:rFonts w:hint="eastAsia" w:cs="Times New Roman"/>
                      <w:bCs/>
                      <w:szCs w:val="24"/>
                    </w:rPr>
                    <w:t>埋地储罐区、充装车间、工业气体瓶库</w:t>
                  </w:r>
                  <w:r>
                    <w:rPr>
                      <w:rFonts w:hint="eastAsia"/>
                      <w:snapToGrid w:val="0"/>
                      <w:kern w:val="0"/>
                    </w:rPr>
                    <w:t>等工程已建设完成，施工期已结束，根据建设单位提供资料与调查分析，项目施工期间严格落实环境保护措施，施工期未遗留环境问题，未出现环境保护投诉问题，也未对环境造成重大影响</w:t>
                  </w:r>
                </w:p>
              </w:tc>
              <w:tc>
                <w:tcPr>
                  <w:tcW w:w="590" w:type="pct"/>
                  <w:vAlign w:val="center"/>
                </w:tcPr>
                <w:p w14:paraId="10FB974E">
                  <w:pPr>
                    <w:pStyle w:val="32"/>
                    <w:rPr>
                      <w:rFonts w:ascii="宋体" w:hAnsi="宋体" w:cs="宋体"/>
                    </w:rPr>
                  </w:pPr>
                  <w:r>
                    <w:rPr>
                      <w:rFonts w:hint="eastAsia" w:ascii="宋体" w:hAnsi="宋体" w:cs="宋体"/>
                    </w:rPr>
                    <w:t>符合</w:t>
                  </w:r>
                </w:p>
              </w:tc>
            </w:tr>
            <w:tr w14:paraId="5DCA1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0" w:type="pct"/>
                  <w:vAlign w:val="center"/>
                </w:tcPr>
                <w:p w14:paraId="4D853155">
                  <w:pPr>
                    <w:pStyle w:val="32"/>
                    <w:rPr>
                      <w:rFonts w:ascii="宋体" w:hAnsi="宋体" w:cs="宋体"/>
                    </w:rPr>
                  </w:pPr>
                  <w:r>
                    <w:rPr>
                      <w:rFonts w:hint="eastAsia" w:ascii="宋体" w:hAnsi="宋体" w:cs="宋体"/>
                    </w:rPr>
                    <w:t>《新疆维吾尔自治区大气污染防治条例》</w:t>
                  </w:r>
                </w:p>
              </w:tc>
              <w:tc>
                <w:tcPr>
                  <w:tcW w:w="1854" w:type="pct"/>
                  <w:vAlign w:val="center"/>
                </w:tcPr>
                <w:p w14:paraId="09C2581C">
                  <w:pPr>
                    <w:pStyle w:val="32"/>
                    <w:jc w:val="both"/>
                    <w:rPr>
                      <w:rFonts w:ascii="宋体" w:hAnsi="宋体" w:cs="宋体"/>
                    </w:rPr>
                  </w:pPr>
                  <w:r>
                    <w:rPr>
                      <w:rFonts w:hint="eastAsia" w:ascii="宋体" w:hAnsi="宋体" w:cs="宋体"/>
                    </w:rPr>
                    <w:t>下列产生含挥发性有机物废气的生产和服务活动，应当按照国家规定在密闭空间或者设备中进行，并安装、使用污染防治设施；无法密闭的，应当采取措施减少废气排放：</w:t>
                  </w:r>
                </w:p>
                <w:p w14:paraId="7FBACF8F">
                  <w:pPr>
                    <w:pStyle w:val="32"/>
                    <w:jc w:val="both"/>
                    <w:rPr>
                      <w:rFonts w:ascii="宋体" w:hAnsi="宋体" w:cs="宋体"/>
                    </w:rPr>
                  </w:pPr>
                  <w:r>
                    <w:rPr>
                      <w:rFonts w:hint="eastAsia" w:ascii="宋体" w:hAnsi="宋体" w:cs="宋体"/>
                    </w:rPr>
                    <w:t>（一）石油、化工等含挥发性有机物原料的生产；（二）燃油、溶剂的储存、运输和销售；（三）涂料、油墨、胶粘剂、农药等以挥发性有机物为原料的生产；（四）涂装、印刷、粘合、工业清洗等含挥发性有机物的产品使用；（五）其他产生挥发性有机物的生产和服务活动。</w:t>
                  </w:r>
                </w:p>
              </w:tc>
              <w:tc>
                <w:tcPr>
                  <w:tcW w:w="1634" w:type="pct"/>
                  <w:vAlign w:val="center"/>
                </w:tcPr>
                <w:p w14:paraId="3CB9934A">
                  <w:pPr>
                    <w:pStyle w:val="32"/>
                    <w:jc w:val="both"/>
                    <w:rPr>
                      <w:rFonts w:ascii="宋体" w:hAnsi="宋体" w:cs="宋体"/>
                    </w:rPr>
                  </w:pPr>
                  <w:r>
                    <w:rPr>
                      <w:rFonts w:hint="eastAsia" w:ascii="宋体" w:hAnsi="宋体" w:cs="宋体"/>
                    </w:rPr>
                    <w:t>本项目属于危险品仓储业。</w:t>
                  </w:r>
                  <w:r>
                    <w:rPr>
                      <w:rFonts w:hint="eastAsia"/>
                      <w:szCs w:val="21"/>
                    </w:rPr>
                    <w:t>车间和库房内安装可燃气体泄漏报警器，确保安全运行；车间和库房设置通风系统；灌装工艺和储存气瓶少量泄漏废气经通风系统无组织排放</w:t>
                  </w:r>
                </w:p>
              </w:tc>
              <w:tc>
                <w:tcPr>
                  <w:tcW w:w="590" w:type="pct"/>
                  <w:vAlign w:val="center"/>
                </w:tcPr>
                <w:p w14:paraId="36545EEA">
                  <w:pPr>
                    <w:pStyle w:val="32"/>
                    <w:rPr>
                      <w:rFonts w:ascii="宋体" w:hAnsi="宋体" w:cs="宋体"/>
                    </w:rPr>
                  </w:pPr>
                  <w:r>
                    <w:rPr>
                      <w:rFonts w:hint="eastAsia" w:ascii="宋体" w:hAnsi="宋体" w:cs="宋体"/>
                    </w:rPr>
                    <w:t>符合</w:t>
                  </w:r>
                </w:p>
              </w:tc>
            </w:tr>
            <w:tr w14:paraId="283B0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20" w:type="pct"/>
                  <w:vAlign w:val="center"/>
                </w:tcPr>
                <w:p w14:paraId="2D3FB7A2">
                  <w:pPr>
                    <w:pStyle w:val="32"/>
                    <w:rPr>
                      <w:rFonts w:cs="Times New Roman"/>
                    </w:rPr>
                  </w:pPr>
                  <w:r>
                    <w:rPr>
                      <w:rFonts w:cs="Times New Roman"/>
                    </w:rPr>
                    <w:t>《重点行业挥发性有机物综合治理方案》</w:t>
                  </w:r>
                </w:p>
              </w:tc>
              <w:tc>
                <w:tcPr>
                  <w:tcW w:w="1854" w:type="pct"/>
                  <w:vAlign w:val="center"/>
                </w:tcPr>
                <w:p w14:paraId="00748DAF">
                  <w:pPr>
                    <w:pStyle w:val="32"/>
                    <w:jc w:val="both"/>
                    <w:rPr>
                      <w:rFonts w:cs="Times New Roman"/>
                    </w:rPr>
                  </w:pPr>
                  <w:r>
                    <w:rPr>
                      <w:rFonts w:cs="Times New Roman"/>
                    </w:rPr>
                    <w:t>重点对含VOC</w:t>
                  </w:r>
                  <w:r>
                    <w:rPr>
                      <w:rFonts w:cs="Times New Roman"/>
                      <w:vertAlign w:val="subscript"/>
                    </w:rPr>
                    <w:t>S</w:t>
                  </w:r>
                  <w:r>
                    <w:rPr>
                      <w:rFonts w:cs="Times New Roman"/>
                    </w:rPr>
                    <w:t>原料储存、转移和输送、设备与管线组件泄漏、敞开液面逸散以及工艺过程等五类排放源实施管控，通过采取设备与场所密闭、工艺改进、废气有效收集等措施，削减VOC</w:t>
                  </w:r>
                  <w:r>
                    <w:rPr>
                      <w:rFonts w:cs="Times New Roman"/>
                      <w:vertAlign w:val="subscript"/>
                    </w:rPr>
                    <w:t>S</w:t>
                  </w:r>
                  <w:r>
                    <w:rPr>
                      <w:rFonts w:cs="Times New Roman"/>
                    </w:rPr>
                    <w:t>无组织排放。含VOC</w:t>
                  </w:r>
                  <w:r>
                    <w:rPr>
                      <w:rFonts w:cs="Times New Roman"/>
                      <w:vertAlign w:val="subscript"/>
                    </w:rPr>
                    <w:t>S</w:t>
                  </w:r>
                  <w:r>
                    <w:rPr>
                      <w:rFonts w:cs="Times New Roman"/>
                    </w:rPr>
                    <w:t>物料应储存于密闭容器、包装袋，高效密封储罐，封闭式储库、料仓等。含VOC</w:t>
                  </w:r>
                  <w:r>
                    <w:rPr>
                      <w:rFonts w:cs="Times New Roman"/>
                      <w:vertAlign w:val="subscript"/>
                    </w:rPr>
                    <w:t>S</w:t>
                  </w:r>
                  <w:r>
                    <w:rPr>
                      <w:rFonts w:cs="Times New Roman"/>
                    </w:rPr>
                    <w:t>物料转移和输送，应采取密闭管道或密闭容器、罐车等。高VOC</w:t>
                  </w:r>
                  <w:r>
                    <w:rPr>
                      <w:rFonts w:cs="Times New Roman"/>
                      <w:vertAlign w:val="subscript"/>
                    </w:rPr>
                    <w:t>S</w:t>
                  </w:r>
                  <w:r>
                    <w:rPr>
                      <w:rFonts w:cs="Times New Roman"/>
                    </w:rPr>
                    <w:t>含量废水的集输、储存和处理过程，应加盖密闭。含VOC</w:t>
                  </w:r>
                  <w:r>
                    <w:rPr>
                      <w:rFonts w:cs="Times New Roman"/>
                      <w:vertAlign w:val="subscript"/>
                    </w:rPr>
                    <w:t>S</w:t>
                  </w:r>
                  <w:r>
                    <w:rPr>
                      <w:rFonts w:cs="Times New Roman"/>
                    </w:rPr>
                    <w:t>物料生产和使用过程，应采取有效收集措施或在密闭空间中操作。提高废气收集率。</w:t>
                  </w:r>
                </w:p>
              </w:tc>
              <w:tc>
                <w:tcPr>
                  <w:tcW w:w="1634" w:type="pct"/>
                  <w:vAlign w:val="center"/>
                </w:tcPr>
                <w:p w14:paraId="126C1F29">
                  <w:pPr>
                    <w:pStyle w:val="32"/>
                    <w:jc w:val="both"/>
                    <w:rPr>
                      <w:rFonts w:cs="Times New Roman"/>
                    </w:rPr>
                  </w:pPr>
                  <w:r>
                    <w:rPr>
                      <w:rFonts w:hint="eastAsia" w:cs="Times New Roman"/>
                    </w:rPr>
                    <w:t>本项目采用密封性能优良的地埋储罐储存丁烷和丙烷，可以有效防止挥发性有机化合物（VOCs）逸散到大气中。在充装过程中，通过设备与场所的密闭措施、使用先进工艺以及设置检漏报警装置，能够显著减少泄漏气体的产生</w:t>
                  </w:r>
                </w:p>
              </w:tc>
              <w:tc>
                <w:tcPr>
                  <w:tcW w:w="590" w:type="pct"/>
                  <w:vAlign w:val="center"/>
                </w:tcPr>
                <w:p w14:paraId="58F41E4B">
                  <w:pPr>
                    <w:pStyle w:val="32"/>
                    <w:rPr>
                      <w:rFonts w:ascii="宋体" w:hAnsi="宋体" w:cs="宋体"/>
                    </w:rPr>
                  </w:pPr>
                  <w:r>
                    <w:rPr>
                      <w:rFonts w:hint="eastAsia" w:ascii="宋体" w:hAnsi="宋体" w:cs="宋体"/>
                    </w:rPr>
                    <w:t>符合</w:t>
                  </w:r>
                </w:p>
              </w:tc>
            </w:tr>
            <w:tr w14:paraId="46F0B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920" w:type="pct"/>
                  <w:vAlign w:val="center"/>
                </w:tcPr>
                <w:p w14:paraId="76811713">
                  <w:pPr>
                    <w:pStyle w:val="32"/>
                    <w:rPr>
                      <w:rFonts w:cs="Times New Roman"/>
                    </w:rPr>
                  </w:pPr>
                  <w:bookmarkStart w:id="9" w:name="_Hlk193733430"/>
                  <w:r>
                    <w:rPr>
                      <w:rFonts w:hint="eastAsia" w:cs="Times New Roman"/>
                    </w:rPr>
                    <w:t>《新疆维吾尔自治区2025年空气质量持续改善行动实施方案》（新政办发〔2024〕58号）</w:t>
                  </w:r>
                </w:p>
              </w:tc>
              <w:tc>
                <w:tcPr>
                  <w:tcW w:w="1854" w:type="pct"/>
                  <w:vAlign w:val="center"/>
                </w:tcPr>
                <w:p w14:paraId="515F21AC">
                  <w:pPr>
                    <w:pStyle w:val="32"/>
                    <w:jc w:val="both"/>
                    <w:rPr>
                      <w:rFonts w:cs="Times New Roman"/>
                    </w:rPr>
                  </w:pPr>
                  <w:r>
                    <w:rPr>
                      <w:rFonts w:hint="eastAsia" w:cs="Times New Roman"/>
                    </w:rPr>
                    <w:t>各地要坚持和加强党对大气污染防治工作的全面领导，落实“党政同责，一岗双责”，对本行政区域空气质量负总责，组织推进落实各项重点任务。空气质量改善目标完成情况作为污染防治攻坚战成效考核的重要内容，对问题突出的地区视情开展专项督察。生态环境厅要加强统筹协调，落实调度督办制度，组织开展监督帮扶，用好中央和自治区大气污染防治资金，自治区各相关部门要协同配合落实任务分工。加强宣传引导，实施全民行动，推动形成简约适度、绿色低碳、文明健康的生活方式</w:t>
                  </w:r>
                </w:p>
              </w:tc>
              <w:tc>
                <w:tcPr>
                  <w:tcW w:w="1634" w:type="pct"/>
                  <w:vAlign w:val="center"/>
                </w:tcPr>
                <w:p w14:paraId="499BA15F">
                  <w:pPr>
                    <w:pStyle w:val="32"/>
                    <w:jc w:val="both"/>
                    <w:rPr>
                      <w:rFonts w:cs="Times New Roman"/>
                    </w:rPr>
                  </w:pPr>
                  <w:r>
                    <w:rPr>
                      <w:rFonts w:hint="eastAsia" w:cs="Times New Roman"/>
                    </w:rPr>
                    <w:t>项目原辅料主要有丁烷、丙烷、不产生有毒有害物质，本项目采用密封性能优良的地埋储罐储存丁烷和丙烷，可以有效防止挥发性有机化合物（VOCs）逸散到大气中。在充装过程中，通过设备与场所的密闭措施、使用先进工艺以及设置检漏报警装置，能够显著减少泄漏气体的产生</w:t>
                  </w:r>
                </w:p>
              </w:tc>
              <w:tc>
                <w:tcPr>
                  <w:tcW w:w="590" w:type="pct"/>
                  <w:vAlign w:val="center"/>
                </w:tcPr>
                <w:p w14:paraId="728A83D6">
                  <w:pPr>
                    <w:pStyle w:val="32"/>
                    <w:rPr>
                      <w:rFonts w:ascii="宋体" w:hAnsi="宋体" w:cs="宋体"/>
                    </w:rPr>
                  </w:pPr>
                  <w:r>
                    <w:rPr>
                      <w:rFonts w:hint="eastAsia" w:ascii="宋体" w:hAnsi="宋体" w:cs="宋体"/>
                    </w:rPr>
                    <w:t>符合</w:t>
                  </w:r>
                </w:p>
              </w:tc>
            </w:tr>
            <w:bookmarkEnd w:id="7"/>
            <w:bookmarkEnd w:id="8"/>
            <w:bookmarkEnd w:id="9"/>
          </w:tbl>
          <w:p w14:paraId="1AA21140">
            <w:pPr>
              <w:autoSpaceDE w:val="0"/>
              <w:autoSpaceDN w:val="0"/>
              <w:adjustRightInd w:val="0"/>
              <w:snapToGrid w:val="0"/>
              <w:ind w:firstLine="0" w:firstLineChars="0"/>
              <w:textAlignment w:val="auto"/>
              <w:rPr>
                <w:rFonts w:cs="Times New Roman"/>
                <w:b/>
                <w:bCs/>
              </w:rPr>
            </w:pPr>
            <w:r>
              <w:rPr>
                <w:rFonts w:cs="Times New Roman"/>
                <w:b/>
                <w:bCs/>
              </w:rPr>
              <w:t>6、与《关于进一步加强环境影响评价管理防范环境风险的通知》（环发〔2012〕77号）符合性分析</w:t>
            </w:r>
          </w:p>
          <w:p w14:paraId="567C7241">
            <w:pPr>
              <w:ind w:firstLine="480"/>
              <w:textAlignment w:val="auto"/>
            </w:pPr>
            <w:r>
              <w:rPr>
                <w:rFonts w:hint="eastAsia"/>
              </w:rPr>
              <w:t>具体符合性分析见表1-</w:t>
            </w:r>
            <w:r>
              <w:t>8</w:t>
            </w:r>
            <w:r>
              <w:rPr>
                <w:rFonts w:hint="eastAsia"/>
              </w:rPr>
              <w:t>。</w:t>
            </w:r>
          </w:p>
          <w:p w14:paraId="7F3815AE">
            <w:pPr>
              <w:pStyle w:val="37"/>
              <w:spacing w:before="163"/>
            </w:pPr>
            <w:r>
              <w:rPr>
                <w:rFonts w:hint="eastAsia"/>
              </w:rPr>
              <w:t>表1-</w:t>
            </w:r>
            <w:r>
              <w:t xml:space="preserve">8  </w:t>
            </w:r>
            <w:r>
              <w:rPr>
                <w:rFonts w:hint="eastAsia"/>
              </w:rPr>
              <w:t>与</w:t>
            </w:r>
            <w:r>
              <w:rPr>
                <w:rFonts w:hint="eastAsia" w:cs="Times New Roman"/>
                <w:bCs/>
              </w:rPr>
              <w:t>《关于进一步加强环境影响评价管理防范环境风险的通知》</w:t>
            </w:r>
            <w:r>
              <w:rPr>
                <w:rFonts w:hint="eastAsia"/>
              </w:rPr>
              <w:t>符合性分析表</w:t>
            </w:r>
          </w:p>
          <w:tbl>
            <w:tblPr>
              <w:tblStyle w:val="25"/>
              <w:tblW w:w="8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56"/>
              <w:gridCol w:w="3289"/>
              <w:gridCol w:w="1160"/>
            </w:tblGrid>
            <w:tr w14:paraId="4BC6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25A4ADE5">
                  <w:pPr>
                    <w:pStyle w:val="32"/>
                    <w:rPr>
                      <w:rFonts w:cs="Times New Roman"/>
                    </w:rPr>
                  </w:pPr>
                  <w:r>
                    <w:rPr>
                      <w:rFonts w:hint="eastAsia" w:cs="Times New Roman"/>
                    </w:rPr>
                    <w:t>政策要求</w:t>
                  </w:r>
                </w:p>
              </w:tc>
              <w:tc>
                <w:tcPr>
                  <w:tcW w:w="3289" w:type="dxa"/>
                  <w:tcBorders>
                    <w:tl2br w:val="nil"/>
                    <w:tr2bl w:val="nil"/>
                  </w:tcBorders>
                  <w:vAlign w:val="center"/>
                </w:tcPr>
                <w:p w14:paraId="39B0036F">
                  <w:pPr>
                    <w:pStyle w:val="32"/>
                    <w:rPr>
                      <w:rFonts w:cs="Times New Roman"/>
                    </w:rPr>
                  </w:pPr>
                  <w:r>
                    <w:rPr>
                      <w:rFonts w:hint="eastAsia" w:cs="Times New Roman"/>
                    </w:rPr>
                    <w:t>本项目情况</w:t>
                  </w:r>
                </w:p>
              </w:tc>
              <w:tc>
                <w:tcPr>
                  <w:tcW w:w="1160" w:type="dxa"/>
                  <w:tcBorders>
                    <w:tl2br w:val="nil"/>
                    <w:tr2bl w:val="nil"/>
                  </w:tcBorders>
                  <w:vAlign w:val="center"/>
                </w:tcPr>
                <w:p w14:paraId="3080799D">
                  <w:pPr>
                    <w:pStyle w:val="32"/>
                    <w:rPr>
                      <w:rFonts w:cs="Times New Roman"/>
                    </w:rPr>
                  </w:pPr>
                  <w:r>
                    <w:rPr>
                      <w:rFonts w:hint="eastAsia" w:cs="Times New Roman"/>
                    </w:rPr>
                    <w:t>符合性</w:t>
                  </w:r>
                </w:p>
              </w:tc>
            </w:tr>
            <w:tr w14:paraId="70CBE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11F90E23">
                  <w:pPr>
                    <w:pStyle w:val="32"/>
                    <w:rPr>
                      <w:rFonts w:cs="Times New Roman"/>
                    </w:rPr>
                  </w:pPr>
                  <w:r>
                    <w:rPr>
                      <w:rFonts w:hint="eastAsia" w:cs="Times New Roman"/>
                    </w:rPr>
                    <w:t>从环境风险源、扩散途径、保护目标三方面识别环境风险。环境风险识别应包括生产设施和危险物质的识别，有毒有害物质扩散途径的识别（如大气环境、水环境、土壤等）以及可能受影响的环境保护目标的识别。</w:t>
                  </w:r>
                </w:p>
              </w:tc>
              <w:tc>
                <w:tcPr>
                  <w:tcW w:w="3289" w:type="dxa"/>
                  <w:tcBorders>
                    <w:tl2br w:val="nil"/>
                    <w:tr2bl w:val="nil"/>
                  </w:tcBorders>
                  <w:vAlign w:val="center"/>
                </w:tcPr>
                <w:p w14:paraId="1AA01648">
                  <w:pPr>
                    <w:pStyle w:val="32"/>
                    <w:rPr>
                      <w:rFonts w:cs="Times New Roman"/>
                    </w:rPr>
                  </w:pPr>
                  <w:r>
                    <w:rPr>
                      <w:rFonts w:hint="eastAsia"/>
                    </w:rPr>
                    <w:t>本项目为丙烷丁烷充装项目，主要涉及丙烷和丁烷的储存和充装</w:t>
                  </w:r>
                  <w:r>
                    <w:rPr>
                      <w:rFonts w:hint="eastAsia" w:cs="Times New Roman"/>
                    </w:rPr>
                    <w:t>，项目位于</w:t>
                  </w:r>
                  <w:r>
                    <w:rPr>
                      <w:rFonts w:hint="eastAsia"/>
                    </w:rPr>
                    <w:t>和静工业园区新兴产业区</w:t>
                  </w:r>
                  <w:r>
                    <w:rPr>
                      <w:rFonts w:hint="eastAsia" w:cs="Times New Roman"/>
                    </w:rPr>
                    <w:t>，周围无环境保护目标</w:t>
                  </w:r>
                </w:p>
              </w:tc>
              <w:tc>
                <w:tcPr>
                  <w:tcW w:w="1160" w:type="dxa"/>
                  <w:tcBorders>
                    <w:tl2br w:val="nil"/>
                    <w:tr2bl w:val="nil"/>
                  </w:tcBorders>
                  <w:vAlign w:val="center"/>
                </w:tcPr>
                <w:p w14:paraId="0A83792A">
                  <w:pPr>
                    <w:pStyle w:val="32"/>
                    <w:rPr>
                      <w:rFonts w:cs="Times New Roman"/>
                    </w:rPr>
                  </w:pPr>
                  <w:r>
                    <w:rPr>
                      <w:rFonts w:hint="eastAsia" w:cs="Times New Roman"/>
                    </w:rPr>
                    <w:t>符合</w:t>
                  </w:r>
                </w:p>
              </w:tc>
            </w:tr>
            <w:tr w14:paraId="5DDD6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7C9AF5F7">
                  <w:pPr>
                    <w:pStyle w:val="32"/>
                    <w:rPr>
                      <w:rFonts w:cs="Times New Roman"/>
                    </w:rPr>
                  </w:pPr>
                  <w:r>
                    <w:rPr>
                      <w:rFonts w:hint="eastAsia" w:cs="Times New Roman"/>
                    </w:rPr>
                    <w:t>提出合理有效的环境风险防范和应急措施。结合风险预测结论，有针对性地提出环境风险防范和应急措施，并对措施的合理性和有效性进行充分论证。</w:t>
                  </w:r>
                </w:p>
              </w:tc>
              <w:tc>
                <w:tcPr>
                  <w:tcW w:w="3289" w:type="dxa"/>
                  <w:tcBorders>
                    <w:tl2br w:val="nil"/>
                    <w:tr2bl w:val="nil"/>
                  </w:tcBorders>
                  <w:vAlign w:val="center"/>
                </w:tcPr>
                <w:p w14:paraId="5FDB053B">
                  <w:pPr>
                    <w:pStyle w:val="32"/>
                    <w:rPr>
                      <w:rFonts w:cs="Times New Roman"/>
                    </w:rPr>
                  </w:pPr>
                  <w:r>
                    <w:rPr>
                      <w:rFonts w:hint="eastAsia" w:cs="Times New Roman"/>
                    </w:rPr>
                    <w:t>本次评价已根据风险预测结论，有针对性地提出了环境风险防范和应急措施并对措施的合理性和有效性进行了充分的论证</w:t>
                  </w:r>
                </w:p>
              </w:tc>
              <w:tc>
                <w:tcPr>
                  <w:tcW w:w="1160" w:type="dxa"/>
                  <w:tcBorders>
                    <w:tl2br w:val="nil"/>
                    <w:tr2bl w:val="nil"/>
                  </w:tcBorders>
                  <w:vAlign w:val="center"/>
                </w:tcPr>
                <w:p w14:paraId="7064960D">
                  <w:pPr>
                    <w:pStyle w:val="32"/>
                    <w:rPr>
                      <w:rFonts w:cs="Times New Roman"/>
                    </w:rPr>
                  </w:pPr>
                  <w:r>
                    <w:rPr>
                      <w:rFonts w:hint="eastAsia" w:cs="Times New Roman"/>
                    </w:rPr>
                    <w:t>符合</w:t>
                  </w:r>
                </w:p>
              </w:tc>
            </w:tr>
            <w:tr w14:paraId="18ED0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40827899">
                  <w:pPr>
                    <w:pStyle w:val="32"/>
                    <w:rPr>
                      <w:rFonts w:cs="Times New Roman"/>
                    </w:rPr>
                  </w:pPr>
                  <w:r>
                    <w:rPr>
                      <w:rFonts w:hint="eastAsia" w:cs="Times New Roman"/>
                    </w:rPr>
                    <w:t>环境风险评价结论应作为相关建设项目环境影响评价文件结论的主要内容之一。无环境风险评价专章的相关建设项目环境影响评价文件不予受理；经论证，环境风险评价内容不完善的相关建设项目环境影响评价文件不予审批。</w:t>
                  </w:r>
                </w:p>
              </w:tc>
              <w:tc>
                <w:tcPr>
                  <w:tcW w:w="3289" w:type="dxa"/>
                  <w:tcBorders>
                    <w:tl2br w:val="nil"/>
                    <w:tr2bl w:val="nil"/>
                  </w:tcBorders>
                  <w:vAlign w:val="center"/>
                </w:tcPr>
                <w:p w14:paraId="68595C1F">
                  <w:pPr>
                    <w:pStyle w:val="32"/>
                    <w:rPr>
                      <w:rFonts w:cs="Times New Roman"/>
                    </w:rPr>
                  </w:pPr>
                  <w:r>
                    <w:rPr>
                      <w:rFonts w:hint="eastAsia" w:cs="Times New Roman"/>
                    </w:rPr>
                    <w:t>本项目已设置环境风险评价专章</w:t>
                  </w:r>
                </w:p>
              </w:tc>
              <w:tc>
                <w:tcPr>
                  <w:tcW w:w="1160" w:type="dxa"/>
                  <w:tcBorders>
                    <w:tl2br w:val="nil"/>
                    <w:tr2bl w:val="nil"/>
                  </w:tcBorders>
                  <w:vAlign w:val="center"/>
                </w:tcPr>
                <w:p w14:paraId="47300999">
                  <w:pPr>
                    <w:pStyle w:val="32"/>
                    <w:rPr>
                      <w:rFonts w:cs="Times New Roman"/>
                    </w:rPr>
                  </w:pPr>
                  <w:r>
                    <w:rPr>
                      <w:rFonts w:hint="eastAsia" w:cs="Times New Roman"/>
                    </w:rPr>
                    <w:t>符合</w:t>
                  </w:r>
                </w:p>
              </w:tc>
            </w:tr>
            <w:tr w14:paraId="75A0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575EAFC9">
                  <w:pPr>
                    <w:pStyle w:val="32"/>
                    <w:rPr>
                      <w:rFonts w:cs="Times New Roman"/>
                    </w:rPr>
                  </w:pPr>
                  <w:r>
                    <w:rPr>
                      <w:rFonts w:hint="eastAsia" w:cs="Times New Roman"/>
                    </w:rPr>
                    <w:t>建设项目的环境风险防范设施和应急措施是企业环境风险防范与应急管理体系的组成部分，也是企业制定和完善突发环境事件应急预案的基础。企业突发环境事件应急预案的编制、评估、备案和实施等，应按我部《突发环境事件应急预案管理暂行办法》（环发〔2010〕113号）等相关规定执行。</w:t>
                  </w:r>
                </w:p>
              </w:tc>
              <w:tc>
                <w:tcPr>
                  <w:tcW w:w="3289" w:type="dxa"/>
                  <w:tcBorders>
                    <w:tl2br w:val="nil"/>
                    <w:tr2bl w:val="nil"/>
                  </w:tcBorders>
                  <w:vAlign w:val="center"/>
                </w:tcPr>
                <w:p w14:paraId="668AA5A2">
                  <w:pPr>
                    <w:pStyle w:val="32"/>
                    <w:rPr>
                      <w:rFonts w:cs="Times New Roman"/>
                    </w:rPr>
                  </w:pPr>
                  <w:r>
                    <w:rPr>
                      <w:rFonts w:hint="eastAsia" w:cs="Times New Roman"/>
                    </w:rPr>
                    <w:t>环评要求企业进行突发环境事件应急预案的编制、评估、备案和实施</w:t>
                  </w:r>
                </w:p>
              </w:tc>
              <w:tc>
                <w:tcPr>
                  <w:tcW w:w="1160" w:type="dxa"/>
                  <w:tcBorders>
                    <w:tl2br w:val="nil"/>
                    <w:tr2bl w:val="nil"/>
                  </w:tcBorders>
                  <w:vAlign w:val="center"/>
                </w:tcPr>
                <w:p w14:paraId="70011C1A">
                  <w:pPr>
                    <w:pStyle w:val="32"/>
                    <w:rPr>
                      <w:rFonts w:cs="Times New Roman"/>
                    </w:rPr>
                  </w:pPr>
                  <w:r>
                    <w:rPr>
                      <w:rFonts w:hint="eastAsia" w:cs="Times New Roman"/>
                    </w:rPr>
                    <w:t>符合</w:t>
                  </w:r>
                </w:p>
              </w:tc>
            </w:tr>
            <w:tr w14:paraId="0FBE5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19059CBA">
                  <w:pPr>
                    <w:pStyle w:val="32"/>
                    <w:rPr>
                      <w:rFonts w:cs="Times New Roman"/>
                    </w:rPr>
                  </w:pPr>
                  <w:r>
                    <w:rPr>
                      <w:rFonts w:hint="eastAsia" w:cs="Times New Roman"/>
                    </w:rPr>
                    <w:t>建设项目设计阶段，应按照或参照《化工建设项目环境保护设计规范》（GB50483）等国家标准和规范要求，设计有效防止泄漏物质、消防水、污染雨水等扩散至外环境的收集、导流、拦截、降污等环境风险防范设施。</w:t>
                  </w:r>
                </w:p>
              </w:tc>
              <w:tc>
                <w:tcPr>
                  <w:tcW w:w="3289" w:type="dxa"/>
                  <w:tcBorders>
                    <w:tl2br w:val="nil"/>
                    <w:tr2bl w:val="nil"/>
                  </w:tcBorders>
                  <w:vAlign w:val="center"/>
                </w:tcPr>
                <w:p w14:paraId="075A4831">
                  <w:pPr>
                    <w:pStyle w:val="32"/>
                    <w:rPr>
                      <w:rFonts w:cs="Times New Roman"/>
                    </w:rPr>
                  </w:pPr>
                  <w:r>
                    <w:rPr>
                      <w:rFonts w:hint="eastAsia" w:cs="Times New Roman"/>
                    </w:rPr>
                    <w:t>本项目已按照国家标准和规范要求设计有效防止泄漏物质、消防水、污染雨水等扩散至外环境的收集、导流、拦截、降污等环境风险防范设施</w:t>
                  </w:r>
                </w:p>
              </w:tc>
              <w:tc>
                <w:tcPr>
                  <w:tcW w:w="1160" w:type="dxa"/>
                  <w:tcBorders>
                    <w:tl2br w:val="nil"/>
                    <w:tr2bl w:val="nil"/>
                  </w:tcBorders>
                  <w:vAlign w:val="center"/>
                </w:tcPr>
                <w:p w14:paraId="2D903141">
                  <w:pPr>
                    <w:pStyle w:val="32"/>
                    <w:rPr>
                      <w:rFonts w:cs="Times New Roman"/>
                    </w:rPr>
                  </w:pPr>
                  <w:r>
                    <w:rPr>
                      <w:rFonts w:hint="eastAsia" w:cs="Times New Roman"/>
                    </w:rPr>
                    <w:t>符合</w:t>
                  </w:r>
                </w:p>
              </w:tc>
            </w:tr>
            <w:tr w14:paraId="2FFC8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15740F93">
                  <w:pPr>
                    <w:pStyle w:val="32"/>
                    <w:rPr>
                      <w:rFonts w:cs="Times New Roman"/>
                    </w:rPr>
                  </w:pPr>
                  <w:r>
                    <w:rPr>
                      <w:rFonts w:hint="eastAsia" w:cs="Times New Roman"/>
                    </w:rPr>
                    <w:t>相关建设项目申请试生产时，建设单位应将项目设计阶段环保措施落实情况、环境监理报告和企业突发环境事件应急预案的备案材料一并提交。建设项目防治污染、防止生态破坏措施以及环境风险防范设施和应急措施不能满足环境影响评价文件及批复要求以及无《突发环境事件应急预案备案登记表》的，各级环保部门不得批准其投入试生产。</w:t>
                  </w:r>
                </w:p>
              </w:tc>
              <w:tc>
                <w:tcPr>
                  <w:tcW w:w="3289" w:type="dxa"/>
                  <w:tcBorders>
                    <w:tl2br w:val="nil"/>
                    <w:tr2bl w:val="nil"/>
                  </w:tcBorders>
                  <w:vAlign w:val="center"/>
                </w:tcPr>
                <w:p w14:paraId="20863E84">
                  <w:pPr>
                    <w:pStyle w:val="32"/>
                    <w:rPr>
                      <w:rFonts w:cs="Times New Roman"/>
                    </w:rPr>
                  </w:pPr>
                  <w:r>
                    <w:rPr>
                      <w:rFonts w:hint="eastAsia" w:cs="Times New Roman"/>
                    </w:rPr>
                    <w:t>环评要求建设单位在投产前提交环境监理报告和企业突发环境事件应急预案的备案材料</w:t>
                  </w:r>
                </w:p>
              </w:tc>
              <w:tc>
                <w:tcPr>
                  <w:tcW w:w="1160" w:type="dxa"/>
                  <w:tcBorders>
                    <w:tl2br w:val="nil"/>
                    <w:tr2bl w:val="nil"/>
                  </w:tcBorders>
                  <w:vAlign w:val="center"/>
                </w:tcPr>
                <w:p w14:paraId="591905B3">
                  <w:pPr>
                    <w:pStyle w:val="32"/>
                    <w:rPr>
                      <w:rFonts w:cs="Times New Roman"/>
                    </w:rPr>
                  </w:pPr>
                  <w:r>
                    <w:rPr>
                      <w:rFonts w:hint="eastAsia" w:cs="Times New Roman"/>
                    </w:rPr>
                    <w:t>符合</w:t>
                  </w:r>
                </w:p>
              </w:tc>
            </w:tr>
            <w:tr w14:paraId="3C17F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05447603">
                  <w:pPr>
                    <w:pStyle w:val="32"/>
                    <w:rPr>
                      <w:rFonts w:cs="Times New Roman"/>
                    </w:rPr>
                  </w:pPr>
                  <w:r>
                    <w:rPr>
                      <w:rFonts w:hint="eastAsia" w:cs="Times New Roman"/>
                    </w:rPr>
                    <w:t>企业应建设并完善日常和应急监测系统，配备大气、水环境特征污染物监控设备，编制日常和应急监测方案，提高监控水平、应急响应速度和应急处理能力；建立完备的环境信息平台，定期向社会公布企业环境信息，接受公众监督。将企业突发环境事件应急预案演练和应急物资管理作为日常工作任务，不断提升环境风险防范应急保障能力。</w:t>
                  </w:r>
                </w:p>
              </w:tc>
              <w:tc>
                <w:tcPr>
                  <w:tcW w:w="3289" w:type="dxa"/>
                  <w:tcBorders>
                    <w:tl2br w:val="nil"/>
                    <w:tr2bl w:val="nil"/>
                  </w:tcBorders>
                  <w:vAlign w:val="center"/>
                </w:tcPr>
                <w:p w14:paraId="2E700E4F">
                  <w:pPr>
                    <w:pStyle w:val="32"/>
                    <w:rPr>
                      <w:rFonts w:cs="Times New Roman"/>
                    </w:rPr>
                  </w:pPr>
                  <w:r>
                    <w:rPr>
                      <w:rFonts w:hint="eastAsia" w:cs="Times New Roman"/>
                    </w:rPr>
                    <w:t>环评中已要求企业编制日常和应急监测方案，提高监控水平、应急响应速度和应急处理能力；建立完备的环境信息平台，定期向社会公布企业环境信息，接受公众监督</w:t>
                  </w:r>
                </w:p>
              </w:tc>
              <w:tc>
                <w:tcPr>
                  <w:tcW w:w="1160" w:type="dxa"/>
                  <w:tcBorders>
                    <w:tl2br w:val="nil"/>
                    <w:tr2bl w:val="nil"/>
                  </w:tcBorders>
                  <w:vAlign w:val="center"/>
                </w:tcPr>
                <w:p w14:paraId="1BE1AF8A">
                  <w:pPr>
                    <w:pStyle w:val="32"/>
                    <w:rPr>
                      <w:rFonts w:cs="Times New Roman"/>
                    </w:rPr>
                  </w:pPr>
                  <w:r>
                    <w:rPr>
                      <w:rFonts w:hint="eastAsia" w:cs="Times New Roman"/>
                    </w:rPr>
                    <w:t>符合</w:t>
                  </w:r>
                </w:p>
              </w:tc>
            </w:tr>
            <w:tr w14:paraId="245AB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6" w:type="dxa"/>
                  <w:tcBorders>
                    <w:tl2br w:val="nil"/>
                    <w:tr2bl w:val="nil"/>
                  </w:tcBorders>
                  <w:vAlign w:val="center"/>
                </w:tcPr>
                <w:p w14:paraId="7E3254CA">
                  <w:pPr>
                    <w:pStyle w:val="32"/>
                    <w:rPr>
                      <w:rFonts w:cs="Times New Roman"/>
                    </w:rPr>
                  </w:pPr>
                  <w:r>
                    <w:rPr>
                      <w:rFonts w:hint="eastAsia" w:cs="Times New Roman"/>
                    </w:rPr>
                    <w:t>企业应积极配合当地政府建设和完善项目所在园区（港区、资源开采区）环境风险预警体系、环境风险防控工程、环境应急保障体系。企业突发环境事件应急预案应与当地政府和相关部门以及周边企业、园区（港区、资源开采区）的应急预案相衔接，加强区域应急物资调配管理，构建区域环境风险联控机制。</w:t>
                  </w:r>
                </w:p>
              </w:tc>
              <w:tc>
                <w:tcPr>
                  <w:tcW w:w="3289" w:type="dxa"/>
                  <w:tcBorders>
                    <w:tl2br w:val="nil"/>
                    <w:tr2bl w:val="nil"/>
                  </w:tcBorders>
                  <w:vAlign w:val="center"/>
                </w:tcPr>
                <w:p w14:paraId="6BEBBE0B">
                  <w:pPr>
                    <w:pStyle w:val="32"/>
                    <w:rPr>
                      <w:rFonts w:cs="Times New Roman"/>
                    </w:rPr>
                  </w:pPr>
                  <w:r>
                    <w:rPr>
                      <w:rFonts w:hint="eastAsia" w:cs="Times New Roman"/>
                    </w:rPr>
                    <w:t>企业突发环境事件应急预案应与当地政府和相关部门以及周边企业、园区的应急预案相衔接，加强区域应急物资调配管理，构建区域环境风险联控机制</w:t>
                  </w:r>
                </w:p>
              </w:tc>
              <w:tc>
                <w:tcPr>
                  <w:tcW w:w="1160" w:type="dxa"/>
                  <w:tcBorders>
                    <w:tl2br w:val="nil"/>
                    <w:tr2bl w:val="nil"/>
                  </w:tcBorders>
                  <w:vAlign w:val="center"/>
                </w:tcPr>
                <w:p w14:paraId="4DE6A528">
                  <w:pPr>
                    <w:pStyle w:val="32"/>
                    <w:rPr>
                      <w:rFonts w:cs="Times New Roman"/>
                    </w:rPr>
                  </w:pPr>
                  <w:r>
                    <w:rPr>
                      <w:rFonts w:hint="eastAsia" w:cs="Times New Roman"/>
                    </w:rPr>
                    <w:t>符合</w:t>
                  </w:r>
                </w:p>
              </w:tc>
            </w:tr>
          </w:tbl>
          <w:p w14:paraId="48486611">
            <w:pPr>
              <w:pStyle w:val="24"/>
            </w:pPr>
          </w:p>
        </w:tc>
      </w:tr>
    </w:tbl>
    <w:p w14:paraId="17444BEB">
      <w:pPr>
        <w:pStyle w:val="24"/>
        <w:rPr>
          <w:snapToGrid w:val="0"/>
        </w:rPr>
      </w:pPr>
    </w:p>
    <w:p w14:paraId="050CA4DB">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二、建设项目工程分析</w:t>
      </w:r>
    </w:p>
    <w:tbl>
      <w:tblPr>
        <w:tblStyle w:val="25"/>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0"/>
        <w:gridCol w:w="8547"/>
      </w:tblGrid>
      <w:tr w14:paraId="3DE40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0" w:hRule="atLeast"/>
        </w:trPr>
        <w:tc>
          <w:tcPr>
            <w:tcW w:w="510" w:type="dxa"/>
            <w:vAlign w:val="center"/>
          </w:tcPr>
          <w:p w14:paraId="511D1A62">
            <w:pPr>
              <w:widowControl/>
              <w:adjustRightInd w:val="0"/>
              <w:snapToGrid w:val="0"/>
              <w:spacing w:line="240" w:lineRule="auto"/>
              <w:ind w:firstLine="0" w:firstLineChars="0"/>
              <w:jc w:val="center"/>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建设内容</w:t>
            </w:r>
          </w:p>
        </w:tc>
        <w:tc>
          <w:tcPr>
            <w:tcW w:w="8547" w:type="dxa"/>
          </w:tcPr>
          <w:p w14:paraId="6489FD9D">
            <w:pPr>
              <w:pStyle w:val="3"/>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项目建设背景</w:t>
            </w:r>
          </w:p>
          <w:p w14:paraId="1CD34BFA">
            <w:pPr>
              <w:ind w:firstLine="480"/>
              <w:rPr>
                <w:color w:val="000000"/>
              </w:rPr>
            </w:pPr>
            <w:r>
              <w:rPr>
                <w:rFonts w:hint="eastAsia"/>
                <w:color w:val="000000"/>
              </w:rPr>
              <w:t>（1）现有项目概述</w:t>
            </w:r>
          </w:p>
          <w:p w14:paraId="7116646C">
            <w:pPr>
              <w:ind w:firstLine="480"/>
              <w:rPr>
                <w:color w:val="000000" w:themeColor="text1"/>
                <w14:textFill>
                  <w14:solidFill>
                    <w14:schemeClr w14:val="tx1"/>
                  </w14:solidFill>
                </w14:textFill>
              </w:rPr>
            </w:pPr>
            <w:r>
              <w:rPr>
                <w:rFonts w:hint="eastAsia"/>
                <w:color w:val="000000"/>
              </w:rPr>
              <w:t>和静环能工业气体有限公司位于</w:t>
            </w:r>
            <w:r>
              <w:rPr>
                <w:rFonts w:hint="eastAsia"/>
              </w:rPr>
              <w:t>和静工业园区新兴产业区</w:t>
            </w:r>
            <w:r>
              <w:rPr>
                <w:rFonts w:hint="eastAsia"/>
                <w:color w:val="000000"/>
              </w:rPr>
              <w:t>。2</w:t>
            </w:r>
            <w:r>
              <w:rPr>
                <w:color w:val="000000"/>
              </w:rPr>
              <w:t>011</w:t>
            </w:r>
            <w:r>
              <w:rPr>
                <w:rFonts w:hint="eastAsia"/>
                <w:color w:val="000000"/>
              </w:rPr>
              <w:t>年4月，巴州和静环能工业气体有限公司委托巴州绿环环境科技技术研究所编写了《和静环能工业气体有限公司工业气体制备项目（氧气充装及乙炔气体制造）环境影响报告表》；并于2</w:t>
            </w:r>
            <w:r>
              <w:rPr>
                <w:color w:val="000000"/>
              </w:rPr>
              <w:t>011</w:t>
            </w:r>
            <w:r>
              <w:rPr>
                <w:rFonts w:hint="eastAsia"/>
                <w:color w:val="000000"/>
              </w:rPr>
              <w:t>年5月1</w:t>
            </w:r>
            <w:r>
              <w:rPr>
                <w:color w:val="000000"/>
              </w:rPr>
              <w:t>6</w:t>
            </w:r>
            <w:r>
              <w:rPr>
                <w:rFonts w:hint="eastAsia"/>
                <w:color w:val="000000"/>
              </w:rPr>
              <w:t>日</w:t>
            </w:r>
            <w:r>
              <w:rPr>
                <w:rFonts w:hint="eastAsia"/>
                <w:color w:val="000000" w:themeColor="text1"/>
                <w14:textFill>
                  <w14:solidFill>
                    <w14:schemeClr w14:val="tx1"/>
                  </w14:solidFill>
                </w14:textFill>
              </w:rPr>
              <w:t>取得</w:t>
            </w:r>
            <w:r>
              <w:rPr>
                <w:rFonts w:hint="eastAsia"/>
                <w:color w:val="000000"/>
              </w:rPr>
              <w:t>《和静环能工业气体有限公司工业气体制备项目（氧气充装及乙炔气体制造）环境影响报告表的批复》（巴环控函〔201</w:t>
            </w:r>
            <w:r>
              <w:rPr>
                <w:color w:val="000000"/>
              </w:rPr>
              <w:t>1</w:t>
            </w:r>
            <w:r>
              <w:rPr>
                <w:rFonts w:hint="eastAsia"/>
                <w:color w:val="000000"/>
              </w:rPr>
              <w:t>〕2</w:t>
            </w:r>
            <w:r>
              <w:rPr>
                <w:color w:val="000000"/>
              </w:rPr>
              <w:t>96</w:t>
            </w:r>
            <w:r>
              <w:rPr>
                <w:rFonts w:hint="eastAsia"/>
                <w:color w:val="000000"/>
              </w:rPr>
              <w:t>号）。该项目建设完成后，该公司委托新疆中天聚能环境科技有限公司</w:t>
            </w:r>
            <w:r>
              <w:rPr>
                <w:rFonts w:hint="eastAsia"/>
              </w:rPr>
              <w:t>负责编制《</w:t>
            </w:r>
            <w:r>
              <w:rPr>
                <w:rFonts w:hint="eastAsia"/>
                <w:color w:val="000000"/>
              </w:rPr>
              <w:t>和静环能工业气体有限公司工业气体制备项目（氧气充装及乙炔气体制造）</w:t>
            </w:r>
            <w:r>
              <w:rPr>
                <w:rFonts w:hint="eastAsia"/>
              </w:rPr>
              <w:t>》的竣工环境保护验收监测工作，并于</w:t>
            </w:r>
            <w:r>
              <w:t>2021</w:t>
            </w:r>
            <w:r>
              <w:rPr>
                <w:rFonts w:hint="eastAsia"/>
              </w:rPr>
              <w:t>年</w:t>
            </w:r>
            <w:r>
              <w:t>5</w:t>
            </w:r>
            <w:r>
              <w:rPr>
                <w:rFonts w:hint="eastAsia"/>
              </w:rPr>
              <w:t>月</w:t>
            </w:r>
            <w:r>
              <w:t>12</w:t>
            </w:r>
            <w:r>
              <w:rPr>
                <w:rFonts w:hint="eastAsia"/>
              </w:rPr>
              <w:t>日通过验收。</w:t>
            </w:r>
            <w:r>
              <w:rPr>
                <w:rFonts w:hint="eastAsia"/>
                <w:color w:val="000000" w:themeColor="text1"/>
                <w14:textFill>
                  <w14:solidFill>
                    <w14:schemeClr w14:val="tx1"/>
                  </w14:solidFill>
                </w14:textFill>
              </w:rPr>
              <w:t>公司持有的固定污染源排污登记回执有效期限为：自202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月2日起至202</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日止（登记编号：</w:t>
            </w:r>
            <w:r>
              <w:rPr>
                <w:color w:val="000000" w:themeColor="text1"/>
                <w14:textFill>
                  <w14:solidFill>
                    <w14:schemeClr w14:val="tx1"/>
                  </w14:solidFill>
                </w14:textFill>
              </w:rPr>
              <w:t>916528275725122713001X</w:t>
            </w:r>
            <w:r>
              <w:rPr>
                <w:rFonts w:hint="eastAsia"/>
                <w:color w:val="000000" w:themeColor="text1"/>
                <w14:textFill>
                  <w14:solidFill>
                    <w14:schemeClr w14:val="tx1"/>
                  </w14:solidFill>
                </w14:textFill>
              </w:rPr>
              <w:t>）。</w:t>
            </w:r>
          </w:p>
          <w:p w14:paraId="031782B1">
            <w:pPr>
              <w:ind w:firstLine="480"/>
            </w:pPr>
            <w:r>
              <w:rPr>
                <w:rFonts w:hint="eastAsia"/>
              </w:rPr>
              <w:t>（2）改建内容</w:t>
            </w:r>
          </w:p>
          <w:p w14:paraId="37FD72BA">
            <w:pPr>
              <w:ind w:firstLine="480"/>
            </w:pPr>
            <w:r>
              <w:rPr>
                <w:rFonts w:hint="eastAsia" w:cs="Times New Roman"/>
                <w:color w:val="000000" w:themeColor="text1"/>
                <w14:textFill>
                  <w14:solidFill>
                    <w14:schemeClr w14:val="tx1"/>
                  </w14:solidFill>
                </w14:textFill>
              </w:rPr>
              <w:t>随着巴州地区对丙烷、丁烷需求量的日益增大，市场对丙烷、丁烷气体的需求旺盛且潜力巨大。公司决定对现有项目实施改扩建：将原有乙炔生产厂房改造为丙烷、丁烷充装站，拆除车间内原有的乙炔生产线，并新增4台卧式储罐、1台埋地式残液罐、2台丙烷充装秤、2台丁烷充装秤、4台压缩机及相关配套设施。</w:t>
            </w:r>
          </w:p>
          <w:p w14:paraId="11272CC8">
            <w:pPr>
              <w:ind w:firstLine="480"/>
            </w:pPr>
            <w:r>
              <w:rPr>
                <w:rFonts w:hint="eastAsia"/>
              </w:rPr>
              <w:t>（3）项目环评编制类别</w:t>
            </w:r>
          </w:p>
          <w:p w14:paraId="26EDAB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根据《中华人民共和国环境影响评价法》、《建设项目环境影响评价分类管理名录》（2021年版），本项目属于“</w:t>
            </w:r>
            <w:r>
              <w:rPr>
                <w:rFonts w:hint="eastAsia"/>
                <w:snapToGrid w:val="0"/>
              </w:rPr>
              <w:t>五十三、装卸搬运和仓储业5</w:t>
            </w:r>
            <w:r>
              <w:rPr>
                <w:snapToGrid w:val="0"/>
              </w:rPr>
              <w:t>9</w:t>
            </w:r>
            <w:r>
              <w:rPr>
                <w:rFonts w:hint="eastAsia"/>
                <w:snapToGrid w:val="0"/>
              </w:rPr>
              <w:t>”中“</w:t>
            </w:r>
            <w:r>
              <w:rPr>
                <w:snapToGrid w:val="0"/>
              </w:rPr>
              <w:t>149</w:t>
            </w:r>
            <w:r>
              <w:rPr>
                <w:rFonts w:hint="eastAsia"/>
                <w:snapToGrid w:val="0"/>
              </w:rPr>
              <w:t>、危险品仓储</w:t>
            </w:r>
            <w:r>
              <w:rPr>
                <w:snapToGrid w:val="0"/>
              </w:rPr>
              <w:t>594</w:t>
            </w:r>
            <w:r>
              <w:rPr>
                <w:rFonts w:hint="eastAsia"/>
                <w:snapToGrid w:val="0"/>
              </w:rPr>
              <w:t>（不含加油站的油库；不含加气站的气库）”中的“其他（含有毒、有害、危险品的仓储；含液化天然气库）</w:t>
            </w:r>
            <w:r>
              <w:rPr>
                <w:rFonts w:hint="eastAsia"/>
                <w:color w:val="000000" w:themeColor="text1"/>
                <w14:textFill>
                  <w14:solidFill>
                    <w14:schemeClr w14:val="tx1"/>
                  </w14:solidFill>
                </w14:textFill>
              </w:rPr>
              <w:t>”及“</w:t>
            </w:r>
            <w:r>
              <w:rPr>
                <w:rFonts w:hint="eastAsia"/>
                <w:snapToGrid w:val="0"/>
              </w:rPr>
              <w:t>二十三、化学原料和化学制品制造业2</w:t>
            </w:r>
            <w:r>
              <w:rPr>
                <w:snapToGrid w:val="0"/>
              </w:rPr>
              <w:t>6</w:t>
            </w:r>
            <w:r>
              <w:rPr>
                <w:rFonts w:hint="eastAsia"/>
                <w:snapToGrid w:val="0"/>
              </w:rPr>
              <w:t>”中“44、基础化学原料制造”中的“单纯物理分离、物理提纯、混合、分装的（不产生废水或挥发性有机物的除外）”。</w:t>
            </w:r>
            <w:r>
              <w:rPr>
                <w:rFonts w:hint="eastAsia"/>
                <w:color w:val="000000" w:themeColor="text1"/>
                <w14:textFill>
                  <w14:solidFill>
                    <w14:schemeClr w14:val="tx1"/>
                  </w14:solidFill>
                </w14:textFill>
              </w:rPr>
              <w:t>则本项目应编制环境影响报告表。详见表2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06DF0BF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建设单位于202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月委托我公司编制《</w:t>
            </w:r>
            <w:r>
              <w:rPr>
                <w:rFonts w:hint="eastAsia" w:cs="Times New Roman"/>
                <w:color w:val="000000" w:themeColor="text1"/>
                <w:szCs w:val="24"/>
                <w14:textFill>
                  <w14:solidFill>
                    <w14:schemeClr w14:val="tx1"/>
                  </w14:solidFill>
                </w14:textFill>
              </w:rPr>
              <w:t>和静环能工业气体有限公司丙烷、丁烷充装站改扩建项目</w:t>
            </w:r>
            <w:r>
              <w:rPr>
                <w:rFonts w:hint="eastAsia"/>
                <w:color w:val="000000" w:themeColor="text1"/>
                <w14:textFill>
                  <w14:solidFill>
                    <w14:schemeClr w14:val="tx1"/>
                  </w14:solidFill>
                </w14:textFill>
              </w:rPr>
              <w:t>环境影响评价报告表》。我单位接受委托后，组织有关技术人员进行了现场踏勘，收集相关技术资料，根据相关法律法规、环评导则及其他相关材料，编制该项目环境影响评价报告表，供建设单位上报生态环境主管部门审批。</w:t>
            </w:r>
          </w:p>
          <w:p w14:paraId="35DA1A6E">
            <w:pPr>
              <w:spacing w:line="240" w:lineRule="auto"/>
              <w:ind w:firstLine="422"/>
              <w:jc w:val="center"/>
              <w:rPr>
                <w:rFonts w:cs="Times New Roman"/>
                <w:b/>
                <w:bCs/>
                <w:color w:val="000000"/>
                <w:sz w:val="21"/>
                <w:szCs w:val="21"/>
              </w:rPr>
            </w:pPr>
            <w:r>
              <w:rPr>
                <w:rFonts w:cs="Times New Roman"/>
                <w:b/>
                <w:bCs/>
                <w:color w:val="000000"/>
                <w:sz w:val="21"/>
                <w:szCs w:val="21"/>
              </w:rPr>
              <w:t>表2-1  《建设项目环境影响评价分类管理名录》（2021版）（节选）</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902"/>
              <w:gridCol w:w="2201"/>
              <w:gridCol w:w="1500"/>
              <w:gridCol w:w="817"/>
              <w:gridCol w:w="1350"/>
            </w:tblGrid>
            <w:tr w14:paraId="464E2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61" w:type="pct"/>
                  <w:gridSpan w:val="2"/>
                  <w:vAlign w:val="center"/>
                </w:tcPr>
                <w:p w14:paraId="0B34CDCC">
                  <w:pPr>
                    <w:spacing w:line="240" w:lineRule="auto"/>
                    <w:ind w:firstLine="632" w:firstLineChars="300"/>
                    <w:jc w:val="center"/>
                    <w:rPr>
                      <w:rFonts w:cs="Times New Roman"/>
                      <w:color w:val="000000" w:themeColor="text1"/>
                      <w:sz w:val="21"/>
                      <w:szCs w:val="21"/>
                      <w14:textFill>
                        <w14:solidFill>
                          <w14:schemeClr w14:val="tx1"/>
                        </w14:solidFill>
                      </w14:textFill>
                    </w:rPr>
                  </w:pPr>
                  <w:r>
                    <w:rPr>
                      <w:rFonts w:cs="Times New Roman"/>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-3175</wp:posOffset>
                            </wp:positionV>
                            <wp:extent cx="1523365" cy="396875"/>
                            <wp:effectExtent l="1270" t="4445" r="14605" b="10160"/>
                            <wp:wrapNone/>
                            <wp:docPr id="2" name="直接连接符 2"/>
                            <wp:cNvGraphicFramePr/>
                            <a:graphic xmlns:a="http://schemas.openxmlformats.org/drawingml/2006/main">
                              <a:graphicData uri="http://schemas.microsoft.com/office/word/2010/wordprocessingShape">
                                <wps:wsp>
                                  <wps:cNvCnPr/>
                                  <wps:spPr>
                                    <a:xfrm>
                                      <a:off x="0" y="0"/>
                                      <a:ext cx="1523365" cy="39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pt;margin-top:-0.25pt;height:31.25pt;width:119.95pt;z-index:251659264;mso-width-relative:page;mso-height-relative:page;" filled="f" stroked="t" coordsize="21600,21600" o:gfxdata="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g0YXVAAAA&#10;BwEAAA8AAAAAAAAAAQAgAAAAIgAAAGRycy9kb3ducmV2LnhtbFBLAQIUABQAAAAIAIdO4kARTaOA&#10;5wEAALYDAAAOAAAAAAAAAAEAIAAAACQBAABkcnMvZTJvRG9jLnhtbFBLBQYAAAAABgAGAFkBAAB9&#10;BQAAAAA=&#10;">
                            <v:fill on="f" focussize="0,0"/>
                            <v:stroke weight="0.5pt" color="#000000 [3200]" miterlimit="8" joinstyle="miter"/>
                            <v:imagedata o:title=""/>
                            <o:lock v:ext="edit" aspectratio="f"/>
                          </v:line>
                        </w:pict>
                      </mc:Fallback>
                    </mc:AlternateContent>
                  </w:r>
                  <w:r>
                    <w:rPr>
                      <w:rFonts w:cs="Times New Roman"/>
                      <w:color w:val="000000" w:themeColor="text1"/>
                      <w:sz w:val="21"/>
                      <w:szCs w:val="21"/>
                      <w14:textFill>
                        <w14:solidFill>
                          <w14:schemeClr w14:val="tx1"/>
                        </w14:solidFill>
                      </w14:textFill>
                    </w:rPr>
                    <w:t xml:space="preserve">     环评类别</w:t>
                  </w:r>
                </w:p>
                <w:p w14:paraId="03C7CACD">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项目类别</w:t>
                  </w:r>
                </w:p>
              </w:tc>
              <w:tc>
                <w:tcPr>
                  <w:tcW w:w="1327" w:type="pct"/>
                  <w:vAlign w:val="center"/>
                </w:tcPr>
                <w:p w14:paraId="22BBDD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报告书</w:t>
                  </w:r>
                </w:p>
              </w:tc>
              <w:tc>
                <w:tcPr>
                  <w:tcW w:w="905" w:type="pct"/>
                  <w:shd w:val="clear" w:color="auto" w:fill="E7E6E6" w:themeFill="background2"/>
                  <w:vAlign w:val="center"/>
                </w:tcPr>
                <w:p w14:paraId="1C1D5A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报告表</w:t>
                  </w:r>
                </w:p>
              </w:tc>
              <w:tc>
                <w:tcPr>
                  <w:tcW w:w="493" w:type="pct"/>
                  <w:vAlign w:val="center"/>
                </w:tcPr>
                <w:p w14:paraId="2D3235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登记表</w:t>
                  </w:r>
                </w:p>
              </w:tc>
              <w:tc>
                <w:tcPr>
                  <w:tcW w:w="814" w:type="pct"/>
                  <w:vAlign w:val="center"/>
                </w:tcPr>
                <w:p w14:paraId="7A3E62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本栏目环境敏感区含义</w:t>
                  </w:r>
                </w:p>
              </w:tc>
            </w:tr>
            <w:tr w14:paraId="69211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3F52DE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shd w:val="clear" w:color="auto" w:fill="E7E6E6" w:themeFill="background2"/>
                      <w14:textFill>
                        <w14:solidFill>
                          <w14:schemeClr w14:val="tx1"/>
                        </w14:solidFill>
                      </w14:textFill>
                    </w:rPr>
                    <w:t>五十三、装卸搬运和仓储业59</w:t>
                  </w:r>
                </w:p>
              </w:tc>
            </w:tr>
            <w:tr w14:paraId="2997A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14" w:type="pct"/>
                  <w:vAlign w:val="center"/>
                </w:tcPr>
                <w:p w14:paraId="350AEB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149</w:t>
                  </w:r>
                </w:p>
              </w:tc>
              <w:tc>
                <w:tcPr>
                  <w:tcW w:w="1147" w:type="pct"/>
                  <w:vAlign w:val="center"/>
                </w:tcPr>
                <w:p w14:paraId="7F00F59C">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危险品仓储594</w:t>
                  </w:r>
                  <w:r>
                    <w:rPr>
                      <w:rFonts w:cs="Times New Roman"/>
                      <w:color w:val="000000" w:themeColor="text1"/>
                      <w:sz w:val="21"/>
                      <w:szCs w:val="21"/>
                      <w14:textFill>
                        <w14:solidFill>
                          <w14:schemeClr w14:val="tx1"/>
                        </w14:solidFill>
                      </w14:textFill>
                    </w:rPr>
                    <w:t>（不含加油站的油库；不含加气站的气库）</w:t>
                  </w:r>
                </w:p>
              </w:tc>
              <w:tc>
                <w:tcPr>
                  <w:tcW w:w="1327" w:type="pct"/>
                  <w:vAlign w:val="center"/>
                </w:tcPr>
                <w:p w14:paraId="62DB5B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总容量20万立方米及以上的油库（含油品码头后方配套油库）；地下油库；地下气库</w:t>
                  </w:r>
                </w:p>
              </w:tc>
              <w:tc>
                <w:tcPr>
                  <w:tcW w:w="905" w:type="pct"/>
                  <w:shd w:val="clear" w:color="auto" w:fill="E7E6E6" w:themeFill="background2"/>
                  <w:vAlign w:val="center"/>
                </w:tcPr>
                <w:p w14:paraId="145AEABB">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其他（含有毒、有害、</w:t>
                  </w:r>
                  <w:r>
                    <w:rPr>
                      <w:rFonts w:cs="Times New Roman"/>
                      <w:b/>
                      <w:bCs/>
                      <w:color w:val="000000" w:themeColor="text1"/>
                      <w:sz w:val="21"/>
                      <w:szCs w:val="21"/>
                      <w14:textFill>
                        <w14:solidFill>
                          <w14:schemeClr w14:val="tx1"/>
                        </w14:solidFill>
                      </w14:textFill>
                    </w:rPr>
                    <w:t>危险品的仓储</w:t>
                  </w:r>
                  <w:r>
                    <w:rPr>
                      <w:rFonts w:cs="Times New Roman"/>
                      <w:color w:val="000000" w:themeColor="text1"/>
                      <w:sz w:val="21"/>
                      <w:szCs w:val="21"/>
                      <w14:textFill>
                        <w14:solidFill>
                          <w14:schemeClr w14:val="tx1"/>
                        </w14:solidFill>
                      </w14:textFill>
                    </w:rPr>
                    <w:t>；含液化天然气库）</w:t>
                  </w:r>
                </w:p>
              </w:tc>
              <w:tc>
                <w:tcPr>
                  <w:tcW w:w="493" w:type="pct"/>
                  <w:vAlign w:val="center"/>
                </w:tcPr>
                <w:p w14:paraId="7EEBB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814" w:type="pct"/>
                  <w:vAlign w:val="center"/>
                </w:tcPr>
                <w:p w14:paraId="3461DE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362CB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000" w:type="pct"/>
                  <w:gridSpan w:val="6"/>
                  <w:shd w:val="clear" w:color="auto" w:fill="E7E6E6" w:themeFill="background2"/>
                  <w:vAlign w:val="center"/>
                </w:tcPr>
                <w:p w14:paraId="3A785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二十三、化学原料和化学制品制造业26</w:t>
                  </w:r>
                </w:p>
              </w:tc>
            </w:tr>
            <w:tr w14:paraId="6CBB6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14" w:type="pct"/>
                  <w:vAlign w:val="center"/>
                </w:tcPr>
                <w:p w14:paraId="6C7F0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eastAsia="System" w:cs="Times New Roman"/>
                      <w:color w:val="333333"/>
                      <w:sz w:val="20"/>
                      <w:szCs w:val="20"/>
                      <w:shd w:val="clear" w:color="auto" w:fill="FFFFFF"/>
                    </w:rPr>
                    <w:t>44</w:t>
                  </w:r>
                </w:p>
              </w:tc>
              <w:tc>
                <w:tcPr>
                  <w:tcW w:w="1147" w:type="pct"/>
                  <w:vAlign w:val="center"/>
                </w:tcPr>
                <w:p w14:paraId="5F673B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44、基础化学原料制造261</w:t>
                  </w:r>
                  <w:r>
                    <w:rPr>
                      <w:rFonts w:cs="Times New Roman"/>
                      <w:color w:val="000000" w:themeColor="text1"/>
                      <w:sz w:val="21"/>
                      <w:szCs w:val="21"/>
                      <w14:textFill>
                        <w14:solidFill>
                          <w14:schemeClr w14:val="tx1"/>
                        </w14:solidFill>
                      </w14:textFill>
                    </w:rPr>
                    <w:t>；农药制造263；涂料、油墨、颜料及类似产品制造264；合成材料制造265；专用化学产品制造266；炸药、火工及焰火产品制造267</w:t>
                  </w:r>
                </w:p>
              </w:tc>
              <w:tc>
                <w:tcPr>
                  <w:tcW w:w="1327" w:type="pct"/>
                  <w:vAlign w:val="center"/>
                </w:tcPr>
                <w:p w14:paraId="1655C8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全部（含研发中试；不含单纯物理分离、物理提纯、混合、分装的）</w:t>
                  </w:r>
                </w:p>
              </w:tc>
              <w:tc>
                <w:tcPr>
                  <w:tcW w:w="905" w:type="pct"/>
                  <w:shd w:val="clear" w:color="auto" w:fill="E7E6E6" w:themeFill="background2"/>
                  <w:vAlign w:val="center"/>
                </w:tcPr>
                <w:p w14:paraId="7406F9B5">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单纯物理分离、物理提纯、混合</w:t>
                  </w:r>
                  <w:r>
                    <w:rPr>
                      <w:rFonts w:cs="Times New Roman"/>
                      <w:color w:val="000000" w:themeColor="text1"/>
                      <w:sz w:val="21"/>
                      <w:szCs w:val="21"/>
                      <w14:textFill>
                        <w14:solidFill>
                          <w14:schemeClr w14:val="tx1"/>
                        </w14:solidFill>
                      </w14:textFill>
                    </w:rPr>
                    <w:t>、分装的（不产生废水或挥发性有机物的除外）</w:t>
                  </w:r>
                </w:p>
              </w:tc>
              <w:tc>
                <w:tcPr>
                  <w:tcW w:w="493" w:type="pct"/>
                  <w:vAlign w:val="center"/>
                </w:tcPr>
                <w:p w14:paraId="4AA67C8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14" w:type="pct"/>
                  <w:vAlign w:val="center"/>
                </w:tcPr>
                <w:p w14:paraId="700436E9">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6CD4D42C">
            <w:pPr>
              <w:pStyle w:val="3"/>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2</w:t>
            </w:r>
            <w:r>
              <w:rPr>
                <w:rFonts w:hint="eastAsia" w:cs="Times New Roman"/>
                <w:color w:val="000000" w:themeColor="text1"/>
                <w:kern w:val="0"/>
                <w14:textFill>
                  <w14:solidFill>
                    <w14:schemeClr w14:val="tx1"/>
                  </w14:solidFill>
                </w14:textFill>
              </w:rPr>
              <w:t>、</w:t>
            </w:r>
            <w:r>
              <w:rPr>
                <w:rFonts w:cs="Times New Roman"/>
                <w:color w:val="000000" w:themeColor="text1"/>
                <w:kern w:val="0"/>
                <w14:textFill>
                  <w14:solidFill>
                    <w14:schemeClr w14:val="tx1"/>
                  </w14:solidFill>
                </w14:textFill>
              </w:rPr>
              <w:t>项目概况</w:t>
            </w:r>
          </w:p>
          <w:p w14:paraId="3BDC8BB4">
            <w:pPr>
              <w:ind w:firstLine="0" w:firstLineChars="0"/>
              <w:rPr>
                <w:rFonts w:cstheme="majorBidi"/>
                <w:b/>
                <w:bCs/>
                <w:color w:val="000000" w:themeColor="text1"/>
                <w:szCs w:val="32"/>
                <w14:textFill>
                  <w14:solidFill>
                    <w14:schemeClr w14:val="tx1"/>
                  </w14:solidFill>
                </w14:textFill>
              </w:rPr>
            </w:pP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.1</w:t>
            </w:r>
            <w:r>
              <w:rPr>
                <w:rFonts w:hint="eastAsia" w:cstheme="majorBidi"/>
                <w:b/>
                <w:bCs/>
                <w:color w:val="000000" w:themeColor="text1"/>
                <w:szCs w:val="32"/>
                <w14:textFill>
                  <w14:solidFill>
                    <w14:schemeClr w14:val="tx1"/>
                  </w14:solidFill>
                </w14:textFill>
              </w:rPr>
              <w:t>本次改建项目概况</w:t>
            </w:r>
          </w:p>
          <w:p w14:paraId="16E84BA4">
            <w:pPr>
              <w:ind w:firstLine="480"/>
            </w:pPr>
            <w:r>
              <w:t>项目名称：</w:t>
            </w:r>
            <w:r>
              <w:rPr>
                <w:rFonts w:hint="eastAsia" w:cs="Times New Roman"/>
                <w:color w:val="000000" w:themeColor="text1"/>
                <w:szCs w:val="24"/>
                <w14:textFill>
                  <w14:solidFill>
                    <w14:schemeClr w14:val="tx1"/>
                  </w14:solidFill>
                </w14:textFill>
              </w:rPr>
              <w:t>和静环能工业气体有限公司丙烷、丁烷充装站改扩建项目</w:t>
            </w:r>
            <w:r>
              <w:rPr>
                <w:rFonts w:hint="eastAsia"/>
                <w:color w:val="000000"/>
              </w:rPr>
              <w:t>；</w:t>
            </w:r>
          </w:p>
          <w:p w14:paraId="68AA7E7C">
            <w:pPr>
              <w:ind w:firstLine="480"/>
            </w:pPr>
            <w:r>
              <w:t>建设单位：</w:t>
            </w:r>
            <w:r>
              <w:rPr>
                <w:rFonts w:hint="eastAsia" w:cs="Times New Roman"/>
                <w:color w:val="000000" w:themeColor="text1"/>
                <w:szCs w:val="24"/>
                <w14:textFill>
                  <w14:solidFill>
                    <w14:schemeClr w14:val="tx1"/>
                  </w14:solidFill>
                </w14:textFill>
              </w:rPr>
              <w:t>和静环能工业气体有限公司</w:t>
            </w:r>
            <w:r>
              <w:rPr>
                <w:rFonts w:hint="eastAsia"/>
              </w:rPr>
              <w:t>；</w:t>
            </w:r>
          </w:p>
          <w:p w14:paraId="6FC345D1">
            <w:pPr>
              <w:ind w:firstLine="480"/>
              <w:rPr>
                <w:color w:val="000000" w:themeColor="text1"/>
                <w14:textFill>
                  <w14:solidFill>
                    <w14:schemeClr w14:val="tx1"/>
                  </w14:solidFill>
                </w14:textFill>
              </w:rPr>
            </w:pPr>
            <w:r>
              <w:rPr>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：改建；</w:t>
            </w:r>
          </w:p>
          <w:p w14:paraId="315A5CE9">
            <w:pPr>
              <w:ind w:firstLine="480"/>
              <w:rPr>
                <w:color w:val="000000" w:themeColor="text1"/>
                <w14:textFill>
                  <w14:solidFill>
                    <w14:schemeClr w14:val="tx1"/>
                  </w14:solidFill>
                </w14:textFill>
              </w:rPr>
            </w:pPr>
            <w:r>
              <w:rPr>
                <w:color w:val="000000" w:themeColor="text1"/>
                <w14:textFill>
                  <w14:solidFill>
                    <w14:schemeClr w14:val="tx1"/>
                  </w14:solidFill>
                </w14:textFill>
              </w:rPr>
              <w:t>项目总投资：项目总投资500万元，项目资金全部由企业自筹，本项目环保</w:t>
            </w:r>
            <w:r>
              <w:rPr>
                <w:rFonts w:hint="eastAsia"/>
                <w:color w:val="000000" w:themeColor="text1"/>
                <w14:textFill>
                  <w14:solidFill>
                    <w14:schemeClr w14:val="tx1"/>
                  </w14:solidFill>
                </w14:textFill>
              </w:rPr>
              <w:t>投资</w:t>
            </w:r>
            <w:r>
              <w:rPr>
                <w:color w:val="000000" w:themeColor="text1"/>
                <w14:textFill>
                  <w14:solidFill>
                    <w14:schemeClr w14:val="tx1"/>
                  </w14:solidFill>
                </w14:textFill>
              </w:rPr>
              <w:t>29万元，</w:t>
            </w:r>
            <w:r>
              <w:rPr>
                <w:rFonts w:hint="eastAsia"/>
                <w:color w:val="000000" w:themeColor="text1"/>
                <w14:textFill>
                  <w14:solidFill>
                    <w14:schemeClr w14:val="tx1"/>
                  </w14:solidFill>
                </w14:textFill>
              </w:rPr>
              <w:t>占总投资的</w:t>
            </w:r>
            <w:r>
              <w:rPr>
                <w:color w:val="000000" w:themeColor="text1"/>
                <w14:textFill>
                  <w14:solidFill>
                    <w14:schemeClr w14:val="tx1"/>
                  </w14:solidFill>
                </w14:textFill>
              </w:rPr>
              <w:t>5.8%；</w:t>
            </w:r>
          </w:p>
          <w:p w14:paraId="72AB2564">
            <w:pPr>
              <w:ind w:firstLine="480"/>
              <w:rPr>
                <w:rFonts w:cs="Times New Roman"/>
                <w:color w:val="000000"/>
              </w:rPr>
            </w:pPr>
            <w:r>
              <w:rPr>
                <w:rFonts w:cs="Times New Roman"/>
              </w:rPr>
              <w:t>建设地点：</w:t>
            </w:r>
            <w:r>
              <w:rPr>
                <w:rFonts w:hint="eastAsia"/>
              </w:rPr>
              <w:t>和静工业园区新兴产业区</w:t>
            </w:r>
            <w:r>
              <w:rPr>
                <w:rFonts w:cs="Times New Roman"/>
              </w:rPr>
              <w:t>；</w:t>
            </w:r>
          </w:p>
          <w:p w14:paraId="2AC669DC">
            <w:pPr>
              <w:ind w:firstLine="480"/>
              <w:rPr>
                <w:rFonts w:cs="Times New Roman"/>
              </w:rPr>
            </w:pPr>
            <w:r>
              <w:rPr>
                <w:rFonts w:cs="Times New Roman"/>
              </w:rPr>
              <w:t>周边环境：</w:t>
            </w:r>
            <w:r>
              <w:rPr>
                <w:rFonts w:cs="Times New Roman"/>
                <w:color w:val="000000" w:themeColor="text1"/>
                <w14:textFill>
                  <w14:solidFill>
                    <w14:schemeClr w14:val="tx1"/>
                  </w14:solidFill>
                </w14:textFill>
              </w:rPr>
              <w:t>建设项目现状西侧和南侧为空地，北侧为天山路，东侧为迎风路</w:t>
            </w:r>
            <w:r>
              <w:rPr>
                <w:rFonts w:cs="Times New Roman"/>
              </w:rPr>
              <w:t>。具体地理位置详见附图1《建设项目地理位置图》，项目周边环境详见附图3《建设项目周边环境关系图》；</w:t>
            </w:r>
          </w:p>
          <w:p w14:paraId="18D7F291">
            <w:pPr>
              <w:ind w:firstLine="480"/>
              <w:rPr>
                <w:color w:val="C00000"/>
              </w:rPr>
            </w:pPr>
            <w:r>
              <w:rPr>
                <w:rFonts w:cs="Times New Roman"/>
              </w:rPr>
              <w:t>生产规模：</w:t>
            </w:r>
            <w:r>
              <w:rPr>
                <w:rFonts w:cs="Times New Roman"/>
                <w:szCs w:val="24"/>
              </w:rPr>
              <w:t>年销售丙烷1000</w:t>
            </w:r>
            <w:r>
              <w:rPr>
                <w:rFonts w:hint="eastAsia"/>
                <w:color w:val="000000" w:themeColor="text1"/>
                <w14:textFill>
                  <w14:solidFill>
                    <w14:schemeClr w14:val="tx1"/>
                  </w14:solidFill>
                </w14:textFill>
              </w:rPr>
              <w:t>t</w:t>
            </w:r>
            <w:r>
              <w:rPr>
                <w:rFonts w:hint="eastAsia" w:cs="Times New Roman"/>
                <w:szCs w:val="24"/>
              </w:rPr>
              <w:t>，年销售丁烷</w:t>
            </w:r>
            <w:r>
              <w:rPr>
                <w:rFonts w:cs="Times New Roman"/>
                <w:szCs w:val="24"/>
              </w:rPr>
              <w:t>1000</w:t>
            </w:r>
            <w:r>
              <w:rPr>
                <w:rFonts w:hint="eastAsia"/>
                <w:color w:val="000000" w:themeColor="text1"/>
                <w14:textFill>
                  <w14:solidFill>
                    <w14:schemeClr w14:val="tx1"/>
                  </w14:solidFill>
                </w14:textFill>
              </w:rPr>
              <w:t>t；</w:t>
            </w:r>
          </w:p>
          <w:p w14:paraId="2F816FC1">
            <w:pPr>
              <w:ind w:firstLine="480"/>
              <w:rPr>
                <w:color w:val="000000" w:themeColor="text1"/>
                <w14:textFill>
                  <w14:solidFill>
                    <w14:schemeClr w14:val="tx1"/>
                  </w14:solidFill>
                </w14:textFill>
              </w:rPr>
            </w:pPr>
            <w:r>
              <w:t>生产制度：</w:t>
            </w:r>
            <w:r>
              <w:rPr>
                <w:color w:val="000000"/>
              </w:rPr>
              <w:t>本项目年工作360天</w:t>
            </w:r>
            <w:r>
              <w:rPr>
                <w:rFonts w:hint="eastAsia"/>
                <w:color w:val="000000"/>
              </w:rPr>
              <w:t>，每班8小时工作制</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劳动定员1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人。</w:t>
            </w:r>
          </w:p>
          <w:p w14:paraId="13A9191B">
            <w:pPr>
              <w:ind w:firstLine="0" w:firstLineChars="0"/>
              <w:rPr>
                <w:b/>
                <w:bCs/>
              </w:rPr>
            </w:pPr>
            <w:r>
              <w:rPr>
                <w:rFonts w:hint="eastAsia"/>
                <w:b/>
                <w:bCs/>
              </w:rPr>
              <w:t>2</w:t>
            </w:r>
            <w:r>
              <w:rPr>
                <w:b/>
                <w:bCs/>
              </w:rPr>
              <w:t>.2</w:t>
            </w:r>
            <w:r>
              <w:rPr>
                <w:rFonts w:hint="eastAsia"/>
                <w:b/>
                <w:bCs/>
              </w:rPr>
              <w:t>建设内容</w:t>
            </w:r>
          </w:p>
          <w:p w14:paraId="5934DA0D">
            <w:pPr>
              <w:ind w:firstLine="482"/>
              <w:rPr>
                <w:b/>
                <w:bCs/>
              </w:rPr>
            </w:pPr>
            <w:r>
              <w:rPr>
                <w:rFonts w:hint="eastAsia"/>
                <w:b/>
                <w:bCs/>
              </w:rPr>
              <w:t>（1）建设规模</w:t>
            </w:r>
          </w:p>
          <w:p w14:paraId="5B9E1C3B">
            <w:pPr>
              <w:ind w:firstLine="480"/>
              <w:rPr>
                <w:rFonts w:cs="Times New Roman"/>
              </w:rPr>
            </w:pPr>
            <w:r>
              <w:rPr>
                <w:rFonts w:hint="eastAsia" w:cs="Times New Roman"/>
              </w:rPr>
              <w:t>本项目在原有占地范围内实施</w:t>
            </w:r>
            <w:r>
              <w:rPr>
                <w:rFonts w:cs="Times New Roman"/>
              </w:rPr>
              <w:t>不新增占地</w:t>
            </w:r>
            <w:r>
              <w:rPr>
                <w:rFonts w:hint="eastAsia" w:cs="Times New Roman"/>
              </w:rPr>
              <w:t>。丙烷、丁烷充装站位于原乙炔项目地块上，原乙炔项目废除，保留部分乙炔车间作为丙烷、丁烷充装车间。</w:t>
            </w:r>
          </w:p>
          <w:p w14:paraId="5BADF8C5">
            <w:pPr>
              <w:ind w:firstLine="480"/>
              <w:rPr>
                <w:rFonts w:cs="Times New Roman"/>
              </w:rPr>
            </w:pPr>
            <w:r>
              <w:rPr>
                <w:rFonts w:hint="eastAsia" w:cs="Times New Roman"/>
                <w:bCs/>
                <w:szCs w:val="24"/>
              </w:rPr>
              <w:t>该项目为“未批先建”项目，现阶段已建设完成的工程内容包括：主体工程（埋地储罐区、充装车间、工业气体瓶库）、辅助工程（办公楼、辅助用房、消防通道）、储运工程（消防水池）以及公用工程（供水、供电、供暖等）。具体情况详见表2-2</w:t>
            </w:r>
            <w:r>
              <w:rPr>
                <w:rFonts w:cs="Times New Roman"/>
                <w:bCs/>
                <w:szCs w:val="24"/>
              </w:rPr>
              <w:t>。</w:t>
            </w:r>
          </w:p>
          <w:p w14:paraId="3C2D88A4">
            <w:pPr>
              <w:keepNext/>
              <w:adjustRightInd w:val="0"/>
              <w:snapToGrid w:val="0"/>
              <w:spacing w:before="163" w:beforeLines="50" w:line="240" w:lineRule="auto"/>
              <w:ind w:firstLine="422"/>
              <w:jc w:val="center"/>
              <w:rPr>
                <w:rFonts w:cs="Times New Roman"/>
                <w:b/>
                <w:sz w:val="21"/>
              </w:rPr>
            </w:pPr>
            <w:r>
              <w:rPr>
                <w:rFonts w:hint="eastAsia" w:cs="Times New Roman"/>
                <w:b/>
                <w:sz w:val="21"/>
              </w:rPr>
              <w:t>表2</w:t>
            </w:r>
            <w:r>
              <w:rPr>
                <w:rFonts w:cs="Times New Roman"/>
                <w:b/>
                <w:sz w:val="21"/>
              </w:rPr>
              <w:t xml:space="preserve">-2  </w:t>
            </w:r>
            <w:r>
              <w:rPr>
                <w:rFonts w:hint="eastAsia" w:cs="Times New Roman"/>
                <w:b/>
                <w:sz w:val="21"/>
              </w:rPr>
              <w:t>改建项目组成情况一览表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2"/>
              <w:gridCol w:w="1619"/>
              <w:gridCol w:w="4690"/>
              <w:gridCol w:w="1170"/>
            </w:tblGrid>
            <w:tr w14:paraId="13B3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Align w:val="center"/>
                </w:tcPr>
                <w:p w14:paraId="39DFC4B5">
                  <w:pPr>
                    <w:adjustRightInd w:val="0"/>
                    <w:snapToGrid w:val="0"/>
                    <w:spacing w:line="240" w:lineRule="auto"/>
                    <w:ind w:firstLine="0" w:firstLineChars="0"/>
                    <w:contextualSpacing/>
                    <w:jc w:val="center"/>
                    <w:textAlignment w:val="auto"/>
                    <w:rPr>
                      <w:rFonts w:cs="Times New Roman"/>
                      <w:color w:val="000000"/>
                      <w:sz w:val="21"/>
                      <w:szCs w:val="21"/>
                    </w:rPr>
                  </w:pPr>
                  <w:bookmarkStart w:id="10" w:name="_Hlk97569549"/>
                  <w:r>
                    <w:rPr>
                      <w:rFonts w:cs="Times New Roman"/>
                      <w:color w:val="000000"/>
                      <w:sz w:val="21"/>
                      <w:szCs w:val="21"/>
                    </w:rPr>
                    <w:t>类别</w:t>
                  </w:r>
                </w:p>
              </w:tc>
              <w:tc>
                <w:tcPr>
                  <w:tcW w:w="975" w:type="pct"/>
                  <w:vAlign w:val="center"/>
                </w:tcPr>
                <w:p w14:paraId="588A3862">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项目名称</w:t>
                  </w:r>
                </w:p>
              </w:tc>
              <w:tc>
                <w:tcPr>
                  <w:tcW w:w="2825" w:type="pct"/>
                  <w:vAlign w:val="center"/>
                </w:tcPr>
                <w:p w14:paraId="49A1DF44">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建设内容</w:t>
                  </w:r>
                </w:p>
              </w:tc>
              <w:tc>
                <w:tcPr>
                  <w:tcW w:w="706" w:type="pct"/>
                  <w:vAlign w:val="center"/>
                </w:tcPr>
                <w:p w14:paraId="61FF2179">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备注</w:t>
                  </w:r>
                </w:p>
              </w:tc>
            </w:tr>
            <w:tr w14:paraId="060FC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restart"/>
                  <w:vAlign w:val="center"/>
                </w:tcPr>
                <w:p w14:paraId="7AF4D4EC">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主体工程</w:t>
                  </w:r>
                </w:p>
              </w:tc>
              <w:tc>
                <w:tcPr>
                  <w:tcW w:w="975" w:type="pct"/>
                  <w:vAlign w:val="center"/>
                </w:tcPr>
                <w:p w14:paraId="1D996D41">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埋地储罐区</w:t>
                  </w:r>
                </w:p>
              </w:tc>
              <w:tc>
                <w:tcPr>
                  <w:tcW w:w="2825" w:type="pct"/>
                  <w:vAlign w:val="center"/>
                </w:tcPr>
                <w:p w14:paraId="2201127C">
                  <w:pPr>
                    <w:adjustRightInd w:val="0"/>
                    <w:snapToGrid w:val="0"/>
                    <w:spacing w:line="240" w:lineRule="auto"/>
                    <w:ind w:firstLine="0" w:firstLineChars="0"/>
                    <w:contextualSpacing/>
                    <w:textAlignment w:val="auto"/>
                    <w:rPr>
                      <w:rFonts w:cs="Times New Roman"/>
                      <w:sz w:val="21"/>
                      <w:szCs w:val="21"/>
                    </w:rPr>
                  </w:pPr>
                  <w:r>
                    <w:rPr>
                      <w:rFonts w:cs="Times New Roman"/>
                      <w:sz w:val="21"/>
                      <w:szCs w:val="21"/>
                    </w:rPr>
                    <w:t>储罐区占地面积235.71m</w:t>
                  </w:r>
                  <w:r>
                    <w:rPr>
                      <w:rFonts w:cs="Times New Roman"/>
                      <w:sz w:val="21"/>
                      <w:szCs w:val="21"/>
                      <w:vertAlign w:val="superscript"/>
                    </w:rPr>
                    <w:t>2</w:t>
                  </w:r>
                  <w:r>
                    <w:rPr>
                      <w:rFonts w:cs="Times New Roman"/>
                      <w:sz w:val="21"/>
                      <w:szCs w:val="21"/>
                    </w:rPr>
                    <w:t>，位于丙烷、丁烷充装车间北侧，采用地埋储罐，罐区设置4台20m</w:t>
                  </w:r>
                  <w:r>
                    <w:rPr>
                      <w:rFonts w:cs="Times New Roman"/>
                      <w:sz w:val="21"/>
                      <w:szCs w:val="21"/>
                      <w:vertAlign w:val="superscript"/>
                    </w:rPr>
                    <w:t>3</w:t>
                  </w:r>
                  <w:r>
                    <w:rPr>
                      <w:rFonts w:cs="Times New Roman"/>
                      <w:sz w:val="21"/>
                      <w:szCs w:val="21"/>
                    </w:rPr>
                    <w:t>卧式埋地储罐和1台5m</w:t>
                  </w:r>
                  <w:r>
                    <w:rPr>
                      <w:rFonts w:cs="Times New Roman"/>
                      <w:sz w:val="21"/>
                      <w:szCs w:val="21"/>
                      <w:vertAlign w:val="superscript"/>
                    </w:rPr>
                    <w:t>3</w:t>
                  </w:r>
                  <w:r>
                    <w:rPr>
                      <w:rFonts w:cs="Times New Roman"/>
                      <w:sz w:val="21"/>
                      <w:szCs w:val="21"/>
                    </w:rPr>
                    <w:t>埋地式残液回收罐，其中2台为丙烷储罐，2台为丁烷储罐，在罐区边缘设置4台充装泵；储存采用全压力式储存，设计压力1.77MPa，充装系数0.9。储罐材质为16MnDR钢，设计温度-20~50℃</w:t>
                  </w:r>
                </w:p>
              </w:tc>
              <w:tc>
                <w:tcPr>
                  <w:tcW w:w="706" w:type="pct"/>
                  <w:vAlign w:val="center"/>
                </w:tcPr>
                <w:p w14:paraId="1E2ED78C">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已建</w:t>
                  </w:r>
                </w:p>
              </w:tc>
            </w:tr>
            <w:tr w14:paraId="640F8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266C7CC3">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2AFB05CE">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充装车间</w:t>
                  </w:r>
                </w:p>
              </w:tc>
              <w:tc>
                <w:tcPr>
                  <w:tcW w:w="2825" w:type="pct"/>
                  <w:vAlign w:val="center"/>
                </w:tcPr>
                <w:p w14:paraId="7B1A75D1">
                  <w:pPr>
                    <w:adjustRightInd w:val="0"/>
                    <w:snapToGrid w:val="0"/>
                    <w:spacing w:line="240" w:lineRule="auto"/>
                    <w:ind w:firstLine="0" w:firstLineChars="0"/>
                    <w:contextualSpacing/>
                    <w:textAlignment w:val="auto"/>
                    <w:rPr>
                      <w:rFonts w:cs="Times New Roman"/>
                      <w:sz w:val="21"/>
                      <w:szCs w:val="21"/>
                    </w:rPr>
                  </w:pPr>
                  <w:r>
                    <w:rPr>
                      <w:rFonts w:hint="eastAsia" w:cs="Times New Roman"/>
                      <w:color w:val="000000"/>
                      <w:kern w:val="0"/>
                      <w:sz w:val="21"/>
                      <w:szCs w:val="21"/>
                    </w:rPr>
                    <w:t>充装车间（含灌瓶间、瓶库、压缩机房）</w:t>
                  </w:r>
                  <w:r>
                    <w:rPr>
                      <w:rFonts w:hint="eastAsia" w:cs="Times New Roman"/>
                      <w:sz w:val="21"/>
                      <w:szCs w:val="21"/>
                    </w:rPr>
                    <w:t>建筑面积2</w:t>
                  </w:r>
                  <w:r>
                    <w:rPr>
                      <w:rFonts w:cs="Times New Roman"/>
                      <w:sz w:val="21"/>
                      <w:szCs w:val="21"/>
                    </w:rPr>
                    <w:t>21.67m</w:t>
                  </w:r>
                  <w:r>
                    <w:rPr>
                      <w:rFonts w:cs="Times New Roman"/>
                      <w:sz w:val="21"/>
                      <w:szCs w:val="21"/>
                      <w:vertAlign w:val="superscript"/>
                    </w:rPr>
                    <w:t>2</w:t>
                  </w:r>
                  <w:r>
                    <w:rPr>
                      <w:rFonts w:hint="eastAsia" w:cs="Times New Roman"/>
                      <w:sz w:val="21"/>
                      <w:szCs w:val="21"/>
                    </w:rPr>
                    <w:t>。</w:t>
                  </w:r>
                </w:p>
                <w:p w14:paraId="4126C5CB">
                  <w:pPr>
                    <w:adjustRightInd w:val="0"/>
                    <w:snapToGrid w:val="0"/>
                    <w:spacing w:line="240" w:lineRule="auto"/>
                    <w:ind w:firstLine="0" w:firstLineChars="0"/>
                    <w:contextualSpacing/>
                    <w:textAlignment w:val="auto"/>
                    <w:rPr>
                      <w:rFonts w:cs="Times New Roman"/>
                      <w:sz w:val="21"/>
                      <w:szCs w:val="21"/>
                    </w:rPr>
                  </w:pPr>
                  <w:r>
                    <w:rPr>
                      <w:rFonts w:hint="eastAsia" w:cs="Times New Roman"/>
                      <w:b/>
                      <w:bCs/>
                      <w:color w:val="000000"/>
                      <w:kern w:val="0"/>
                      <w:sz w:val="21"/>
                      <w:szCs w:val="21"/>
                    </w:rPr>
                    <w:t>灌瓶间：</w:t>
                  </w:r>
                  <w:r>
                    <w:rPr>
                      <w:rFonts w:hint="eastAsia" w:cs="Times New Roman"/>
                      <w:sz w:val="21"/>
                      <w:szCs w:val="21"/>
                    </w:rPr>
                    <w:t>设置2台丙烷电子充装秤，2台丁烷电子充装秤，用于准确计量充入气瓶中的气体量；</w:t>
                  </w:r>
                </w:p>
                <w:p w14:paraId="077EC1C2">
                  <w:pPr>
                    <w:adjustRightInd w:val="0"/>
                    <w:snapToGrid w:val="0"/>
                    <w:spacing w:line="240" w:lineRule="auto"/>
                    <w:ind w:firstLine="0" w:firstLineChars="0"/>
                    <w:contextualSpacing/>
                    <w:textAlignment w:val="auto"/>
                    <w:rPr>
                      <w:rFonts w:cs="Times New Roman"/>
                      <w:sz w:val="21"/>
                      <w:szCs w:val="21"/>
                    </w:rPr>
                  </w:pPr>
                  <w:r>
                    <w:rPr>
                      <w:rFonts w:hint="eastAsia" w:cs="Times New Roman"/>
                      <w:b/>
                      <w:bCs/>
                      <w:sz w:val="21"/>
                      <w:szCs w:val="21"/>
                    </w:rPr>
                    <w:t>压缩</w:t>
                  </w:r>
                  <w:r>
                    <w:rPr>
                      <w:rFonts w:hint="eastAsia" w:cs="Times New Roman"/>
                      <w:b/>
                      <w:bCs/>
                      <w:color w:val="000000"/>
                      <w:kern w:val="0"/>
                      <w:sz w:val="21"/>
                      <w:szCs w:val="21"/>
                    </w:rPr>
                    <w:t>机房</w:t>
                  </w:r>
                  <w:r>
                    <w:rPr>
                      <w:rFonts w:hint="eastAsia" w:cs="Times New Roman"/>
                      <w:color w:val="000000"/>
                      <w:kern w:val="0"/>
                      <w:sz w:val="21"/>
                      <w:szCs w:val="21"/>
                    </w:rPr>
                    <w:t>：设置4台压缩机（丙烷2台、丁烷2台），用于提高气体压力，便于充装操作</w:t>
                  </w:r>
                  <w:r>
                    <w:rPr>
                      <w:rFonts w:hint="eastAsia" w:cs="Times New Roman"/>
                      <w:sz w:val="21"/>
                      <w:szCs w:val="21"/>
                    </w:rPr>
                    <w:t>；</w:t>
                  </w:r>
                </w:p>
                <w:p w14:paraId="24DBEE1E">
                  <w:pPr>
                    <w:adjustRightInd w:val="0"/>
                    <w:snapToGrid w:val="0"/>
                    <w:spacing w:line="240" w:lineRule="auto"/>
                    <w:ind w:firstLine="0" w:firstLineChars="0"/>
                    <w:contextualSpacing/>
                    <w:textAlignment w:val="auto"/>
                    <w:rPr>
                      <w:rFonts w:cs="Times New Roman"/>
                      <w:sz w:val="21"/>
                      <w:szCs w:val="21"/>
                    </w:rPr>
                  </w:pPr>
                  <w:r>
                    <w:rPr>
                      <w:rFonts w:hint="eastAsia" w:cs="Times New Roman"/>
                      <w:b/>
                      <w:bCs/>
                      <w:color w:val="000000"/>
                      <w:kern w:val="0"/>
                      <w:sz w:val="21"/>
                      <w:szCs w:val="21"/>
                    </w:rPr>
                    <w:t>瓶库：</w:t>
                  </w:r>
                  <w:r>
                    <w:rPr>
                      <w:rFonts w:hint="eastAsia" w:cs="Times New Roman"/>
                      <w:color w:val="000000"/>
                      <w:kern w:val="0"/>
                      <w:sz w:val="21"/>
                      <w:szCs w:val="21"/>
                    </w:rPr>
                    <w:t>用于存放空瓶和已充装好的气瓶；压缩机房与灌瓶间及瓶库之间采用实体墙隔开</w:t>
                  </w:r>
                </w:p>
              </w:tc>
              <w:tc>
                <w:tcPr>
                  <w:tcW w:w="706" w:type="pct"/>
                  <w:vAlign w:val="center"/>
                </w:tcPr>
                <w:p w14:paraId="244AC90C">
                  <w:pPr>
                    <w:adjustRightInd w:val="0"/>
                    <w:snapToGrid w:val="0"/>
                    <w:spacing w:line="240" w:lineRule="auto"/>
                    <w:ind w:firstLine="0" w:firstLineChars="0"/>
                    <w:contextualSpacing/>
                    <w:textAlignment w:val="auto"/>
                    <w:rPr>
                      <w:rFonts w:cs="Times New Roman"/>
                      <w:color w:val="000000"/>
                      <w:kern w:val="0"/>
                      <w:sz w:val="21"/>
                      <w:szCs w:val="21"/>
                    </w:rPr>
                  </w:pPr>
                  <w:r>
                    <w:rPr>
                      <w:rFonts w:hint="eastAsia" w:cs="Times New Roman"/>
                      <w:color w:val="000000"/>
                      <w:kern w:val="0"/>
                      <w:sz w:val="21"/>
                      <w:szCs w:val="21"/>
                    </w:rPr>
                    <w:t>将原有乙炔车间改建充装车间（已建）</w:t>
                  </w:r>
                </w:p>
              </w:tc>
            </w:tr>
            <w:tr w14:paraId="7922B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424DF894">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44461DE2">
                  <w:pPr>
                    <w:adjustRightInd w:val="0"/>
                    <w:snapToGrid w:val="0"/>
                    <w:spacing w:line="240" w:lineRule="auto"/>
                    <w:ind w:firstLine="0" w:firstLineChars="0"/>
                    <w:contextualSpacing/>
                    <w:textAlignment w:val="auto"/>
                    <w:rPr>
                      <w:rFonts w:cs="Times New Roman"/>
                      <w:color w:val="000000"/>
                      <w:kern w:val="0"/>
                      <w:sz w:val="21"/>
                      <w:szCs w:val="21"/>
                    </w:rPr>
                  </w:pPr>
                  <w:r>
                    <w:rPr>
                      <w:rFonts w:hint="eastAsia" w:cs="Times New Roman"/>
                      <w:color w:val="000000"/>
                      <w:kern w:val="0"/>
                      <w:sz w:val="21"/>
                      <w:szCs w:val="21"/>
                    </w:rPr>
                    <w:t>工业气体瓶库</w:t>
                  </w:r>
                </w:p>
              </w:tc>
              <w:tc>
                <w:tcPr>
                  <w:tcW w:w="2825" w:type="pct"/>
                  <w:vAlign w:val="center"/>
                </w:tcPr>
                <w:p w14:paraId="50F531F4">
                  <w:pPr>
                    <w:adjustRightInd w:val="0"/>
                    <w:snapToGrid w:val="0"/>
                    <w:spacing w:line="240" w:lineRule="auto"/>
                    <w:ind w:firstLine="0" w:firstLineChars="0"/>
                    <w:contextualSpacing/>
                    <w:textAlignment w:val="auto"/>
                    <w:rPr>
                      <w:rFonts w:cs="Times New Roman"/>
                      <w:color w:val="000000"/>
                      <w:kern w:val="0"/>
                      <w:sz w:val="21"/>
                      <w:szCs w:val="21"/>
                    </w:rPr>
                  </w:pPr>
                  <w:r>
                    <w:rPr>
                      <w:rFonts w:hint="eastAsia" w:cs="Times New Roman"/>
                      <w:color w:val="000000"/>
                      <w:kern w:val="0"/>
                      <w:sz w:val="21"/>
                      <w:szCs w:val="21"/>
                    </w:rPr>
                    <w:t>新建一座工业气体瓶库，建筑面积3</w:t>
                  </w:r>
                  <w:r>
                    <w:rPr>
                      <w:rFonts w:cs="Times New Roman"/>
                      <w:color w:val="000000"/>
                      <w:kern w:val="0"/>
                      <w:sz w:val="21"/>
                      <w:szCs w:val="21"/>
                    </w:rPr>
                    <w:t>6</w:t>
                  </w:r>
                  <w:r>
                    <w:rPr>
                      <w:rFonts w:hint="eastAsia" w:cs="Times New Roman"/>
                      <w:color w:val="000000"/>
                      <w:kern w:val="0"/>
                      <w:sz w:val="21"/>
                      <w:szCs w:val="21"/>
                    </w:rPr>
                    <w:t>m</w:t>
                  </w:r>
                  <w:r>
                    <w:rPr>
                      <w:rFonts w:hint="eastAsia" w:cs="Times New Roman"/>
                      <w:color w:val="000000"/>
                      <w:kern w:val="0"/>
                      <w:sz w:val="21"/>
                      <w:szCs w:val="21"/>
                      <w:vertAlign w:val="superscript"/>
                    </w:rPr>
                    <w:t>2</w:t>
                  </w:r>
                  <w:r>
                    <w:rPr>
                      <w:rFonts w:hint="eastAsia" w:cs="Times New Roman"/>
                      <w:color w:val="000000"/>
                      <w:kern w:val="0"/>
                      <w:sz w:val="21"/>
                      <w:szCs w:val="21"/>
                    </w:rPr>
                    <w:t>，位于原有工业气体充装车间东南侧，主要用于储存氧气、二氧化碳和乙炔等工业气体</w:t>
                  </w:r>
                </w:p>
              </w:tc>
              <w:tc>
                <w:tcPr>
                  <w:tcW w:w="706" w:type="pct"/>
                  <w:vAlign w:val="center"/>
                </w:tcPr>
                <w:p w14:paraId="698A4916">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sz w:val="21"/>
                      <w:szCs w:val="21"/>
                    </w:rPr>
                    <w:t>已建</w:t>
                  </w:r>
                </w:p>
              </w:tc>
            </w:tr>
            <w:tr w14:paraId="1A59C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restart"/>
                  <w:vAlign w:val="center"/>
                </w:tcPr>
                <w:p w14:paraId="44B81FC1">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辅助工程</w:t>
                  </w:r>
                </w:p>
              </w:tc>
              <w:tc>
                <w:tcPr>
                  <w:tcW w:w="975" w:type="pct"/>
                  <w:vAlign w:val="center"/>
                </w:tcPr>
                <w:p w14:paraId="66A708A7">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办公楼</w:t>
                  </w:r>
                </w:p>
              </w:tc>
              <w:tc>
                <w:tcPr>
                  <w:tcW w:w="2825" w:type="pct"/>
                  <w:vAlign w:val="center"/>
                </w:tcPr>
                <w:p w14:paraId="3103CAD5">
                  <w:pPr>
                    <w:adjustRightInd w:val="0"/>
                    <w:snapToGrid w:val="0"/>
                    <w:spacing w:line="240" w:lineRule="auto"/>
                    <w:ind w:firstLine="0" w:firstLineChars="0"/>
                    <w:contextualSpacing/>
                    <w:textAlignment w:val="auto"/>
                    <w:rPr>
                      <w:rFonts w:cs="Times New Roman"/>
                      <w:color w:val="000000"/>
                      <w:sz w:val="21"/>
                      <w:szCs w:val="21"/>
                    </w:rPr>
                  </w:pPr>
                  <w:r>
                    <w:rPr>
                      <w:sz w:val="21"/>
                      <w:szCs w:val="21"/>
                    </w:rPr>
                    <w:t>建筑面积240</w:t>
                  </w:r>
                  <w:r>
                    <w:rPr>
                      <w:bCs/>
                      <w:sz w:val="21"/>
                      <w:szCs w:val="21"/>
                    </w:rPr>
                    <w:t>m</w:t>
                  </w:r>
                  <w:r>
                    <w:rPr>
                      <w:bCs/>
                      <w:sz w:val="21"/>
                      <w:szCs w:val="21"/>
                      <w:vertAlign w:val="superscript"/>
                    </w:rPr>
                    <w:t>2</w:t>
                  </w:r>
                  <w:r>
                    <w:rPr>
                      <w:bCs/>
                      <w:sz w:val="21"/>
                      <w:szCs w:val="21"/>
                    </w:rPr>
                    <w:t>，2F</w:t>
                  </w:r>
                  <w:r>
                    <w:rPr>
                      <w:sz w:val="21"/>
                      <w:szCs w:val="21"/>
                    </w:rPr>
                    <w:t>，砖混结构</w:t>
                  </w:r>
                </w:p>
              </w:tc>
              <w:tc>
                <w:tcPr>
                  <w:tcW w:w="706" w:type="pct"/>
                  <w:vAlign w:val="center"/>
                </w:tcPr>
                <w:p w14:paraId="798910E3">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已建</w:t>
                  </w:r>
                </w:p>
              </w:tc>
            </w:tr>
            <w:tr w14:paraId="35C33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01496C6E">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78D16344">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辅助用房</w:t>
                  </w:r>
                </w:p>
              </w:tc>
              <w:tc>
                <w:tcPr>
                  <w:tcW w:w="2825" w:type="pct"/>
                  <w:vAlign w:val="center"/>
                </w:tcPr>
                <w:p w14:paraId="13DA2776">
                  <w:pPr>
                    <w:adjustRightInd w:val="0"/>
                    <w:snapToGrid w:val="0"/>
                    <w:spacing w:line="240" w:lineRule="auto"/>
                    <w:ind w:firstLine="0" w:firstLineChars="0"/>
                    <w:contextualSpacing/>
                    <w:textAlignment w:val="auto"/>
                    <w:rPr>
                      <w:sz w:val="21"/>
                      <w:szCs w:val="21"/>
                    </w:rPr>
                  </w:pPr>
                  <w:r>
                    <w:rPr>
                      <w:rFonts w:hint="eastAsia"/>
                      <w:sz w:val="21"/>
                      <w:szCs w:val="21"/>
                    </w:rPr>
                    <w:t>建筑面积1</w:t>
                  </w:r>
                  <w:r>
                    <w:rPr>
                      <w:sz w:val="21"/>
                      <w:szCs w:val="21"/>
                    </w:rPr>
                    <w:t>29.59m</w:t>
                  </w:r>
                  <w:r>
                    <w:rPr>
                      <w:sz w:val="21"/>
                      <w:szCs w:val="21"/>
                      <w:vertAlign w:val="superscript"/>
                    </w:rPr>
                    <w:t>2</w:t>
                  </w:r>
                  <w:r>
                    <w:rPr>
                      <w:rFonts w:hint="eastAsia"/>
                      <w:sz w:val="21"/>
                      <w:szCs w:val="21"/>
                    </w:rPr>
                    <w:t>，位于丙烷、丁烷生产区域围墙北侧设置辅助用房（包括配电室、发电机房、备品间及消防泵房）</w:t>
                  </w:r>
                </w:p>
              </w:tc>
              <w:tc>
                <w:tcPr>
                  <w:tcW w:w="706" w:type="pct"/>
                  <w:vAlign w:val="center"/>
                </w:tcPr>
                <w:p w14:paraId="33288D58">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sz w:val="21"/>
                      <w:szCs w:val="21"/>
                    </w:rPr>
                    <w:t>已建</w:t>
                  </w:r>
                </w:p>
              </w:tc>
            </w:tr>
            <w:tr w14:paraId="2C585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1DAD7EF8">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23ECBE52">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消防通道</w:t>
                  </w:r>
                </w:p>
              </w:tc>
              <w:tc>
                <w:tcPr>
                  <w:tcW w:w="2825" w:type="pct"/>
                  <w:vAlign w:val="center"/>
                </w:tcPr>
                <w:p w14:paraId="4C4E1B8B">
                  <w:pPr>
                    <w:adjustRightInd w:val="0"/>
                    <w:snapToGrid w:val="0"/>
                    <w:spacing w:line="240" w:lineRule="auto"/>
                    <w:ind w:firstLine="0" w:firstLineChars="0"/>
                    <w:contextualSpacing/>
                    <w:textAlignment w:val="auto"/>
                    <w:rPr>
                      <w:sz w:val="21"/>
                      <w:szCs w:val="21"/>
                    </w:rPr>
                  </w:pPr>
                  <w:r>
                    <w:rPr>
                      <w:rFonts w:hint="eastAsia"/>
                      <w:sz w:val="21"/>
                      <w:szCs w:val="21"/>
                    </w:rPr>
                    <w:t>围绕充装车间以及</w:t>
                  </w:r>
                  <w:r>
                    <w:rPr>
                      <w:rFonts w:hint="eastAsia" w:cs="Times New Roman"/>
                      <w:color w:val="000000"/>
                      <w:kern w:val="0"/>
                      <w:sz w:val="21"/>
                      <w:szCs w:val="21"/>
                    </w:rPr>
                    <w:t>埋地储罐区布设</w:t>
                  </w:r>
                </w:p>
              </w:tc>
              <w:tc>
                <w:tcPr>
                  <w:tcW w:w="706" w:type="pct"/>
                  <w:vAlign w:val="center"/>
                </w:tcPr>
                <w:p w14:paraId="6B836F79">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sz w:val="21"/>
                      <w:szCs w:val="21"/>
                    </w:rPr>
                    <w:t>已建</w:t>
                  </w:r>
                </w:p>
              </w:tc>
            </w:tr>
            <w:tr w14:paraId="3BD02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Align w:val="center"/>
                </w:tcPr>
                <w:p w14:paraId="53E1EDB3">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储运工程</w:t>
                  </w:r>
                </w:p>
              </w:tc>
              <w:tc>
                <w:tcPr>
                  <w:tcW w:w="975" w:type="pct"/>
                  <w:vAlign w:val="center"/>
                </w:tcPr>
                <w:p w14:paraId="1D68C8A4">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消防水池</w:t>
                  </w:r>
                </w:p>
              </w:tc>
              <w:tc>
                <w:tcPr>
                  <w:tcW w:w="2825" w:type="pct"/>
                  <w:vAlign w:val="center"/>
                </w:tcPr>
                <w:p w14:paraId="57E60289">
                  <w:pPr>
                    <w:adjustRightInd w:val="0"/>
                    <w:snapToGrid w:val="0"/>
                    <w:spacing w:line="240" w:lineRule="auto"/>
                    <w:ind w:firstLine="0" w:firstLineChars="0"/>
                    <w:contextualSpacing/>
                    <w:textAlignment w:val="auto"/>
                    <w:rPr>
                      <w:rFonts w:cs="Times New Roman"/>
                      <w:color w:val="000000"/>
                      <w:kern w:val="0"/>
                      <w:sz w:val="21"/>
                      <w:szCs w:val="21"/>
                    </w:rPr>
                  </w:pPr>
                  <w:r>
                    <w:rPr>
                      <w:rFonts w:hint="eastAsia" w:cs="Times New Roman"/>
                      <w:color w:val="000000"/>
                      <w:kern w:val="0"/>
                      <w:sz w:val="21"/>
                      <w:szCs w:val="21"/>
                    </w:rPr>
                    <w:t>位于</w:t>
                  </w:r>
                  <w:r>
                    <w:rPr>
                      <w:rFonts w:hint="eastAsia" w:cs="Times New Roman"/>
                      <w:color w:val="000000"/>
                      <w:sz w:val="21"/>
                      <w:szCs w:val="21"/>
                    </w:rPr>
                    <w:t>辅助用房西侧，占地面积1</w:t>
                  </w:r>
                  <w:r>
                    <w:rPr>
                      <w:rFonts w:cs="Times New Roman"/>
                      <w:color w:val="000000"/>
                      <w:sz w:val="21"/>
                      <w:szCs w:val="21"/>
                    </w:rPr>
                    <w:t>54.24</w:t>
                  </w:r>
                  <w:r>
                    <w:rPr>
                      <w:sz w:val="21"/>
                      <w:szCs w:val="21"/>
                    </w:rPr>
                    <w:t>m</w:t>
                  </w:r>
                  <w:r>
                    <w:rPr>
                      <w:sz w:val="21"/>
                      <w:szCs w:val="21"/>
                      <w:vertAlign w:val="superscript"/>
                    </w:rPr>
                    <w:t>2</w:t>
                  </w:r>
                  <w:r>
                    <w:rPr>
                      <w:rFonts w:hint="eastAsia"/>
                      <w:sz w:val="21"/>
                      <w:szCs w:val="21"/>
                    </w:rPr>
                    <w:t>，容积250</w:t>
                  </w:r>
                  <w:r>
                    <w:rPr>
                      <w:sz w:val="21"/>
                      <w:szCs w:val="21"/>
                    </w:rPr>
                    <w:t>m</w:t>
                  </w:r>
                  <w:r>
                    <w:rPr>
                      <w:sz w:val="21"/>
                      <w:szCs w:val="21"/>
                      <w:vertAlign w:val="superscript"/>
                    </w:rPr>
                    <w:t>3</w:t>
                  </w:r>
                </w:p>
              </w:tc>
              <w:tc>
                <w:tcPr>
                  <w:tcW w:w="706" w:type="pct"/>
                  <w:vAlign w:val="center"/>
                </w:tcPr>
                <w:p w14:paraId="2DFC1C22">
                  <w:pPr>
                    <w:adjustRightInd w:val="0"/>
                    <w:snapToGrid w:val="0"/>
                    <w:spacing w:line="240" w:lineRule="auto"/>
                    <w:ind w:firstLine="0" w:firstLineChars="0"/>
                    <w:contextualSpacing/>
                    <w:jc w:val="center"/>
                    <w:textAlignment w:val="auto"/>
                    <w:rPr>
                      <w:sz w:val="21"/>
                      <w:szCs w:val="21"/>
                    </w:rPr>
                  </w:pPr>
                  <w:r>
                    <w:rPr>
                      <w:rFonts w:hint="eastAsia" w:cs="Times New Roman"/>
                      <w:color w:val="000000"/>
                      <w:sz w:val="21"/>
                      <w:szCs w:val="21"/>
                    </w:rPr>
                    <w:t>已建</w:t>
                  </w:r>
                </w:p>
              </w:tc>
            </w:tr>
            <w:tr w14:paraId="057DB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restart"/>
                  <w:vAlign w:val="center"/>
                </w:tcPr>
                <w:p w14:paraId="3A794B98">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公用工程</w:t>
                  </w:r>
                </w:p>
              </w:tc>
              <w:tc>
                <w:tcPr>
                  <w:tcW w:w="975" w:type="pct"/>
                  <w:vAlign w:val="center"/>
                </w:tcPr>
                <w:p w14:paraId="5A55D711">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供水</w:t>
                  </w:r>
                </w:p>
              </w:tc>
              <w:tc>
                <w:tcPr>
                  <w:tcW w:w="2825" w:type="pct"/>
                  <w:vAlign w:val="center"/>
                </w:tcPr>
                <w:p w14:paraId="2A2880A4">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园区供水系统供给</w:t>
                  </w:r>
                </w:p>
              </w:tc>
              <w:tc>
                <w:tcPr>
                  <w:tcW w:w="706" w:type="pct"/>
                  <w:vAlign w:val="center"/>
                </w:tcPr>
                <w:p w14:paraId="6EDBE8C5">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w:t>
                  </w:r>
                </w:p>
              </w:tc>
            </w:tr>
            <w:tr w14:paraId="7DC49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495" w:type="pct"/>
                  <w:vMerge w:val="continue"/>
                  <w:vAlign w:val="center"/>
                </w:tcPr>
                <w:p w14:paraId="43914FAA">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38AA0A1F">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供电</w:t>
                  </w:r>
                </w:p>
              </w:tc>
              <w:tc>
                <w:tcPr>
                  <w:tcW w:w="2825" w:type="pct"/>
                  <w:vAlign w:val="center"/>
                </w:tcPr>
                <w:p w14:paraId="6E53072C">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园区电网供电</w:t>
                  </w:r>
                </w:p>
              </w:tc>
              <w:tc>
                <w:tcPr>
                  <w:tcW w:w="706" w:type="pct"/>
                  <w:vAlign w:val="center"/>
                </w:tcPr>
                <w:p w14:paraId="024720DE">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w:t>
                  </w:r>
                </w:p>
              </w:tc>
            </w:tr>
            <w:tr w14:paraId="37E01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7AF2CAF3">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4F60CC54">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w:t>
                  </w:r>
                  <w:r>
                    <w:rPr>
                      <w:rFonts w:hint="eastAsia" w:cs="Times New Roman"/>
                      <w:color w:val="000000"/>
                      <w:sz w:val="21"/>
                      <w:szCs w:val="21"/>
                    </w:rPr>
                    <w:t>暖</w:t>
                  </w:r>
                </w:p>
              </w:tc>
              <w:tc>
                <w:tcPr>
                  <w:tcW w:w="2825" w:type="pct"/>
                  <w:vAlign w:val="center"/>
                </w:tcPr>
                <w:p w14:paraId="4F8B9CB0">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电采暖</w:t>
                  </w:r>
                </w:p>
              </w:tc>
              <w:tc>
                <w:tcPr>
                  <w:tcW w:w="706" w:type="pct"/>
                  <w:vAlign w:val="center"/>
                </w:tcPr>
                <w:p w14:paraId="3A06F48A">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w:t>
                  </w:r>
                </w:p>
              </w:tc>
            </w:tr>
            <w:tr w14:paraId="1C8C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2B8B5D95">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1C91E86F">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排水</w:t>
                  </w:r>
                </w:p>
              </w:tc>
              <w:tc>
                <w:tcPr>
                  <w:tcW w:w="2825" w:type="pct"/>
                  <w:vAlign w:val="center"/>
                </w:tcPr>
                <w:p w14:paraId="248EB2DB">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生活污水经化粪池（1</w:t>
                  </w:r>
                  <w:r>
                    <w:rPr>
                      <w:rFonts w:cs="Times New Roman"/>
                      <w:color w:val="000000"/>
                      <w:sz w:val="21"/>
                      <w:szCs w:val="21"/>
                    </w:rPr>
                    <w:t>0</w:t>
                  </w:r>
                  <w:r>
                    <w:rPr>
                      <w:rFonts w:hint="eastAsia" w:cs="Times New Roman"/>
                      <w:color w:val="000000"/>
                      <w:sz w:val="21"/>
                      <w:szCs w:val="21"/>
                    </w:rPr>
                    <w:t>m</w:t>
                  </w:r>
                  <w:r>
                    <w:rPr>
                      <w:rFonts w:hint="eastAsia" w:cs="Times New Roman"/>
                      <w:color w:val="000000"/>
                      <w:sz w:val="21"/>
                      <w:szCs w:val="21"/>
                      <w:vertAlign w:val="superscript"/>
                    </w:rPr>
                    <w:t>3</w:t>
                  </w:r>
                  <w:r>
                    <w:rPr>
                      <w:rFonts w:hint="eastAsia" w:cs="Times New Roman"/>
                      <w:color w:val="000000"/>
                      <w:sz w:val="21"/>
                      <w:szCs w:val="21"/>
                    </w:rPr>
                    <w:t>）预处理后由吸污车拉运至和静县污水处理厂处理</w:t>
                  </w:r>
                </w:p>
              </w:tc>
              <w:tc>
                <w:tcPr>
                  <w:tcW w:w="706" w:type="pct"/>
                  <w:vAlign w:val="center"/>
                </w:tcPr>
                <w:p w14:paraId="11704ECF">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w:t>
                  </w:r>
                </w:p>
              </w:tc>
            </w:tr>
            <w:tr w14:paraId="7C0D1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495" w:type="pct"/>
                  <w:vMerge w:val="restart"/>
                  <w:vAlign w:val="center"/>
                </w:tcPr>
                <w:p w14:paraId="42F98195">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环保工程</w:t>
                  </w:r>
                </w:p>
              </w:tc>
              <w:tc>
                <w:tcPr>
                  <w:tcW w:w="975" w:type="pct"/>
                  <w:vAlign w:val="center"/>
                </w:tcPr>
                <w:p w14:paraId="78ED04BF">
                  <w:pPr>
                    <w:adjustRightInd w:val="0"/>
                    <w:snapToGrid w:val="0"/>
                    <w:spacing w:line="240" w:lineRule="auto"/>
                    <w:ind w:firstLine="0" w:firstLineChars="0"/>
                    <w:contextualSpacing/>
                    <w:jc w:val="center"/>
                    <w:textAlignment w:val="auto"/>
                    <w:rPr>
                      <w:rFonts w:cs="Times New Roman"/>
                      <w:color w:val="000000"/>
                      <w:sz w:val="21"/>
                      <w:szCs w:val="21"/>
                    </w:rPr>
                  </w:pPr>
                  <w:r>
                    <w:rPr>
                      <w:sz w:val="21"/>
                      <w:szCs w:val="21"/>
                    </w:rPr>
                    <w:t>废气</w:t>
                  </w:r>
                  <w:r>
                    <w:rPr>
                      <w:rFonts w:hint="eastAsia"/>
                      <w:sz w:val="21"/>
                      <w:szCs w:val="21"/>
                    </w:rPr>
                    <w:t>治理</w:t>
                  </w:r>
                </w:p>
              </w:tc>
              <w:tc>
                <w:tcPr>
                  <w:tcW w:w="2825" w:type="pct"/>
                  <w:vAlign w:val="center"/>
                </w:tcPr>
                <w:p w14:paraId="37DC0880">
                  <w:pPr>
                    <w:adjustRightInd w:val="0"/>
                    <w:snapToGrid w:val="0"/>
                    <w:spacing w:line="240" w:lineRule="auto"/>
                    <w:ind w:firstLine="0" w:firstLineChars="0"/>
                    <w:contextualSpacing/>
                    <w:textAlignment w:val="auto"/>
                    <w:rPr>
                      <w:rFonts w:cs="Times New Roman"/>
                      <w:color w:val="000000"/>
                      <w:sz w:val="21"/>
                      <w:szCs w:val="21"/>
                    </w:rPr>
                  </w:pPr>
                  <w:bookmarkStart w:id="11" w:name="OLE_LINK8"/>
                  <w:r>
                    <w:rPr>
                      <w:rFonts w:hint="eastAsia"/>
                      <w:sz w:val="21"/>
                      <w:szCs w:val="21"/>
                    </w:rPr>
                    <w:t>充装车间和气体瓶库内安装可燃气体泄漏报警器，确保安全运行；车间设置通风系统；灌装工艺和储存气瓶少量泄漏废气经通风系统无组织排放</w:t>
                  </w:r>
                  <w:bookmarkEnd w:id="11"/>
                </w:p>
              </w:tc>
              <w:tc>
                <w:tcPr>
                  <w:tcW w:w="706" w:type="pct"/>
                  <w:vAlign w:val="center"/>
                </w:tcPr>
                <w:p w14:paraId="0F3EECBF">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已建</w:t>
                  </w:r>
                </w:p>
              </w:tc>
            </w:tr>
            <w:tr w14:paraId="6CDA7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495" w:type="pct"/>
                  <w:vMerge w:val="continue"/>
                  <w:vAlign w:val="center"/>
                </w:tcPr>
                <w:p w14:paraId="1C64A16F">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5B91DBA4">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废水治理</w:t>
                  </w:r>
                </w:p>
              </w:tc>
              <w:tc>
                <w:tcPr>
                  <w:tcW w:w="2825" w:type="pct"/>
                  <w:vAlign w:val="center"/>
                </w:tcPr>
                <w:p w14:paraId="05A404E3">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color w:val="000000"/>
                      <w:sz w:val="21"/>
                      <w:szCs w:val="21"/>
                    </w:rPr>
                    <w:t>无生产废水产排，生活污水经化粪池预处理后由吸污车拉运至和静县污水处理厂处理</w:t>
                  </w:r>
                </w:p>
              </w:tc>
              <w:tc>
                <w:tcPr>
                  <w:tcW w:w="706" w:type="pct"/>
                  <w:vAlign w:val="center"/>
                </w:tcPr>
                <w:p w14:paraId="005C37EF">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sz w:val="21"/>
                      <w:szCs w:val="21"/>
                    </w:rPr>
                    <w:t>已建</w:t>
                  </w:r>
                </w:p>
              </w:tc>
            </w:tr>
            <w:tr w14:paraId="623CB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1475289B">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6DA38E35">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噪声治理</w:t>
                  </w:r>
                </w:p>
              </w:tc>
              <w:tc>
                <w:tcPr>
                  <w:tcW w:w="2825" w:type="pct"/>
                  <w:vAlign w:val="center"/>
                </w:tcPr>
                <w:p w14:paraId="36938788">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color w:val="000000"/>
                      <w:sz w:val="21"/>
                      <w:szCs w:val="21"/>
                    </w:rPr>
                    <w:t>项目选用低噪声设备，并采取基础减震、隔声等降噪措施，同时结合厂区绿化，有效降低噪声污染</w:t>
                  </w:r>
                </w:p>
              </w:tc>
              <w:tc>
                <w:tcPr>
                  <w:tcW w:w="706" w:type="pct"/>
                  <w:vAlign w:val="center"/>
                </w:tcPr>
                <w:p w14:paraId="54C3450C">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已建</w:t>
                  </w:r>
                </w:p>
              </w:tc>
            </w:tr>
            <w:tr w14:paraId="1D671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4D9D9916">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3206CF96">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固体废物治理</w:t>
                  </w:r>
                </w:p>
              </w:tc>
              <w:tc>
                <w:tcPr>
                  <w:tcW w:w="2825" w:type="pct"/>
                  <w:vAlign w:val="center"/>
                </w:tcPr>
                <w:p w14:paraId="4A568B3A">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color w:val="000000"/>
                      <w:sz w:val="21"/>
                      <w:szCs w:val="21"/>
                    </w:rPr>
                    <w:t>生活垃圾集中收集至垃圾箱后由环卫部门统一清运；钢瓶内的残液被抽入残液罐集中收集，并交由丁烷、丙烷供应单位回收，用作燃料等生产利用</w:t>
                  </w:r>
                </w:p>
              </w:tc>
              <w:tc>
                <w:tcPr>
                  <w:tcW w:w="706" w:type="pct"/>
                  <w:vAlign w:val="center"/>
                </w:tcPr>
                <w:p w14:paraId="752812D3">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已建</w:t>
                  </w:r>
                </w:p>
              </w:tc>
            </w:tr>
            <w:tr w14:paraId="341C7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95" w:type="pct"/>
                  <w:vMerge w:val="continue"/>
                  <w:vAlign w:val="center"/>
                </w:tcPr>
                <w:p w14:paraId="162792E2">
                  <w:pPr>
                    <w:adjustRightInd w:val="0"/>
                    <w:snapToGrid w:val="0"/>
                    <w:spacing w:line="240" w:lineRule="auto"/>
                    <w:ind w:firstLine="0" w:firstLineChars="0"/>
                    <w:contextualSpacing/>
                    <w:jc w:val="center"/>
                    <w:textAlignment w:val="auto"/>
                    <w:rPr>
                      <w:rFonts w:cs="Times New Roman"/>
                      <w:color w:val="000000"/>
                      <w:sz w:val="21"/>
                      <w:szCs w:val="21"/>
                    </w:rPr>
                  </w:pPr>
                </w:p>
              </w:tc>
              <w:tc>
                <w:tcPr>
                  <w:tcW w:w="975" w:type="pct"/>
                  <w:vAlign w:val="center"/>
                </w:tcPr>
                <w:p w14:paraId="073A9D28">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风险</w:t>
                  </w:r>
                </w:p>
              </w:tc>
              <w:tc>
                <w:tcPr>
                  <w:tcW w:w="2825" w:type="pct"/>
                  <w:vAlign w:val="center"/>
                </w:tcPr>
                <w:p w14:paraId="6EABABB8">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建设</w:t>
                  </w:r>
                  <w:r>
                    <w:rPr>
                      <w:rFonts w:hint="eastAsia"/>
                      <w:sz w:val="21"/>
                      <w:szCs w:val="21"/>
                    </w:rPr>
                    <w:t>容积为</w:t>
                  </w:r>
                  <w:r>
                    <w:rPr>
                      <w:sz w:val="21"/>
                      <w:szCs w:val="21"/>
                    </w:rPr>
                    <w:t>250m</w:t>
                  </w:r>
                  <w:r>
                    <w:rPr>
                      <w:sz w:val="21"/>
                      <w:szCs w:val="21"/>
                      <w:vertAlign w:val="superscript"/>
                    </w:rPr>
                    <w:t>3</w:t>
                  </w:r>
                  <w:r>
                    <w:rPr>
                      <w:rFonts w:hint="eastAsia"/>
                      <w:sz w:val="21"/>
                      <w:szCs w:val="21"/>
                    </w:rPr>
                    <w:t>的消防水池，设置灭火器材</w:t>
                  </w:r>
                </w:p>
              </w:tc>
              <w:tc>
                <w:tcPr>
                  <w:tcW w:w="706" w:type="pct"/>
                  <w:vAlign w:val="center"/>
                </w:tcPr>
                <w:p w14:paraId="4AE7A7C8">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sz w:val="21"/>
                      <w:szCs w:val="21"/>
                    </w:rPr>
                    <w:t>已建</w:t>
                  </w:r>
                </w:p>
              </w:tc>
            </w:tr>
            <w:bookmarkEnd w:id="10"/>
          </w:tbl>
          <w:p w14:paraId="437D4904">
            <w:pPr>
              <w:pStyle w:val="3"/>
              <w:ind w:firstLine="482"/>
              <w:rPr>
                <w:color w:val="000000" w:themeColor="text1"/>
                <w14:textFill>
                  <w14:solidFill>
                    <w14:schemeClr w14:val="tx1"/>
                  </w14:solidFill>
                </w14:textFill>
              </w:rPr>
            </w:pPr>
            <w:bookmarkStart w:id="12" w:name="OLE_LINK13"/>
            <w:r>
              <w:rPr>
                <w:rFonts w:hint="eastAsia"/>
                <w:color w:val="000000" w:themeColor="text1"/>
                <w14:textFill>
                  <w14:solidFill>
                    <w14:schemeClr w14:val="tx1"/>
                  </w14:solidFill>
                </w14:textFill>
              </w:rPr>
              <w:t>（2）产品方案</w:t>
            </w:r>
          </w:p>
          <w:p w14:paraId="3866FDD6">
            <w:pPr>
              <w:ind w:firstLine="480"/>
              <w:rPr>
                <w:rFonts w:cs="Times New Roman"/>
                <w:bCs/>
                <w:szCs w:val="24"/>
              </w:rPr>
            </w:pPr>
            <w:r>
              <w:rPr>
                <w:rFonts w:hint="eastAsia"/>
                <w:bCs/>
              </w:rPr>
              <w:t>本项目产品及生产规模详见下表</w:t>
            </w:r>
            <w:r>
              <w:rPr>
                <w:rFonts w:hint="eastAsia" w:cs="Times New Roman"/>
                <w:bCs/>
                <w:szCs w:val="24"/>
              </w:rPr>
              <w:t>2</w:t>
            </w:r>
            <w:r>
              <w:rPr>
                <w:rFonts w:cs="Times New Roman"/>
                <w:bCs/>
                <w:szCs w:val="24"/>
              </w:rPr>
              <w:t>-3。</w:t>
            </w:r>
          </w:p>
          <w:p w14:paraId="6224DD59">
            <w:pPr>
              <w:pStyle w:val="37"/>
              <w:spacing w:before="163"/>
            </w:pPr>
            <w:r>
              <w:rPr>
                <w:rFonts w:hint="eastAsia"/>
              </w:rPr>
              <w:t>表</w:t>
            </w:r>
            <w:r>
              <w:t xml:space="preserve">2-3  </w:t>
            </w:r>
            <w:r>
              <w:rPr>
                <w:rFonts w:hint="eastAsia"/>
              </w:rPr>
              <w:t>产品方案一览表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86"/>
              <w:gridCol w:w="805"/>
              <w:gridCol w:w="978"/>
              <w:gridCol w:w="1267"/>
              <w:gridCol w:w="1126"/>
              <w:gridCol w:w="1689"/>
              <w:gridCol w:w="1850"/>
            </w:tblGrid>
            <w:tr w14:paraId="165BA3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353" w:type="pct"/>
                  <w:vAlign w:val="center"/>
                </w:tcPr>
                <w:p w14:paraId="3B4C7AAC">
                  <w:pPr>
                    <w:spacing w:line="240" w:lineRule="auto"/>
                    <w:ind w:firstLine="0" w:firstLineChars="0"/>
                    <w:contextualSpacing/>
                    <w:jc w:val="center"/>
                    <w:textAlignment w:val="auto"/>
                    <w:rPr>
                      <w:rFonts w:cs="Times New Roman"/>
                      <w:sz w:val="21"/>
                      <w:szCs w:val="21"/>
                    </w:rPr>
                  </w:pPr>
                  <w:r>
                    <w:rPr>
                      <w:rFonts w:hint="eastAsia" w:cs="Times New Roman"/>
                      <w:sz w:val="21"/>
                      <w:szCs w:val="21"/>
                    </w:rPr>
                    <w:t>序号</w:t>
                  </w:r>
                </w:p>
              </w:tc>
              <w:tc>
                <w:tcPr>
                  <w:tcW w:w="485" w:type="pct"/>
                  <w:vAlign w:val="center"/>
                </w:tcPr>
                <w:p w14:paraId="000ADC13">
                  <w:pPr>
                    <w:spacing w:line="240" w:lineRule="auto"/>
                    <w:ind w:firstLine="0" w:firstLineChars="0"/>
                    <w:contextualSpacing/>
                    <w:jc w:val="center"/>
                    <w:textAlignment w:val="auto"/>
                    <w:rPr>
                      <w:rFonts w:cs="Times New Roman"/>
                      <w:sz w:val="21"/>
                      <w:szCs w:val="21"/>
                    </w:rPr>
                  </w:pPr>
                  <w:r>
                    <w:rPr>
                      <w:rFonts w:hint="eastAsia" w:cs="Times New Roman"/>
                      <w:sz w:val="21"/>
                      <w:szCs w:val="21"/>
                    </w:rPr>
                    <w:t>产品类型</w:t>
                  </w:r>
                </w:p>
              </w:tc>
              <w:tc>
                <w:tcPr>
                  <w:tcW w:w="589" w:type="pct"/>
                  <w:vAlign w:val="center"/>
                </w:tcPr>
                <w:p w14:paraId="3BA9723C">
                  <w:pPr>
                    <w:spacing w:line="240" w:lineRule="auto"/>
                    <w:ind w:firstLine="0" w:firstLineChars="0"/>
                    <w:contextualSpacing/>
                    <w:jc w:val="center"/>
                    <w:textAlignment w:val="auto"/>
                    <w:rPr>
                      <w:rFonts w:cs="Times New Roman"/>
                      <w:sz w:val="21"/>
                      <w:szCs w:val="21"/>
                    </w:rPr>
                  </w:pPr>
                  <w:r>
                    <w:rPr>
                      <w:rFonts w:hint="eastAsia" w:cs="Times New Roman"/>
                      <w:sz w:val="21"/>
                      <w:szCs w:val="21"/>
                    </w:rPr>
                    <w:t>改建前产量</w:t>
                  </w:r>
                </w:p>
              </w:tc>
              <w:tc>
                <w:tcPr>
                  <w:tcW w:w="763" w:type="pct"/>
                  <w:vAlign w:val="center"/>
                </w:tcPr>
                <w:p w14:paraId="6E903D84">
                  <w:pPr>
                    <w:spacing w:line="240" w:lineRule="auto"/>
                    <w:ind w:firstLine="0" w:firstLineChars="0"/>
                    <w:contextualSpacing/>
                    <w:jc w:val="center"/>
                    <w:textAlignment w:val="auto"/>
                    <w:rPr>
                      <w:rFonts w:cs="Times New Roman"/>
                      <w:sz w:val="21"/>
                      <w:szCs w:val="21"/>
                    </w:rPr>
                  </w:pPr>
                  <w:r>
                    <w:rPr>
                      <w:rFonts w:hint="eastAsia" w:cs="Times New Roman"/>
                      <w:sz w:val="21"/>
                      <w:szCs w:val="21"/>
                    </w:rPr>
                    <w:t>改建后</w:t>
                  </w:r>
                </w:p>
                <w:p w14:paraId="2E94D0A3">
                  <w:pPr>
                    <w:spacing w:line="240" w:lineRule="auto"/>
                    <w:ind w:firstLine="0" w:firstLineChars="0"/>
                    <w:contextualSpacing/>
                    <w:jc w:val="center"/>
                    <w:textAlignment w:val="auto"/>
                    <w:rPr>
                      <w:rFonts w:cs="Times New Roman"/>
                      <w:sz w:val="21"/>
                      <w:szCs w:val="21"/>
                    </w:rPr>
                  </w:pPr>
                  <w:r>
                    <w:rPr>
                      <w:rFonts w:hint="eastAsia" w:cs="Times New Roman"/>
                      <w:sz w:val="21"/>
                      <w:szCs w:val="21"/>
                    </w:rPr>
                    <w:t>产量</w:t>
                  </w:r>
                </w:p>
              </w:tc>
              <w:tc>
                <w:tcPr>
                  <w:tcW w:w="678" w:type="pct"/>
                  <w:vAlign w:val="center"/>
                </w:tcPr>
                <w:p w14:paraId="6D7AA6E5">
                  <w:pPr>
                    <w:spacing w:line="240" w:lineRule="auto"/>
                    <w:ind w:firstLine="0" w:firstLineChars="0"/>
                    <w:contextualSpacing/>
                    <w:jc w:val="center"/>
                    <w:textAlignment w:val="auto"/>
                    <w:rPr>
                      <w:rFonts w:cs="Times New Roman"/>
                      <w:sz w:val="21"/>
                      <w:szCs w:val="21"/>
                    </w:rPr>
                  </w:pPr>
                  <w:r>
                    <w:rPr>
                      <w:rFonts w:hint="eastAsia" w:cs="Times New Roman"/>
                      <w:sz w:val="21"/>
                      <w:szCs w:val="21"/>
                    </w:rPr>
                    <w:t>变化量</w:t>
                  </w:r>
                </w:p>
              </w:tc>
              <w:tc>
                <w:tcPr>
                  <w:tcW w:w="1017" w:type="pct"/>
                  <w:vAlign w:val="center"/>
                </w:tcPr>
                <w:p w14:paraId="1E14D568">
                  <w:pPr>
                    <w:spacing w:line="240" w:lineRule="auto"/>
                    <w:ind w:firstLine="0" w:firstLineChars="0"/>
                    <w:contextualSpacing/>
                    <w:jc w:val="center"/>
                    <w:textAlignment w:val="auto"/>
                    <w:rPr>
                      <w:rFonts w:cs="Times New Roman"/>
                      <w:sz w:val="21"/>
                      <w:szCs w:val="21"/>
                    </w:rPr>
                  </w:pPr>
                  <w:r>
                    <w:rPr>
                      <w:rFonts w:hint="eastAsia" w:cs="Times New Roman"/>
                      <w:sz w:val="21"/>
                      <w:szCs w:val="21"/>
                    </w:rPr>
                    <w:t>储存方式</w:t>
                  </w:r>
                </w:p>
              </w:tc>
              <w:tc>
                <w:tcPr>
                  <w:tcW w:w="1114" w:type="pct"/>
                  <w:vAlign w:val="center"/>
                </w:tcPr>
                <w:p w14:paraId="204BC89B">
                  <w:pPr>
                    <w:spacing w:line="240" w:lineRule="auto"/>
                    <w:ind w:firstLine="0" w:firstLineChars="0"/>
                    <w:contextualSpacing/>
                    <w:jc w:val="center"/>
                    <w:textAlignment w:val="auto"/>
                    <w:rPr>
                      <w:rFonts w:cs="Times New Roman"/>
                      <w:sz w:val="21"/>
                      <w:szCs w:val="21"/>
                    </w:rPr>
                  </w:pPr>
                  <w:r>
                    <w:rPr>
                      <w:rFonts w:hint="eastAsia" w:cs="Times New Roman"/>
                      <w:sz w:val="21"/>
                      <w:szCs w:val="21"/>
                    </w:rPr>
                    <w:t>用途</w:t>
                  </w:r>
                </w:p>
              </w:tc>
            </w:tr>
            <w:tr w14:paraId="4F3214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353" w:type="pct"/>
                  <w:vAlign w:val="center"/>
                </w:tcPr>
                <w:p w14:paraId="54937A69">
                  <w:pPr>
                    <w:spacing w:line="240" w:lineRule="auto"/>
                    <w:ind w:firstLine="0" w:firstLineChars="0"/>
                    <w:contextualSpacing/>
                    <w:jc w:val="center"/>
                    <w:textAlignment w:val="auto"/>
                    <w:rPr>
                      <w:rFonts w:cs="Times New Roman"/>
                      <w:sz w:val="21"/>
                      <w:szCs w:val="21"/>
                    </w:rPr>
                  </w:pPr>
                  <w:r>
                    <w:rPr>
                      <w:rFonts w:cs="Times New Roman"/>
                      <w:sz w:val="21"/>
                      <w:szCs w:val="21"/>
                    </w:rPr>
                    <w:t>1</w:t>
                  </w:r>
                </w:p>
              </w:tc>
              <w:tc>
                <w:tcPr>
                  <w:tcW w:w="485" w:type="pct"/>
                  <w:vAlign w:val="center"/>
                </w:tcPr>
                <w:p w14:paraId="38CC0103">
                  <w:pPr>
                    <w:spacing w:line="240" w:lineRule="auto"/>
                    <w:ind w:firstLine="0" w:firstLineChars="0"/>
                    <w:contextualSpacing/>
                    <w:jc w:val="center"/>
                    <w:textAlignment w:val="auto"/>
                    <w:rPr>
                      <w:rFonts w:cs="Times New Roman"/>
                      <w:sz w:val="21"/>
                      <w:szCs w:val="21"/>
                    </w:rPr>
                  </w:pPr>
                  <w:r>
                    <w:rPr>
                      <w:rFonts w:hint="eastAsia" w:cs="Times New Roman"/>
                      <w:sz w:val="21"/>
                      <w:szCs w:val="21"/>
                    </w:rPr>
                    <w:t>丁烷</w:t>
                  </w:r>
                </w:p>
              </w:tc>
              <w:tc>
                <w:tcPr>
                  <w:tcW w:w="589" w:type="pct"/>
                  <w:vAlign w:val="center"/>
                </w:tcPr>
                <w:p w14:paraId="054F9507">
                  <w:pPr>
                    <w:spacing w:line="240" w:lineRule="auto"/>
                    <w:ind w:firstLine="0" w:firstLineChars="0"/>
                    <w:contextualSpacing/>
                    <w:jc w:val="center"/>
                    <w:textAlignment w:val="auto"/>
                    <w:rPr>
                      <w:rFonts w:cs="Times New Roman"/>
                      <w:sz w:val="21"/>
                      <w:szCs w:val="21"/>
                    </w:rPr>
                  </w:pPr>
                  <w:r>
                    <w:rPr>
                      <w:rFonts w:hint="eastAsia" w:cs="Times New Roman"/>
                      <w:sz w:val="21"/>
                      <w:szCs w:val="21"/>
                    </w:rPr>
                    <w:t>0</w:t>
                  </w:r>
                </w:p>
              </w:tc>
              <w:tc>
                <w:tcPr>
                  <w:tcW w:w="763" w:type="pct"/>
                  <w:vAlign w:val="center"/>
                </w:tcPr>
                <w:p w14:paraId="5914E537">
                  <w:pPr>
                    <w:spacing w:line="240" w:lineRule="auto"/>
                    <w:ind w:firstLine="0" w:firstLineChars="0"/>
                    <w:contextualSpacing/>
                    <w:jc w:val="center"/>
                    <w:textAlignment w:val="auto"/>
                    <w:rPr>
                      <w:rFonts w:cs="Times New Roman"/>
                      <w:sz w:val="21"/>
                      <w:szCs w:val="21"/>
                    </w:rPr>
                  </w:pPr>
                  <w:r>
                    <w:rPr>
                      <w:rFonts w:cs="Times New Roman"/>
                      <w:sz w:val="21"/>
                      <w:szCs w:val="21"/>
                    </w:rPr>
                    <w:t>1000</w:t>
                  </w:r>
                  <w:r>
                    <w:rPr>
                      <w:rFonts w:hint="eastAsia" w:cs="Times New Roman"/>
                      <w:sz w:val="21"/>
                      <w:szCs w:val="21"/>
                    </w:rPr>
                    <w:t>t/a</w:t>
                  </w:r>
                </w:p>
              </w:tc>
              <w:tc>
                <w:tcPr>
                  <w:tcW w:w="678" w:type="pct"/>
                  <w:vAlign w:val="center"/>
                </w:tcPr>
                <w:p w14:paraId="595E4334">
                  <w:pPr>
                    <w:spacing w:line="240" w:lineRule="auto"/>
                    <w:ind w:firstLine="0" w:firstLineChars="0"/>
                    <w:contextualSpacing/>
                    <w:jc w:val="center"/>
                    <w:textAlignment w:val="auto"/>
                    <w:rPr>
                      <w:rFonts w:cs="Times New Roman"/>
                      <w:sz w:val="21"/>
                      <w:szCs w:val="21"/>
                    </w:rPr>
                  </w:pPr>
                  <w:r>
                    <w:rPr>
                      <w:rFonts w:hint="eastAsia" w:cs="Times New Roman"/>
                      <w:sz w:val="21"/>
                      <w:szCs w:val="21"/>
                    </w:rPr>
                    <w:t>+</w:t>
                  </w:r>
                  <w:r>
                    <w:rPr>
                      <w:rFonts w:cs="Times New Roman"/>
                      <w:sz w:val="21"/>
                      <w:szCs w:val="21"/>
                    </w:rPr>
                    <w:t>1000</w:t>
                  </w:r>
                  <w:r>
                    <w:rPr>
                      <w:rFonts w:hint="eastAsia" w:cs="Times New Roman"/>
                      <w:sz w:val="21"/>
                      <w:szCs w:val="21"/>
                    </w:rPr>
                    <w:t>t/a</w:t>
                  </w:r>
                </w:p>
              </w:tc>
              <w:tc>
                <w:tcPr>
                  <w:tcW w:w="1017" w:type="pct"/>
                  <w:vAlign w:val="center"/>
                </w:tcPr>
                <w:p w14:paraId="11AA4740">
                  <w:pPr>
                    <w:spacing w:line="240" w:lineRule="auto"/>
                    <w:ind w:firstLine="0" w:firstLineChars="0"/>
                    <w:contextualSpacing/>
                    <w:jc w:val="center"/>
                    <w:textAlignment w:val="auto"/>
                    <w:rPr>
                      <w:rFonts w:cs="Times New Roman"/>
                      <w:sz w:val="21"/>
                      <w:szCs w:val="21"/>
                    </w:rPr>
                  </w:pPr>
                  <w:r>
                    <w:rPr>
                      <w:rFonts w:hint="eastAsia" w:cs="Times New Roman"/>
                      <w:sz w:val="21"/>
                      <w:szCs w:val="21"/>
                    </w:rPr>
                    <w:t>2</w:t>
                  </w:r>
                  <w:r>
                    <w:rPr>
                      <w:rFonts w:cs="Times New Roman"/>
                      <w:sz w:val="21"/>
                      <w:szCs w:val="21"/>
                    </w:rPr>
                    <w:t>台20m</w:t>
                  </w:r>
                  <w:r>
                    <w:rPr>
                      <w:rFonts w:cs="Times New Roman"/>
                      <w:sz w:val="21"/>
                      <w:szCs w:val="21"/>
                      <w:vertAlign w:val="superscript"/>
                    </w:rPr>
                    <w:t>3</w:t>
                  </w:r>
                  <w:r>
                    <w:rPr>
                      <w:rFonts w:cs="Times New Roman"/>
                      <w:sz w:val="21"/>
                      <w:szCs w:val="21"/>
                    </w:rPr>
                    <w:t>卧式埋地储罐</w:t>
                  </w:r>
                </w:p>
              </w:tc>
              <w:tc>
                <w:tcPr>
                  <w:tcW w:w="1114" w:type="pct"/>
                  <w:vMerge w:val="restart"/>
                  <w:vAlign w:val="center"/>
                </w:tcPr>
                <w:p w14:paraId="4C7C14AD">
                  <w:pPr>
                    <w:spacing w:line="240" w:lineRule="auto"/>
                    <w:ind w:firstLine="0" w:firstLineChars="0"/>
                    <w:contextualSpacing/>
                    <w:textAlignment w:val="auto"/>
                    <w:rPr>
                      <w:rFonts w:cs="Times New Roman"/>
                      <w:sz w:val="21"/>
                      <w:szCs w:val="21"/>
                    </w:rPr>
                  </w:pPr>
                  <w:r>
                    <w:rPr>
                      <w:rFonts w:hint="eastAsia" w:cs="Times New Roman"/>
                      <w:sz w:val="21"/>
                      <w:szCs w:val="21"/>
                    </w:rPr>
                    <w:t>主要服务于和静城区及周边区域的工业用气（钢板切割、水果发泡网生产助剂）</w:t>
                  </w:r>
                </w:p>
              </w:tc>
            </w:tr>
            <w:tr w14:paraId="78FECD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353" w:type="pct"/>
                  <w:vAlign w:val="center"/>
                </w:tcPr>
                <w:p w14:paraId="4F382371">
                  <w:pPr>
                    <w:spacing w:line="240" w:lineRule="auto"/>
                    <w:ind w:firstLine="0" w:firstLineChars="0"/>
                    <w:contextualSpacing/>
                    <w:jc w:val="center"/>
                    <w:textAlignment w:val="auto"/>
                    <w:rPr>
                      <w:rFonts w:cs="Times New Roman"/>
                      <w:sz w:val="21"/>
                      <w:szCs w:val="21"/>
                    </w:rPr>
                  </w:pPr>
                  <w:r>
                    <w:rPr>
                      <w:rFonts w:hint="eastAsia" w:cs="Times New Roman"/>
                      <w:sz w:val="21"/>
                      <w:szCs w:val="21"/>
                    </w:rPr>
                    <w:t>2</w:t>
                  </w:r>
                </w:p>
              </w:tc>
              <w:tc>
                <w:tcPr>
                  <w:tcW w:w="485" w:type="pct"/>
                  <w:vAlign w:val="center"/>
                </w:tcPr>
                <w:p w14:paraId="37B49565">
                  <w:pPr>
                    <w:spacing w:line="240" w:lineRule="auto"/>
                    <w:ind w:firstLine="0" w:firstLineChars="0"/>
                    <w:contextualSpacing/>
                    <w:jc w:val="center"/>
                    <w:textAlignment w:val="auto"/>
                    <w:rPr>
                      <w:rFonts w:cs="Times New Roman"/>
                      <w:sz w:val="21"/>
                      <w:szCs w:val="21"/>
                    </w:rPr>
                  </w:pPr>
                  <w:r>
                    <w:rPr>
                      <w:rFonts w:hint="eastAsia" w:cs="Times New Roman"/>
                      <w:sz w:val="21"/>
                      <w:szCs w:val="21"/>
                    </w:rPr>
                    <w:t>丙烷</w:t>
                  </w:r>
                </w:p>
              </w:tc>
              <w:tc>
                <w:tcPr>
                  <w:tcW w:w="589" w:type="pct"/>
                  <w:vAlign w:val="center"/>
                </w:tcPr>
                <w:p w14:paraId="25D41A63">
                  <w:pPr>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w:t>
                  </w:r>
                </w:p>
              </w:tc>
              <w:tc>
                <w:tcPr>
                  <w:tcW w:w="763" w:type="pct"/>
                  <w:vAlign w:val="center"/>
                </w:tcPr>
                <w:p w14:paraId="55050182">
                  <w:pPr>
                    <w:spacing w:line="240" w:lineRule="auto"/>
                    <w:ind w:firstLine="0" w:firstLineChars="0"/>
                    <w:contextualSpacing/>
                    <w:jc w:val="center"/>
                    <w:textAlignment w:val="auto"/>
                    <w:rPr>
                      <w:rFonts w:cs="Times New Roman"/>
                      <w:sz w:val="21"/>
                      <w:szCs w:val="21"/>
                    </w:rPr>
                  </w:pPr>
                  <w:r>
                    <w:rPr>
                      <w:rFonts w:cs="Times New Roman"/>
                      <w:sz w:val="21"/>
                      <w:szCs w:val="21"/>
                    </w:rPr>
                    <w:t>1000</w:t>
                  </w:r>
                  <w:r>
                    <w:rPr>
                      <w:rFonts w:hint="eastAsia" w:cs="Times New Roman"/>
                      <w:sz w:val="21"/>
                      <w:szCs w:val="21"/>
                    </w:rPr>
                    <w:t>t/a</w:t>
                  </w:r>
                </w:p>
              </w:tc>
              <w:tc>
                <w:tcPr>
                  <w:tcW w:w="678" w:type="pct"/>
                  <w:vAlign w:val="center"/>
                </w:tcPr>
                <w:p w14:paraId="43CD0BD6">
                  <w:pPr>
                    <w:spacing w:line="240" w:lineRule="auto"/>
                    <w:ind w:firstLine="0" w:firstLineChars="0"/>
                    <w:contextualSpacing/>
                    <w:jc w:val="center"/>
                    <w:textAlignment w:val="auto"/>
                    <w:rPr>
                      <w:rFonts w:cs="Times New Roman"/>
                      <w:sz w:val="21"/>
                      <w:szCs w:val="21"/>
                    </w:rPr>
                  </w:pPr>
                  <w:r>
                    <w:rPr>
                      <w:rFonts w:hint="eastAsia" w:cs="Times New Roman"/>
                      <w:sz w:val="21"/>
                      <w:szCs w:val="21"/>
                    </w:rPr>
                    <w:t>+</w:t>
                  </w:r>
                  <w:r>
                    <w:rPr>
                      <w:rFonts w:cs="Times New Roman"/>
                      <w:sz w:val="21"/>
                      <w:szCs w:val="21"/>
                    </w:rPr>
                    <w:t>1000</w:t>
                  </w:r>
                  <w:r>
                    <w:rPr>
                      <w:rFonts w:hint="eastAsia" w:cs="Times New Roman"/>
                      <w:sz w:val="21"/>
                      <w:szCs w:val="21"/>
                    </w:rPr>
                    <w:t>t/a</w:t>
                  </w:r>
                </w:p>
              </w:tc>
              <w:tc>
                <w:tcPr>
                  <w:tcW w:w="1017" w:type="pct"/>
                  <w:vAlign w:val="center"/>
                </w:tcPr>
                <w:p w14:paraId="3C17C53F">
                  <w:pPr>
                    <w:spacing w:line="240" w:lineRule="auto"/>
                    <w:ind w:firstLine="0" w:firstLineChars="0"/>
                    <w:contextualSpacing/>
                    <w:jc w:val="center"/>
                    <w:textAlignment w:val="auto"/>
                    <w:rPr>
                      <w:rFonts w:cs="Times New Roman"/>
                      <w:sz w:val="21"/>
                      <w:szCs w:val="21"/>
                    </w:rPr>
                  </w:pPr>
                  <w:r>
                    <w:rPr>
                      <w:rFonts w:hint="eastAsia" w:cs="Times New Roman"/>
                      <w:sz w:val="21"/>
                      <w:szCs w:val="21"/>
                    </w:rPr>
                    <w:t>2</w:t>
                  </w:r>
                  <w:r>
                    <w:rPr>
                      <w:rFonts w:cs="Times New Roman"/>
                      <w:sz w:val="21"/>
                      <w:szCs w:val="21"/>
                    </w:rPr>
                    <w:t>台20m</w:t>
                  </w:r>
                  <w:r>
                    <w:rPr>
                      <w:rFonts w:cs="Times New Roman"/>
                      <w:sz w:val="21"/>
                      <w:szCs w:val="21"/>
                      <w:vertAlign w:val="superscript"/>
                    </w:rPr>
                    <w:t>3</w:t>
                  </w:r>
                  <w:r>
                    <w:rPr>
                      <w:rFonts w:cs="Times New Roman"/>
                      <w:sz w:val="21"/>
                      <w:szCs w:val="21"/>
                    </w:rPr>
                    <w:t>卧式埋地储罐</w:t>
                  </w:r>
                </w:p>
              </w:tc>
              <w:tc>
                <w:tcPr>
                  <w:tcW w:w="1114" w:type="pct"/>
                  <w:vMerge w:val="continue"/>
                  <w:vAlign w:val="center"/>
                </w:tcPr>
                <w:p w14:paraId="76F6E6BD">
                  <w:pPr>
                    <w:spacing w:line="240" w:lineRule="auto"/>
                    <w:ind w:firstLine="0" w:firstLineChars="0"/>
                    <w:contextualSpacing/>
                    <w:jc w:val="center"/>
                    <w:textAlignment w:val="auto"/>
                    <w:rPr>
                      <w:rFonts w:cs="Times New Roman"/>
                      <w:sz w:val="21"/>
                      <w:szCs w:val="21"/>
                    </w:rPr>
                  </w:pPr>
                </w:p>
              </w:tc>
            </w:tr>
            <w:bookmarkEnd w:id="12"/>
          </w:tbl>
          <w:p w14:paraId="621431EA">
            <w:pPr>
              <w:pStyle w:val="3"/>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（3）主要设备</w:t>
            </w:r>
          </w:p>
          <w:p w14:paraId="3BCBC3FC">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项目主要生产设备见下表：</w:t>
            </w:r>
          </w:p>
          <w:p w14:paraId="132A7C8E">
            <w:pPr>
              <w:spacing w:line="240" w:lineRule="auto"/>
              <w:ind w:firstLine="0" w:firstLineChars="0"/>
              <w:jc w:val="center"/>
              <w:textAlignment w:val="auto"/>
              <w:rPr>
                <w:rFonts w:cs="Times New Roman"/>
                <w:b/>
                <w:bCs/>
                <w:color w:val="000000"/>
                <w:sz w:val="21"/>
                <w:szCs w:val="21"/>
              </w:rPr>
            </w:pPr>
            <w:r>
              <w:rPr>
                <w:rFonts w:cs="Times New Roman"/>
                <w:b/>
                <w:bCs/>
                <w:color w:val="000000"/>
                <w:sz w:val="21"/>
                <w:szCs w:val="21"/>
              </w:rPr>
              <w:t xml:space="preserve">表2-4  </w:t>
            </w:r>
            <w:r>
              <w:rPr>
                <w:rFonts w:hint="eastAsia" w:cs="Times New Roman"/>
                <w:b/>
                <w:bCs/>
                <w:color w:val="000000"/>
                <w:sz w:val="21"/>
                <w:szCs w:val="21"/>
              </w:rPr>
              <w:t>主要设备一览表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485"/>
              <w:gridCol w:w="717"/>
              <w:gridCol w:w="780"/>
              <w:gridCol w:w="1035"/>
              <w:gridCol w:w="1348"/>
              <w:gridCol w:w="1601"/>
              <w:gridCol w:w="731"/>
            </w:tblGrid>
            <w:tr w14:paraId="1140A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64" w:type="pct"/>
                  <w:vAlign w:val="center"/>
                </w:tcPr>
                <w:p w14:paraId="5FF91D8A">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序号</w:t>
                  </w:r>
                </w:p>
              </w:tc>
              <w:tc>
                <w:tcPr>
                  <w:tcW w:w="894" w:type="pct"/>
                  <w:vAlign w:val="center"/>
                </w:tcPr>
                <w:p w14:paraId="72EF1BAF">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名称</w:t>
                  </w:r>
                </w:p>
              </w:tc>
              <w:tc>
                <w:tcPr>
                  <w:tcW w:w="432" w:type="pct"/>
                  <w:vAlign w:val="center"/>
                </w:tcPr>
                <w:p w14:paraId="5A05FFA2">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单位</w:t>
                  </w:r>
                </w:p>
              </w:tc>
              <w:tc>
                <w:tcPr>
                  <w:tcW w:w="470" w:type="pct"/>
                  <w:vAlign w:val="center"/>
                </w:tcPr>
                <w:p w14:paraId="332CDBD2">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现有</w:t>
                  </w:r>
                </w:p>
                <w:p w14:paraId="5AF9C554">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数量</w:t>
                  </w:r>
                </w:p>
              </w:tc>
              <w:tc>
                <w:tcPr>
                  <w:tcW w:w="623" w:type="pct"/>
                  <w:vAlign w:val="center"/>
                </w:tcPr>
                <w:p w14:paraId="3B1410A4">
                  <w:pPr>
                    <w:widowControl/>
                    <w:spacing w:line="240" w:lineRule="auto"/>
                    <w:ind w:firstLine="0" w:firstLineChars="0"/>
                    <w:jc w:val="center"/>
                    <w:textAlignment w:val="auto"/>
                    <w:rPr>
                      <w:rFonts w:cs="Times New Roman"/>
                      <w:sz w:val="21"/>
                      <w:szCs w:val="21"/>
                    </w:rPr>
                  </w:pPr>
                  <w:r>
                    <w:rPr>
                      <w:rFonts w:hint="eastAsia" w:cs="Times New Roman"/>
                      <w:sz w:val="21"/>
                      <w:szCs w:val="21"/>
                    </w:rPr>
                    <w:t>改建后</w:t>
                  </w:r>
                </w:p>
                <w:p w14:paraId="0BCF375A">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数量</w:t>
                  </w:r>
                </w:p>
              </w:tc>
              <w:tc>
                <w:tcPr>
                  <w:tcW w:w="812" w:type="pct"/>
                  <w:vAlign w:val="center"/>
                </w:tcPr>
                <w:p w14:paraId="01253173">
                  <w:pPr>
                    <w:widowControl/>
                    <w:spacing w:line="240" w:lineRule="auto"/>
                    <w:ind w:firstLine="0" w:firstLineChars="0"/>
                    <w:jc w:val="center"/>
                    <w:textAlignment w:val="auto"/>
                    <w:rPr>
                      <w:rFonts w:cs="Times New Roman"/>
                      <w:color w:val="000000"/>
                      <w:kern w:val="0"/>
                      <w:sz w:val="21"/>
                      <w:szCs w:val="21"/>
                    </w:rPr>
                  </w:pPr>
                  <w:r>
                    <w:rPr>
                      <w:rFonts w:hint="eastAsia" w:cs="Times New Roman"/>
                      <w:sz w:val="21"/>
                      <w:szCs w:val="21"/>
                    </w:rPr>
                    <w:t>变化量</w:t>
                  </w:r>
                </w:p>
              </w:tc>
              <w:tc>
                <w:tcPr>
                  <w:tcW w:w="964" w:type="pct"/>
                  <w:vAlign w:val="center"/>
                </w:tcPr>
                <w:p w14:paraId="278B2E05">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型号及规格</w:t>
                  </w:r>
                </w:p>
              </w:tc>
              <w:tc>
                <w:tcPr>
                  <w:tcW w:w="440" w:type="pct"/>
                  <w:vAlign w:val="center"/>
                </w:tcPr>
                <w:p w14:paraId="217143BE">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备注</w:t>
                  </w:r>
                </w:p>
              </w:tc>
            </w:tr>
            <w:tr w14:paraId="68C56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64" w:type="pct"/>
                  <w:vAlign w:val="center"/>
                </w:tcPr>
                <w:p w14:paraId="78375B29">
                  <w:pPr>
                    <w:widowControl/>
                    <w:spacing w:line="240" w:lineRule="auto"/>
                    <w:ind w:firstLine="0" w:firstLineChars="0"/>
                    <w:jc w:val="center"/>
                    <w:textAlignment w:val="auto"/>
                    <w:rPr>
                      <w:rFonts w:cs="Times New Roman"/>
                      <w:bCs/>
                      <w:color w:val="000000"/>
                      <w:kern w:val="0"/>
                      <w:sz w:val="21"/>
                      <w:szCs w:val="21"/>
                    </w:rPr>
                  </w:pPr>
                  <w:r>
                    <w:rPr>
                      <w:rFonts w:cs="Times New Roman"/>
                      <w:bCs/>
                      <w:color w:val="000000"/>
                      <w:kern w:val="0"/>
                      <w:sz w:val="21"/>
                      <w:szCs w:val="21"/>
                    </w:rPr>
                    <w:t>1</w:t>
                  </w:r>
                </w:p>
              </w:tc>
              <w:tc>
                <w:tcPr>
                  <w:tcW w:w="894" w:type="pct"/>
                  <w:vAlign w:val="center"/>
                </w:tcPr>
                <w:p w14:paraId="7EB139A3">
                  <w:pPr>
                    <w:widowControl/>
                    <w:spacing w:line="240" w:lineRule="auto"/>
                    <w:ind w:firstLine="0" w:firstLineChars="0"/>
                    <w:jc w:val="center"/>
                    <w:textAlignment w:val="auto"/>
                    <w:rPr>
                      <w:rFonts w:cs="Times New Roman"/>
                      <w:bCs/>
                      <w:color w:val="000000"/>
                      <w:kern w:val="0"/>
                      <w:sz w:val="21"/>
                      <w:szCs w:val="21"/>
                    </w:rPr>
                  </w:pPr>
                  <w:r>
                    <w:rPr>
                      <w:rFonts w:hint="eastAsia" w:cs="Times New Roman"/>
                      <w:color w:val="000000"/>
                      <w:kern w:val="0"/>
                      <w:sz w:val="21"/>
                      <w:szCs w:val="21"/>
                    </w:rPr>
                    <w:t>丙烷卧式储罐</w:t>
                  </w:r>
                </w:p>
              </w:tc>
              <w:tc>
                <w:tcPr>
                  <w:tcW w:w="432" w:type="pct"/>
                  <w:vAlign w:val="center"/>
                </w:tcPr>
                <w:p w14:paraId="6FFD2B42">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台</w:t>
                  </w:r>
                </w:p>
              </w:tc>
              <w:tc>
                <w:tcPr>
                  <w:tcW w:w="470" w:type="pct"/>
                  <w:vAlign w:val="center"/>
                </w:tcPr>
                <w:p w14:paraId="5E71655B">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0</w:t>
                  </w:r>
                </w:p>
              </w:tc>
              <w:tc>
                <w:tcPr>
                  <w:tcW w:w="623" w:type="pct"/>
                  <w:vAlign w:val="center"/>
                </w:tcPr>
                <w:p w14:paraId="3F4A40EE">
                  <w:pPr>
                    <w:widowControl/>
                    <w:spacing w:line="240" w:lineRule="auto"/>
                    <w:ind w:firstLine="0" w:firstLineChars="0"/>
                    <w:jc w:val="center"/>
                    <w:textAlignment w:val="auto"/>
                    <w:rPr>
                      <w:rFonts w:cs="Times New Roman"/>
                      <w:bCs/>
                      <w:color w:val="000000"/>
                      <w:kern w:val="0"/>
                      <w:sz w:val="21"/>
                      <w:szCs w:val="21"/>
                    </w:rPr>
                  </w:pPr>
                  <w:r>
                    <w:rPr>
                      <w:rFonts w:cs="Times New Roman"/>
                      <w:bCs/>
                      <w:color w:val="000000"/>
                      <w:kern w:val="0"/>
                      <w:sz w:val="21"/>
                      <w:szCs w:val="21"/>
                    </w:rPr>
                    <w:t>2</w:t>
                  </w:r>
                </w:p>
              </w:tc>
              <w:tc>
                <w:tcPr>
                  <w:tcW w:w="812" w:type="pct"/>
                  <w:vAlign w:val="center"/>
                </w:tcPr>
                <w:p w14:paraId="51CDCFE8">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w:t>
                  </w:r>
                  <w:r>
                    <w:rPr>
                      <w:rFonts w:cs="Times New Roman"/>
                      <w:bCs/>
                      <w:color w:val="000000"/>
                      <w:kern w:val="0"/>
                      <w:sz w:val="21"/>
                      <w:szCs w:val="21"/>
                    </w:rPr>
                    <w:t>2</w:t>
                  </w:r>
                </w:p>
              </w:tc>
              <w:tc>
                <w:tcPr>
                  <w:tcW w:w="964" w:type="pct"/>
                  <w:vAlign w:val="center"/>
                </w:tcPr>
                <w:p w14:paraId="1EA9C161">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2</w:t>
                  </w:r>
                  <w:r>
                    <w:rPr>
                      <w:rFonts w:cs="Times New Roman"/>
                      <w:bCs/>
                      <w:color w:val="000000"/>
                      <w:kern w:val="0"/>
                      <w:sz w:val="21"/>
                      <w:szCs w:val="21"/>
                    </w:rPr>
                    <w:t>0m</w:t>
                  </w:r>
                  <w:r>
                    <w:rPr>
                      <w:rFonts w:cs="Times New Roman"/>
                      <w:bCs/>
                      <w:color w:val="000000"/>
                      <w:kern w:val="0"/>
                      <w:sz w:val="21"/>
                      <w:szCs w:val="21"/>
                      <w:vertAlign w:val="superscript"/>
                    </w:rPr>
                    <w:t>3</w:t>
                  </w:r>
                </w:p>
              </w:tc>
              <w:tc>
                <w:tcPr>
                  <w:tcW w:w="440" w:type="pct"/>
                  <w:vAlign w:val="center"/>
                </w:tcPr>
                <w:p w14:paraId="716C74AF">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新建</w:t>
                  </w:r>
                </w:p>
              </w:tc>
            </w:tr>
            <w:tr w14:paraId="5C6B3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64" w:type="pct"/>
                  <w:vAlign w:val="center"/>
                </w:tcPr>
                <w:p w14:paraId="77B10158">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2</w:t>
                  </w:r>
                </w:p>
              </w:tc>
              <w:tc>
                <w:tcPr>
                  <w:tcW w:w="894" w:type="pct"/>
                  <w:vAlign w:val="center"/>
                </w:tcPr>
                <w:p w14:paraId="5C8D7CE9">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丁烷卧式储罐</w:t>
                  </w:r>
                </w:p>
              </w:tc>
              <w:tc>
                <w:tcPr>
                  <w:tcW w:w="432" w:type="pct"/>
                  <w:vAlign w:val="center"/>
                </w:tcPr>
                <w:p w14:paraId="3AFDDEDF">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台</w:t>
                  </w:r>
                </w:p>
              </w:tc>
              <w:tc>
                <w:tcPr>
                  <w:tcW w:w="470" w:type="pct"/>
                  <w:vAlign w:val="center"/>
                </w:tcPr>
                <w:p w14:paraId="385BDDE4">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375C353E">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2</w:t>
                  </w:r>
                </w:p>
              </w:tc>
              <w:tc>
                <w:tcPr>
                  <w:tcW w:w="812" w:type="pct"/>
                  <w:vAlign w:val="center"/>
                </w:tcPr>
                <w:p w14:paraId="29497EE7">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w:t>
                  </w:r>
                  <w:r>
                    <w:rPr>
                      <w:rFonts w:cs="Times New Roman"/>
                      <w:bCs/>
                      <w:color w:val="000000"/>
                      <w:kern w:val="0"/>
                      <w:sz w:val="21"/>
                      <w:szCs w:val="21"/>
                    </w:rPr>
                    <w:t>2</w:t>
                  </w:r>
                </w:p>
              </w:tc>
              <w:tc>
                <w:tcPr>
                  <w:tcW w:w="964" w:type="pct"/>
                  <w:vAlign w:val="center"/>
                </w:tcPr>
                <w:p w14:paraId="677354F3">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2</w:t>
                  </w:r>
                  <w:r>
                    <w:rPr>
                      <w:rFonts w:cs="Times New Roman"/>
                      <w:bCs/>
                      <w:color w:val="000000"/>
                      <w:kern w:val="0"/>
                      <w:sz w:val="21"/>
                      <w:szCs w:val="21"/>
                    </w:rPr>
                    <w:t>0m</w:t>
                  </w:r>
                  <w:r>
                    <w:rPr>
                      <w:rFonts w:cs="Times New Roman"/>
                      <w:bCs/>
                      <w:color w:val="000000"/>
                      <w:kern w:val="0"/>
                      <w:sz w:val="21"/>
                      <w:szCs w:val="21"/>
                      <w:vertAlign w:val="superscript"/>
                    </w:rPr>
                    <w:t>3</w:t>
                  </w:r>
                </w:p>
              </w:tc>
              <w:tc>
                <w:tcPr>
                  <w:tcW w:w="440" w:type="pct"/>
                  <w:vAlign w:val="center"/>
                </w:tcPr>
                <w:p w14:paraId="4E8EEEC7">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新建</w:t>
                  </w:r>
                </w:p>
              </w:tc>
            </w:tr>
            <w:tr w14:paraId="7F851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17FD4203">
                  <w:pPr>
                    <w:widowControl/>
                    <w:spacing w:line="240" w:lineRule="auto"/>
                    <w:ind w:firstLine="0" w:firstLineChars="0"/>
                    <w:jc w:val="center"/>
                    <w:textAlignment w:val="auto"/>
                    <w:rPr>
                      <w:rFonts w:cs="Times New Roman"/>
                      <w:bCs/>
                      <w:color w:val="000000"/>
                      <w:kern w:val="0"/>
                      <w:sz w:val="21"/>
                      <w:szCs w:val="21"/>
                    </w:rPr>
                  </w:pPr>
                  <w:r>
                    <w:rPr>
                      <w:rFonts w:cs="Times New Roman"/>
                      <w:bCs/>
                      <w:color w:val="000000"/>
                      <w:kern w:val="0"/>
                      <w:sz w:val="21"/>
                      <w:szCs w:val="21"/>
                    </w:rPr>
                    <w:t>3</w:t>
                  </w:r>
                </w:p>
              </w:tc>
              <w:tc>
                <w:tcPr>
                  <w:tcW w:w="894" w:type="pct"/>
                  <w:vAlign w:val="center"/>
                </w:tcPr>
                <w:p w14:paraId="69DA3CD0">
                  <w:pPr>
                    <w:widowControl/>
                    <w:spacing w:line="240" w:lineRule="auto"/>
                    <w:ind w:firstLine="0" w:firstLineChars="0"/>
                    <w:textAlignment w:val="auto"/>
                    <w:rPr>
                      <w:rFonts w:cs="Times New Roman"/>
                      <w:bCs/>
                      <w:color w:val="000000"/>
                      <w:kern w:val="0"/>
                      <w:sz w:val="21"/>
                      <w:szCs w:val="21"/>
                    </w:rPr>
                  </w:pPr>
                  <w:r>
                    <w:rPr>
                      <w:rFonts w:hint="eastAsia" w:cs="Times New Roman"/>
                      <w:bCs/>
                      <w:color w:val="000000"/>
                      <w:kern w:val="0"/>
                      <w:sz w:val="21"/>
                      <w:szCs w:val="21"/>
                    </w:rPr>
                    <w:t>残液罐（卧式）</w:t>
                  </w:r>
                </w:p>
              </w:tc>
              <w:tc>
                <w:tcPr>
                  <w:tcW w:w="432" w:type="pct"/>
                  <w:vAlign w:val="center"/>
                </w:tcPr>
                <w:p w14:paraId="745BDB97">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台</w:t>
                  </w:r>
                </w:p>
              </w:tc>
              <w:tc>
                <w:tcPr>
                  <w:tcW w:w="470" w:type="pct"/>
                  <w:vAlign w:val="center"/>
                </w:tcPr>
                <w:p w14:paraId="03041C81">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4FC64306">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1</w:t>
                  </w:r>
                </w:p>
              </w:tc>
              <w:tc>
                <w:tcPr>
                  <w:tcW w:w="812" w:type="pct"/>
                  <w:vAlign w:val="center"/>
                </w:tcPr>
                <w:p w14:paraId="30F24505">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+1</w:t>
                  </w:r>
                </w:p>
              </w:tc>
              <w:tc>
                <w:tcPr>
                  <w:tcW w:w="964" w:type="pct"/>
                  <w:vAlign w:val="center"/>
                </w:tcPr>
                <w:p w14:paraId="040625F0">
                  <w:pPr>
                    <w:widowControl/>
                    <w:spacing w:line="240" w:lineRule="auto"/>
                    <w:ind w:firstLine="0" w:firstLineChars="0"/>
                    <w:jc w:val="center"/>
                    <w:textAlignment w:val="auto"/>
                    <w:rPr>
                      <w:rFonts w:cs="Times New Roman"/>
                      <w:color w:val="000000"/>
                      <w:kern w:val="0"/>
                      <w:sz w:val="21"/>
                      <w:szCs w:val="21"/>
                    </w:rPr>
                  </w:pPr>
                  <w:r>
                    <w:rPr>
                      <w:rFonts w:cs="Times New Roman"/>
                      <w:bCs/>
                      <w:color w:val="000000"/>
                      <w:kern w:val="0"/>
                      <w:sz w:val="21"/>
                      <w:szCs w:val="21"/>
                    </w:rPr>
                    <w:t>5m</w:t>
                  </w:r>
                  <w:r>
                    <w:rPr>
                      <w:rFonts w:cs="Times New Roman"/>
                      <w:bCs/>
                      <w:color w:val="000000"/>
                      <w:kern w:val="0"/>
                      <w:sz w:val="21"/>
                      <w:szCs w:val="21"/>
                      <w:vertAlign w:val="superscript"/>
                    </w:rPr>
                    <w:t>3</w:t>
                  </w:r>
                </w:p>
              </w:tc>
              <w:tc>
                <w:tcPr>
                  <w:tcW w:w="440" w:type="pct"/>
                  <w:vAlign w:val="center"/>
                </w:tcPr>
                <w:p w14:paraId="7AEA09C1">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新建</w:t>
                  </w:r>
                </w:p>
              </w:tc>
            </w:tr>
            <w:tr w14:paraId="48994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3029EB8F">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4</w:t>
                  </w:r>
                </w:p>
              </w:tc>
              <w:tc>
                <w:tcPr>
                  <w:tcW w:w="894" w:type="pct"/>
                  <w:vAlign w:val="center"/>
                </w:tcPr>
                <w:p w14:paraId="533E9567">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压缩机</w:t>
                  </w:r>
                </w:p>
              </w:tc>
              <w:tc>
                <w:tcPr>
                  <w:tcW w:w="432" w:type="pct"/>
                  <w:vAlign w:val="center"/>
                </w:tcPr>
                <w:p w14:paraId="22F6830F">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台</w:t>
                  </w:r>
                </w:p>
              </w:tc>
              <w:tc>
                <w:tcPr>
                  <w:tcW w:w="470" w:type="pct"/>
                  <w:vAlign w:val="center"/>
                </w:tcPr>
                <w:p w14:paraId="660EACD7">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1</w:t>
                  </w:r>
                </w:p>
              </w:tc>
              <w:tc>
                <w:tcPr>
                  <w:tcW w:w="623" w:type="pct"/>
                  <w:vAlign w:val="center"/>
                </w:tcPr>
                <w:p w14:paraId="5C099E81">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5</w:t>
                  </w:r>
                </w:p>
              </w:tc>
              <w:tc>
                <w:tcPr>
                  <w:tcW w:w="812" w:type="pct"/>
                  <w:vAlign w:val="center"/>
                </w:tcPr>
                <w:p w14:paraId="367AA8CC">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w:t>
                  </w:r>
                  <w:r>
                    <w:rPr>
                      <w:rFonts w:hint="eastAsia" w:cs="Times New Roman"/>
                      <w:color w:val="000000"/>
                      <w:kern w:val="0"/>
                      <w:sz w:val="21"/>
                      <w:szCs w:val="21"/>
                    </w:rPr>
                    <w:t>4</w:t>
                  </w:r>
                </w:p>
              </w:tc>
              <w:tc>
                <w:tcPr>
                  <w:tcW w:w="964" w:type="pct"/>
                  <w:vAlign w:val="center"/>
                </w:tcPr>
                <w:p w14:paraId="78129200">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ZW1.0/10-16</w:t>
                  </w:r>
                </w:p>
              </w:tc>
              <w:tc>
                <w:tcPr>
                  <w:tcW w:w="440" w:type="pct"/>
                  <w:vAlign w:val="center"/>
                </w:tcPr>
                <w:p w14:paraId="7B7813B7">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新建</w:t>
                  </w:r>
                </w:p>
              </w:tc>
            </w:tr>
            <w:tr w14:paraId="1D208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3C5D3BA2">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5</w:t>
                  </w:r>
                </w:p>
              </w:tc>
              <w:tc>
                <w:tcPr>
                  <w:tcW w:w="894" w:type="pct"/>
                  <w:vAlign w:val="center"/>
                </w:tcPr>
                <w:p w14:paraId="5FC58C04">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充装泵</w:t>
                  </w:r>
                </w:p>
              </w:tc>
              <w:tc>
                <w:tcPr>
                  <w:tcW w:w="432" w:type="pct"/>
                  <w:vAlign w:val="center"/>
                </w:tcPr>
                <w:p w14:paraId="3899714F">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台</w:t>
                  </w:r>
                </w:p>
              </w:tc>
              <w:tc>
                <w:tcPr>
                  <w:tcW w:w="470" w:type="pct"/>
                  <w:vAlign w:val="center"/>
                </w:tcPr>
                <w:p w14:paraId="719CC734">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2692F820">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4</w:t>
                  </w:r>
                </w:p>
              </w:tc>
              <w:tc>
                <w:tcPr>
                  <w:tcW w:w="812" w:type="pct"/>
                  <w:vAlign w:val="center"/>
                </w:tcPr>
                <w:p w14:paraId="1418B207">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w:t>
                  </w:r>
                  <w:r>
                    <w:rPr>
                      <w:rFonts w:hint="eastAsia" w:cs="Times New Roman"/>
                      <w:color w:val="000000"/>
                      <w:kern w:val="0"/>
                      <w:sz w:val="21"/>
                      <w:szCs w:val="21"/>
                    </w:rPr>
                    <w:t>4</w:t>
                  </w:r>
                </w:p>
              </w:tc>
              <w:tc>
                <w:tcPr>
                  <w:tcW w:w="964" w:type="pct"/>
                  <w:vAlign w:val="center"/>
                </w:tcPr>
                <w:p w14:paraId="6F459C31">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YQH8-9</w:t>
                  </w:r>
                </w:p>
              </w:tc>
              <w:tc>
                <w:tcPr>
                  <w:tcW w:w="440" w:type="pct"/>
                  <w:vAlign w:val="center"/>
                </w:tcPr>
                <w:p w14:paraId="5C860952">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新建</w:t>
                  </w:r>
                </w:p>
              </w:tc>
            </w:tr>
            <w:tr w14:paraId="6FEC8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034E8CA4">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6</w:t>
                  </w:r>
                </w:p>
              </w:tc>
              <w:tc>
                <w:tcPr>
                  <w:tcW w:w="894" w:type="pct"/>
                  <w:vAlign w:val="center"/>
                </w:tcPr>
                <w:p w14:paraId="777629CB">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电子充装秤</w:t>
                  </w:r>
                </w:p>
              </w:tc>
              <w:tc>
                <w:tcPr>
                  <w:tcW w:w="432" w:type="pct"/>
                  <w:vAlign w:val="center"/>
                </w:tcPr>
                <w:p w14:paraId="0B2E5620">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台</w:t>
                  </w:r>
                </w:p>
              </w:tc>
              <w:tc>
                <w:tcPr>
                  <w:tcW w:w="470" w:type="pct"/>
                  <w:vAlign w:val="center"/>
                </w:tcPr>
                <w:p w14:paraId="0BAABA1B">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2FB2654B">
                  <w:pPr>
                    <w:widowControl/>
                    <w:spacing w:line="240" w:lineRule="auto"/>
                    <w:ind w:firstLine="0" w:firstLineChars="0"/>
                    <w:jc w:val="center"/>
                    <w:textAlignment w:val="auto"/>
                    <w:rPr>
                      <w:rFonts w:cs="Times New Roman"/>
                      <w:color w:val="000000"/>
                      <w:kern w:val="0"/>
                      <w:sz w:val="21"/>
                      <w:szCs w:val="21"/>
                    </w:rPr>
                  </w:pPr>
                  <w:r>
                    <w:rPr>
                      <w:rFonts w:cs="Times New Roman"/>
                      <w:color w:val="000000"/>
                      <w:kern w:val="0"/>
                      <w:sz w:val="21"/>
                      <w:szCs w:val="21"/>
                    </w:rPr>
                    <w:t>4</w:t>
                  </w:r>
                </w:p>
              </w:tc>
              <w:tc>
                <w:tcPr>
                  <w:tcW w:w="812" w:type="pct"/>
                  <w:vAlign w:val="center"/>
                </w:tcPr>
                <w:p w14:paraId="4ADE4D8A">
                  <w:pPr>
                    <w:widowControl/>
                    <w:spacing w:line="240" w:lineRule="auto"/>
                    <w:ind w:firstLine="0" w:firstLineChars="0"/>
                    <w:jc w:val="center"/>
                    <w:textAlignment w:val="auto"/>
                    <w:rPr>
                      <w:rFonts w:cs="Times New Roman"/>
                      <w:color w:val="000000"/>
                      <w:kern w:val="0"/>
                      <w:sz w:val="21"/>
                      <w:szCs w:val="21"/>
                    </w:rPr>
                  </w:pPr>
                  <w:r>
                    <w:rPr>
                      <w:rFonts w:hint="eastAsia" w:cs="Times New Roman"/>
                      <w:bCs/>
                      <w:color w:val="000000"/>
                      <w:kern w:val="0"/>
                      <w:sz w:val="21"/>
                      <w:szCs w:val="21"/>
                    </w:rPr>
                    <w:t>+</w:t>
                  </w:r>
                  <w:r>
                    <w:rPr>
                      <w:rFonts w:hint="eastAsia" w:cs="Times New Roman"/>
                      <w:color w:val="000000"/>
                      <w:kern w:val="0"/>
                      <w:sz w:val="21"/>
                      <w:szCs w:val="21"/>
                    </w:rPr>
                    <w:t>4</w:t>
                  </w:r>
                </w:p>
              </w:tc>
              <w:tc>
                <w:tcPr>
                  <w:tcW w:w="964" w:type="pct"/>
                  <w:vAlign w:val="center"/>
                </w:tcPr>
                <w:p w14:paraId="69E4ACA9">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w:t>
                  </w:r>
                </w:p>
              </w:tc>
              <w:tc>
                <w:tcPr>
                  <w:tcW w:w="440" w:type="pct"/>
                  <w:vAlign w:val="center"/>
                </w:tcPr>
                <w:p w14:paraId="04C0B500">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新建</w:t>
                  </w:r>
                </w:p>
              </w:tc>
            </w:tr>
            <w:tr w14:paraId="6B036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298EB7A1">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7</w:t>
                  </w:r>
                </w:p>
              </w:tc>
              <w:tc>
                <w:tcPr>
                  <w:tcW w:w="894" w:type="pct"/>
                  <w:vAlign w:val="center"/>
                </w:tcPr>
                <w:p w14:paraId="632769DD">
                  <w:pPr>
                    <w:widowControl/>
                    <w:spacing w:line="240" w:lineRule="auto"/>
                    <w:ind w:firstLine="0" w:firstLineChars="0"/>
                    <w:jc w:val="center"/>
                    <w:textAlignment w:val="auto"/>
                    <w:rPr>
                      <w:rFonts w:cs="Times New Roman"/>
                      <w:color w:val="000000"/>
                      <w:kern w:val="0"/>
                      <w:sz w:val="21"/>
                      <w:szCs w:val="21"/>
                    </w:rPr>
                  </w:pPr>
                  <w:r>
                    <w:rPr>
                      <w:rFonts w:cs="Times New Roman"/>
                      <w:sz w:val="21"/>
                      <w:szCs w:val="21"/>
                    </w:rPr>
                    <w:t>乙炔钢瓶</w:t>
                  </w:r>
                  <w:r>
                    <w:rPr>
                      <w:rFonts w:hint="eastAsia" w:cs="Times New Roman"/>
                      <w:sz w:val="21"/>
                      <w:szCs w:val="21"/>
                    </w:rPr>
                    <w:t>（实瓶、40L）</w:t>
                  </w:r>
                </w:p>
              </w:tc>
              <w:tc>
                <w:tcPr>
                  <w:tcW w:w="432" w:type="pct"/>
                  <w:vAlign w:val="center"/>
                </w:tcPr>
                <w:p w14:paraId="7A151CF9">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瓶</w:t>
                  </w:r>
                </w:p>
              </w:tc>
              <w:tc>
                <w:tcPr>
                  <w:tcW w:w="470" w:type="pct"/>
                  <w:vAlign w:val="center"/>
                </w:tcPr>
                <w:p w14:paraId="1705668F">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453C3738">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5</w:t>
                  </w:r>
                  <w:r>
                    <w:rPr>
                      <w:rFonts w:cs="Times New Roman"/>
                      <w:color w:val="000000"/>
                      <w:kern w:val="0"/>
                      <w:sz w:val="21"/>
                      <w:szCs w:val="21"/>
                    </w:rPr>
                    <w:t>00</w:t>
                  </w:r>
                </w:p>
              </w:tc>
              <w:tc>
                <w:tcPr>
                  <w:tcW w:w="812" w:type="pct"/>
                  <w:vAlign w:val="center"/>
                </w:tcPr>
                <w:p w14:paraId="321F2CD2">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w:t>
                  </w:r>
                  <w:r>
                    <w:rPr>
                      <w:rFonts w:cs="Times New Roman"/>
                      <w:bCs/>
                      <w:color w:val="000000"/>
                      <w:kern w:val="0"/>
                      <w:sz w:val="21"/>
                      <w:szCs w:val="21"/>
                    </w:rPr>
                    <w:t>500</w:t>
                  </w:r>
                </w:p>
              </w:tc>
              <w:tc>
                <w:tcPr>
                  <w:tcW w:w="964" w:type="pct"/>
                  <w:vAlign w:val="center"/>
                </w:tcPr>
                <w:p w14:paraId="71074715">
                  <w:pPr>
                    <w:widowControl/>
                    <w:spacing w:line="240" w:lineRule="auto"/>
                    <w:ind w:firstLine="0" w:firstLineChars="0"/>
                    <w:jc w:val="center"/>
                    <w:textAlignment w:val="auto"/>
                    <w:rPr>
                      <w:rFonts w:cs="Times New Roman"/>
                      <w:color w:val="000000"/>
                      <w:kern w:val="0"/>
                      <w:sz w:val="21"/>
                      <w:szCs w:val="21"/>
                    </w:rPr>
                  </w:pPr>
                  <w:r>
                    <w:rPr>
                      <w:rFonts w:cs="Times New Roman"/>
                      <w:sz w:val="21"/>
                      <w:szCs w:val="21"/>
                    </w:rPr>
                    <w:t>40L/瓶</w:t>
                  </w:r>
                </w:p>
              </w:tc>
              <w:tc>
                <w:tcPr>
                  <w:tcW w:w="440" w:type="pct"/>
                  <w:vAlign w:val="center"/>
                </w:tcPr>
                <w:p w14:paraId="3F3EE5D1">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sz w:val="21"/>
                      <w:szCs w:val="21"/>
                    </w:rPr>
                    <w:t>特种设备</w:t>
                  </w:r>
                </w:p>
              </w:tc>
            </w:tr>
            <w:tr w14:paraId="6D7BE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0157F8CC">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8</w:t>
                  </w:r>
                </w:p>
              </w:tc>
              <w:tc>
                <w:tcPr>
                  <w:tcW w:w="894" w:type="pct"/>
                  <w:vAlign w:val="center"/>
                </w:tcPr>
                <w:p w14:paraId="26F05DF6">
                  <w:pPr>
                    <w:widowControl/>
                    <w:spacing w:line="240" w:lineRule="auto"/>
                    <w:ind w:firstLine="0" w:firstLineChars="0"/>
                    <w:jc w:val="center"/>
                    <w:textAlignment w:val="auto"/>
                    <w:rPr>
                      <w:rFonts w:cs="Times New Roman"/>
                      <w:sz w:val="21"/>
                      <w:szCs w:val="21"/>
                    </w:rPr>
                  </w:pPr>
                  <w:r>
                    <w:rPr>
                      <w:rFonts w:hint="eastAsia" w:cs="Times New Roman"/>
                      <w:sz w:val="21"/>
                      <w:szCs w:val="21"/>
                    </w:rPr>
                    <w:t>氧气</w:t>
                  </w:r>
                  <w:r>
                    <w:rPr>
                      <w:rFonts w:cs="Times New Roman"/>
                      <w:sz w:val="21"/>
                      <w:szCs w:val="21"/>
                    </w:rPr>
                    <w:t>钢瓶</w:t>
                  </w:r>
                  <w:r>
                    <w:rPr>
                      <w:rFonts w:hint="eastAsia" w:cs="Times New Roman"/>
                      <w:sz w:val="21"/>
                      <w:szCs w:val="21"/>
                    </w:rPr>
                    <w:t>（实瓶、40L）</w:t>
                  </w:r>
                </w:p>
              </w:tc>
              <w:tc>
                <w:tcPr>
                  <w:tcW w:w="432" w:type="pct"/>
                  <w:vAlign w:val="center"/>
                </w:tcPr>
                <w:p w14:paraId="6E517484">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瓶</w:t>
                  </w:r>
                </w:p>
              </w:tc>
              <w:tc>
                <w:tcPr>
                  <w:tcW w:w="470" w:type="pct"/>
                  <w:vAlign w:val="center"/>
                </w:tcPr>
                <w:p w14:paraId="45EFE29A">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1ED50CBB">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3</w:t>
                  </w:r>
                  <w:r>
                    <w:rPr>
                      <w:rFonts w:cs="Times New Roman"/>
                      <w:color w:val="000000"/>
                      <w:kern w:val="0"/>
                      <w:sz w:val="21"/>
                      <w:szCs w:val="21"/>
                    </w:rPr>
                    <w:t>000</w:t>
                  </w:r>
                </w:p>
              </w:tc>
              <w:tc>
                <w:tcPr>
                  <w:tcW w:w="812" w:type="pct"/>
                  <w:vAlign w:val="center"/>
                </w:tcPr>
                <w:p w14:paraId="6E563327">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w:t>
                  </w:r>
                  <w:r>
                    <w:rPr>
                      <w:rFonts w:cs="Times New Roman"/>
                      <w:bCs/>
                      <w:color w:val="000000"/>
                      <w:kern w:val="0"/>
                      <w:sz w:val="21"/>
                      <w:szCs w:val="21"/>
                    </w:rPr>
                    <w:t>3000</w:t>
                  </w:r>
                </w:p>
              </w:tc>
              <w:tc>
                <w:tcPr>
                  <w:tcW w:w="964" w:type="pct"/>
                  <w:vAlign w:val="center"/>
                </w:tcPr>
                <w:p w14:paraId="7BF55B78">
                  <w:pPr>
                    <w:widowControl/>
                    <w:spacing w:line="240" w:lineRule="auto"/>
                    <w:ind w:firstLine="0" w:firstLineChars="0"/>
                    <w:jc w:val="center"/>
                    <w:textAlignment w:val="auto"/>
                    <w:rPr>
                      <w:rFonts w:cs="Times New Roman"/>
                      <w:color w:val="000000"/>
                      <w:kern w:val="0"/>
                      <w:sz w:val="21"/>
                      <w:szCs w:val="21"/>
                    </w:rPr>
                  </w:pPr>
                  <w:r>
                    <w:rPr>
                      <w:rFonts w:cs="Times New Roman"/>
                      <w:sz w:val="21"/>
                      <w:szCs w:val="21"/>
                    </w:rPr>
                    <w:t>40L/瓶</w:t>
                  </w:r>
                </w:p>
              </w:tc>
              <w:tc>
                <w:tcPr>
                  <w:tcW w:w="440" w:type="pct"/>
                  <w:vAlign w:val="center"/>
                </w:tcPr>
                <w:p w14:paraId="0EC317FD">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sz w:val="21"/>
                      <w:szCs w:val="21"/>
                    </w:rPr>
                    <w:t>特种设备</w:t>
                  </w:r>
                </w:p>
              </w:tc>
            </w:tr>
            <w:tr w14:paraId="639A2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64" w:type="pct"/>
                  <w:vAlign w:val="center"/>
                </w:tcPr>
                <w:p w14:paraId="263E8902">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9</w:t>
                  </w:r>
                </w:p>
              </w:tc>
              <w:tc>
                <w:tcPr>
                  <w:tcW w:w="894" w:type="pct"/>
                  <w:vAlign w:val="center"/>
                </w:tcPr>
                <w:p w14:paraId="481AC5F4">
                  <w:pPr>
                    <w:widowControl/>
                    <w:spacing w:line="240" w:lineRule="auto"/>
                    <w:ind w:firstLine="0" w:firstLineChars="0"/>
                    <w:textAlignment w:val="auto"/>
                    <w:rPr>
                      <w:rFonts w:cs="Times New Roman"/>
                      <w:sz w:val="21"/>
                      <w:szCs w:val="21"/>
                    </w:rPr>
                  </w:pPr>
                  <w:r>
                    <w:rPr>
                      <w:rFonts w:hint="eastAsia" w:cs="Times New Roman"/>
                      <w:sz w:val="21"/>
                      <w:szCs w:val="21"/>
                    </w:rPr>
                    <w:t>二氧化碳</w:t>
                  </w:r>
                  <w:r>
                    <w:rPr>
                      <w:rFonts w:cs="Times New Roman"/>
                      <w:sz w:val="21"/>
                      <w:szCs w:val="21"/>
                    </w:rPr>
                    <w:t>钢瓶</w:t>
                  </w:r>
                  <w:r>
                    <w:rPr>
                      <w:rFonts w:hint="eastAsia" w:cs="Times New Roman"/>
                      <w:sz w:val="21"/>
                      <w:szCs w:val="21"/>
                    </w:rPr>
                    <w:t>（实瓶、40L）</w:t>
                  </w:r>
                </w:p>
              </w:tc>
              <w:tc>
                <w:tcPr>
                  <w:tcW w:w="432" w:type="pct"/>
                  <w:vAlign w:val="center"/>
                </w:tcPr>
                <w:p w14:paraId="4628EC45">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瓶</w:t>
                  </w:r>
                </w:p>
              </w:tc>
              <w:tc>
                <w:tcPr>
                  <w:tcW w:w="470" w:type="pct"/>
                  <w:vAlign w:val="center"/>
                </w:tcPr>
                <w:p w14:paraId="2AFCE99C">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0</w:t>
                  </w:r>
                </w:p>
              </w:tc>
              <w:tc>
                <w:tcPr>
                  <w:tcW w:w="623" w:type="pct"/>
                  <w:vAlign w:val="center"/>
                </w:tcPr>
                <w:p w14:paraId="439AD7A5">
                  <w:pPr>
                    <w:widowControl/>
                    <w:spacing w:line="240" w:lineRule="auto"/>
                    <w:ind w:firstLine="0" w:firstLineChars="0"/>
                    <w:jc w:val="center"/>
                    <w:textAlignment w:val="auto"/>
                    <w:rPr>
                      <w:rFonts w:cs="Times New Roman"/>
                      <w:color w:val="000000"/>
                      <w:kern w:val="0"/>
                      <w:sz w:val="21"/>
                      <w:szCs w:val="21"/>
                    </w:rPr>
                  </w:pPr>
                  <w:r>
                    <w:rPr>
                      <w:rFonts w:hint="eastAsia" w:cs="Times New Roman"/>
                      <w:color w:val="000000"/>
                      <w:kern w:val="0"/>
                      <w:sz w:val="21"/>
                      <w:szCs w:val="21"/>
                    </w:rPr>
                    <w:t>5</w:t>
                  </w:r>
                  <w:r>
                    <w:rPr>
                      <w:rFonts w:cs="Times New Roman"/>
                      <w:color w:val="000000"/>
                      <w:kern w:val="0"/>
                      <w:sz w:val="21"/>
                      <w:szCs w:val="21"/>
                    </w:rPr>
                    <w:t>000</w:t>
                  </w:r>
                </w:p>
              </w:tc>
              <w:tc>
                <w:tcPr>
                  <w:tcW w:w="812" w:type="pct"/>
                  <w:vAlign w:val="center"/>
                </w:tcPr>
                <w:p w14:paraId="264FA3D8">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color w:val="000000"/>
                      <w:kern w:val="0"/>
                      <w:sz w:val="21"/>
                      <w:szCs w:val="21"/>
                    </w:rPr>
                    <w:t>+</w:t>
                  </w:r>
                  <w:r>
                    <w:rPr>
                      <w:rFonts w:cs="Times New Roman"/>
                      <w:bCs/>
                      <w:color w:val="000000"/>
                      <w:kern w:val="0"/>
                      <w:sz w:val="21"/>
                      <w:szCs w:val="21"/>
                    </w:rPr>
                    <w:t>5000</w:t>
                  </w:r>
                </w:p>
              </w:tc>
              <w:tc>
                <w:tcPr>
                  <w:tcW w:w="964" w:type="pct"/>
                  <w:vAlign w:val="center"/>
                </w:tcPr>
                <w:p w14:paraId="584D5335">
                  <w:pPr>
                    <w:widowControl/>
                    <w:spacing w:line="240" w:lineRule="auto"/>
                    <w:ind w:firstLine="0" w:firstLineChars="0"/>
                    <w:jc w:val="center"/>
                    <w:textAlignment w:val="auto"/>
                    <w:rPr>
                      <w:rFonts w:cs="Times New Roman"/>
                      <w:color w:val="000000"/>
                      <w:kern w:val="0"/>
                      <w:sz w:val="21"/>
                      <w:szCs w:val="21"/>
                    </w:rPr>
                  </w:pPr>
                  <w:r>
                    <w:rPr>
                      <w:rFonts w:cs="Times New Roman"/>
                      <w:sz w:val="21"/>
                      <w:szCs w:val="21"/>
                    </w:rPr>
                    <w:t>40L/瓶</w:t>
                  </w:r>
                </w:p>
              </w:tc>
              <w:tc>
                <w:tcPr>
                  <w:tcW w:w="440" w:type="pct"/>
                  <w:vAlign w:val="center"/>
                </w:tcPr>
                <w:p w14:paraId="297E0BDF">
                  <w:pPr>
                    <w:widowControl/>
                    <w:spacing w:line="240" w:lineRule="auto"/>
                    <w:ind w:firstLine="0" w:firstLineChars="0"/>
                    <w:jc w:val="center"/>
                    <w:textAlignment w:val="auto"/>
                    <w:rPr>
                      <w:rFonts w:cs="Times New Roman"/>
                      <w:bCs/>
                      <w:color w:val="000000"/>
                      <w:kern w:val="0"/>
                      <w:sz w:val="21"/>
                      <w:szCs w:val="21"/>
                    </w:rPr>
                  </w:pPr>
                  <w:r>
                    <w:rPr>
                      <w:rFonts w:hint="eastAsia" w:cs="Times New Roman"/>
                      <w:bCs/>
                      <w:sz w:val="21"/>
                      <w:szCs w:val="21"/>
                    </w:rPr>
                    <w:t>特种设备</w:t>
                  </w:r>
                </w:p>
              </w:tc>
            </w:tr>
          </w:tbl>
          <w:p w14:paraId="5EFDA9D1">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项目主要原辅材料</w:t>
            </w:r>
          </w:p>
          <w:p w14:paraId="446899C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（1）主要原辅材料及能源消耗</w:t>
            </w:r>
          </w:p>
          <w:p w14:paraId="7BDF715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项目主要原辅材料及能源消耗见下表。</w:t>
            </w:r>
          </w:p>
          <w:p w14:paraId="460C8DA5">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改建项目原辅材料用量及能源消耗一览表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5"/>
              <w:gridCol w:w="1062"/>
              <w:gridCol w:w="986"/>
              <w:gridCol w:w="925"/>
              <w:gridCol w:w="1064"/>
              <w:gridCol w:w="3689"/>
            </w:tblGrid>
            <w:tr w14:paraId="63325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6AA2C7D5">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648" w:type="pct"/>
                  <w:vAlign w:val="center"/>
                </w:tcPr>
                <w:p w14:paraId="01D92ED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产品名称</w:t>
                  </w:r>
                </w:p>
              </w:tc>
              <w:tc>
                <w:tcPr>
                  <w:tcW w:w="553" w:type="pct"/>
                  <w:vAlign w:val="center"/>
                </w:tcPr>
                <w:p w14:paraId="03E7B120">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tc>
              <w:tc>
                <w:tcPr>
                  <w:tcW w:w="565" w:type="pct"/>
                  <w:vAlign w:val="center"/>
                </w:tcPr>
                <w:p w14:paraId="6A82CE20">
                  <w:pPr>
                    <w:pStyle w:val="32"/>
                    <w:rPr>
                      <w:color w:val="000000" w:themeColor="text1"/>
                      <w:szCs w:val="21"/>
                      <w14:textFill>
                        <w14:solidFill>
                          <w14:schemeClr w14:val="tx1"/>
                        </w14:solidFill>
                      </w14:textFill>
                    </w:rPr>
                  </w:pPr>
                  <w:r>
                    <w:t>现有消耗量</w:t>
                  </w:r>
                </w:p>
              </w:tc>
              <w:tc>
                <w:tcPr>
                  <w:tcW w:w="649" w:type="pct"/>
                  <w:vAlign w:val="center"/>
                </w:tcPr>
                <w:p w14:paraId="372A869F">
                  <w:pPr>
                    <w:pStyle w:val="32"/>
                    <w:rPr>
                      <w:rFonts w:cs="Times New Roman"/>
                      <w:szCs w:val="21"/>
                    </w:rPr>
                  </w:pPr>
                  <w:r>
                    <w:rPr>
                      <w:rFonts w:hint="eastAsia" w:cs="Times New Roman"/>
                      <w:szCs w:val="21"/>
                    </w:rPr>
                    <w:t>改建后</w:t>
                  </w:r>
                </w:p>
                <w:p w14:paraId="757B469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消耗量</w:t>
                  </w:r>
                </w:p>
              </w:tc>
              <w:tc>
                <w:tcPr>
                  <w:tcW w:w="2230" w:type="pct"/>
                  <w:vAlign w:val="center"/>
                </w:tcPr>
                <w:p w14:paraId="155118D5">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6B404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1DA25C94">
                  <w:pPr>
                    <w:pStyle w:val="32"/>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w:t>
                  </w:r>
                </w:p>
              </w:tc>
              <w:tc>
                <w:tcPr>
                  <w:tcW w:w="4645" w:type="pct"/>
                  <w:gridSpan w:val="5"/>
                  <w:vAlign w:val="center"/>
                </w:tcPr>
                <w:p w14:paraId="78C651E2">
                  <w:pPr>
                    <w:pStyle w:val="32"/>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原辅材料</w:t>
                  </w:r>
                </w:p>
              </w:tc>
            </w:tr>
            <w:tr w14:paraId="45FA4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1CDD9DC7">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48" w:type="pct"/>
                  <w:vAlign w:val="center"/>
                </w:tcPr>
                <w:p w14:paraId="7CFA9A74">
                  <w:pPr>
                    <w:pStyle w:val="32"/>
                    <w:rPr>
                      <w:color w:val="000000" w:themeColor="text1"/>
                      <w:szCs w:val="21"/>
                      <w14:textFill>
                        <w14:solidFill>
                          <w14:schemeClr w14:val="tx1"/>
                        </w14:solidFill>
                      </w14:textFill>
                    </w:rPr>
                  </w:pPr>
                  <w:r>
                    <w:rPr>
                      <w:rFonts w:hint="eastAsia" w:cs="Times New Roman"/>
                      <w:bCs/>
                      <w:color w:val="000000"/>
                      <w:kern w:val="0"/>
                      <w:szCs w:val="21"/>
                    </w:rPr>
                    <w:t>丙烷</w:t>
                  </w:r>
                </w:p>
              </w:tc>
              <w:tc>
                <w:tcPr>
                  <w:tcW w:w="553" w:type="pct"/>
                  <w:vAlign w:val="center"/>
                </w:tcPr>
                <w:p w14:paraId="35045910">
                  <w:pPr>
                    <w:pStyle w:val="32"/>
                    <w:rPr>
                      <w:szCs w:val="21"/>
                    </w:rPr>
                  </w:pPr>
                  <w:r>
                    <w:rPr>
                      <w:szCs w:val="21"/>
                    </w:rPr>
                    <w:t>t/a</w:t>
                  </w:r>
                </w:p>
              </w:tc>
              <w:tc>
                <w:tcPr>
                  <w:tcW w:w="565" w:type="pct"/>
                  <w:vAlign w:val="center"/>
                </w:tcPr>
                <w:p w14:paraId="02D99DA6">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71818CD1">
                  <w:pPr>
                    <w:pStyle w:val="32"/>
                    <w:rPr>
                      <w:szCs w:val="21"/>
                    </w:rPr>
                  </w:pPr>
                  <w:r>
                    <w:rPr>
                      <w:rFonts w:cs="Times New Roman"/>
                      <w:bCs/>
                      <w:color w:val="000000"/>
                      <w:kern w:val="0"/>
                      <w:szCs w:val="21"/>
                    </w:rPr>
                    <w:t>1000</w:t>
                  </w:r>
                </w:p>
              </w:tc>
              <w:tc>
                <w:tcPr>
                  <w:tcW w:w="2230" w:type="pct"/>
                  <w:vAlign w:val="center"/>
                </w:tcPr>
                <w:p w14:paraId="120431E1">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外购；存于储罐内，槽车运输</w:t>
                  </w:r>
                </w:p>
              </w:tc>
            </w:tr>
            <w:tr w14:paraId="1807A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2DFD489E">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648" w:type="pct"/>
                  <w:vAlign w:val="center"/>
                </w:tcPr>
                <w:p w14:paraId="68D790D0">
                  <w:pPr>
                    <w:pStyle w:val="32"/>
                    <w:rPr>
                      <w:color w:val="000000" w:themeColor="text1"/>
                      <w:szCs w:val="21"/>
                      <w14:textFill>
                        <w14:solidFill>
                          <w14:schemeClr w14:val="tx1"/>
                        </w14:solidFill>
                      </w14:textFill>
                    </w:rPr>
                  </w:pPr>
                  <w:r>
                    <w:rPr>
                      <w:rFonts w:hint="eastAsia" w:cs="Times New Roman"/>
                      <w:bCs/>
                      <w:color w:val="000000"/>
                      <w:kern w:val="0"/>
                      <w:szCs w:val="21"/>
                    </w:rPr>
                    <w:t>丁烷</w:t>
                  </w:r>
                </w:p>
              </w:tc>
              <w:tc>
                <w:tcPr>
                  <w:tcW w:w="553" w:type="pct"/>
                  <w:vAlign w:val="center"/>
                </w:tcPr>
                <w:p w14:paraId="30DB7D57">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t/a</w:t>
                  </w:r>
                </w:p>
              </w:tc>
              <w:tc>
                <w:tcPr>
                  <w:tcW w:w="565" w:type="pct"/>
                  <w:vAlign w:val="center"/>
                </w:tcPr>
                <w:p w14:paraId="6F643D28">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738B1D77">
                  <w:pPr>
                    <w:pStyle w:val="32"/>
                    <w:rPr>
                      <w:szCs w:val="21"/>
                    </w:rPr>
                  </w:pPr>
                  <w:r>
                    <w:rPr>
                      <w:rFonts w:cs="Times New Roman"/>
                      <w:bCs/>
                      <w:color w:val="000000"/>
                      <w:kern w:val="0"/>
                      <w:szCs w:val="21"/>
                    </w:rPr>
                    <w:t>1000</w:t>
                  </w:r>
                </w:p>
              </w:tc>
              <w:tc>
                <w:tcPr>
                  <w:tcW w:w="2230" w:type="pct"/>
                  <w:vAlign w:val="center"/>
                </w:tcPr>
                <w:p w14:paraId="3AF65AD6">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外购；存于储罐内，槽车运输</w:t>
                  </w:r>
                </w:p>
              </w:tc>
            </w:tr>
            <w:tr w14:paraId="68863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355" w:type="pct"/>
                  <w:vAlign w:val="center"/>
                </w:tcPr>
                <w:p w14:paraId="779CAA24">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648" w:type="pct"/>
                  <w:vAlign w:val="center"/>
                </w:tcPr>
                <w:p w14:paraId="50382BED">
                  <w:pPr>
                    <w:pStyle w:val="32"/>
                    <w:rPr>
                      <w:rFonts w:cs="Times New Roman"/>
                      <w:bCs/>
                      <w:color w:val="000000"/>
                      <w:kern w:val="0"/>
                      <w:szCs w:val="21"/>
                    </w:rPr>
                  </w:pPr>
                  <w:r>
                    <w:rPr>
                      <w:rFonts w:hint="eastAsia" w:cs="Times New Roman"/>
                      <w:bCs/>
                      <w:color w:val="000000"/>
                      <w:kern w:val="0"/>
                      <w:szCs w:val="21"/>
                    </w:rPr>
                    <w:t>丙烷丁烷气瓶</w:t>
                  </w:r>
                </w:p>
              </w:tc>
              <w:tc>
                <w:tcPr>
                  <w:tcW w:w="553" w:type="pct"/>
                  <w:vAlign w:val="center"/>
                </w:tcPr>
                <w:p w14:paraId="15F9FEE3">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瓶/年</w:t>
                  </w:r>
                </w:p>
              </w:tc>
              <w:tc>
                <w:tcPr>
                  <w:tcW w:w="565" w:type="pct"/>
                  <w:vAlign w:val="center"/>
                </w:tcPr>
                <w:p w14:paraId="32B4117F">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41101678">
                  <w:pPr>
                    <w:pStyle w:val="32"/>
                    <w:rPr>
                      <w:rFonts w:cs="Times New Roman"/>
                      <w:bCs/>
                      <w:color w:val="000000"/>
                      <w:kern w:val="0"/>
                      <w:szCs w:val="21"/>
                    </w:rPr>
                  </w:pPr>
                  <w:r>
                    <w:rPr>
                      <w:rFonts w:cs="Times New Roman"/>
                      <w:bCs/>
                      <w:color w:val="000000"/>
                      <w:kern w:val="0"/>
                      <w:szCs w:val="21"/>
                    </w:rPr>
                    <w:t>2000</w:t>
                  </w:r>
                </w:p>
              </w:tc>
              <w:tc>
                <w:tcPr>
                  <w:tcW w:w="2230" w:type="pct"/>
                  <w:vAlign w:val="center"/>
                </w:tcPr>
                <w:p w14:paraId="213AD190">
                  <w:pPr>
                    <w:pStyle w:val="32"/>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外购；</w:t>
                  </w:r>
                  <w:r>
                    <w:rPr>
                      <w:color w:val="000000" w:themeColor="text1"/>
                      <w:szCs w:val="21"/>
                      <w14:textFill>
                        <w14:solidFill>
                          <w14:schemeClr w14:val="tx1"/>
                        </w14:solidFill>
                      </w14:textFill>
                    </w:rPr>
                    <w:t>35.5 kg/</w:t>
                  </w:r>
                  <w:r>
                    <w:rPr>
                      <w:rFonts w:hint="eastAsia"/>
                      <w:color w:val="000000" w:themeColor="text1"/>
                      <w:szCs w:val="21"/>
                      <w14:textFill>
                        <w14:solidFill>
                          <w14:schemeClr w14:val="tx1"/>
                        </w14:solidFill>
                      </w14:textFill>
                    </w:rPr>
                    <w:t>瓶（小瓶）和</w:t>
                  </w:r>
                  <w:r>
                    <w:rPr>
                      <w:color w:val="000000" w:themeColor="text1"/>
                      <w:szCs w:val="21"/>
                      <w14:textFill>
                        <w14:solidFill>
                          <w14:schemeClr w14:val="tx1"/>
                        </w14:solidFill>
                      </w14:textFill>
                    </w:rPr>
                    <w:t>95 kg/</w:t>
                  </w:r>
                  <w:r>
                    <w:rPr>
                      <w:rFonts w:hint="eastAsia"/>
                      <w:color w:val="000000" w:themeColor="text1"/>
                      <w:szCs w:val="21"/>
                      <w14:textFill>
                        <w14:solidFill>
                          <w14:schemeClr w14:val="tx1"/>
                        </w14:solidFill>
                      </w14:textFill>
                    </w:rPr>
                    <w:t>瓶（大瓶）；用量随生产需求增加，按需采购</w:t>
                  </w:r>
                </w:p>
              </w:tc>
            </w:tr>
            <w:tr w14:paraId="519B7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355" w:type="pct"/>
                  <w:vAlign w:val="center"/>
                </w:tcPr>
                <w:p w14:paraId="0B866D8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648" w:type="pct"/>
                  <w:vAlign w:val="center"/>
                </w:tcPr>
                <w:p w14:paraId="3F258D18">
                  <w:pPr>
                    <w:pStyle w:val="32"/>
                    <w:rPr>
                      <w:rFonts w:cs="Times New Roman"/>
                      <w:bCs/>
                      <w:color w:val="000000"/>
                      <w:kern w:val="0"/>
                      <w:szCs w:val="21"/>
                    </w:rPr>
                  </w:pPr>
                  <w:r>
                    <w:rPr>
                      <w:rFonts w:cs="Times New Roman"/>
                      <w:szCs w:val="21"/>
                    </w:rPr>
                    <w:t>乙炔钢瓶</w:t>
                  </w:r>
                </w:p>
              </w:tc>
              <w:tc>
                <w:tcPr>
                  <w:tcW w:w="553" w:type="pct"/>
                  <w:vAlign w:val="center"/>
                </w:tcPr>
                <w:p w14:paraId="1EA2A784">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瓶/年</w:t>
                  </w:r>
                </w:p>
              </w:tc>
              <w:tc>
                <w:tcPr>
                  <w:tcW w:w="565" w:type="pct"/>
                  <w:vAlign w:val="center"/>
                </w:tcPr>
                <w:p w14:paraId="6101259A">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040C7D0F">
                  <w:pPr>
                    <w:pStyle w:val="32"/>
                    <w:rPr>
                      <w:rFonts w:cs="Times New Roman"/>
                      <w:bCs/>
                      <w:color w:val="000000"/>
                      <w:kern w:val="0"/>
                      <w:szCs w:val="21"/>
                    </w:rPr>
                  </w:pPr>
                  <w:r>
                    <w:rPr>
                      <w:rFonts w:hint="eastAsia" w:cs="Times New Roman"/>
                      <w:color w:val="000000"/>
                      <w:kern w:val="0"/>
                      <w:szCs w:val="21"/>
                    </w:rPr>
                    <w:t>5</w:t>
                  </w:r>
                  <w:r>
                    <w:rPr>
                      <w:rFonts w:cs="Times New Roman"/>
                      <w:color w:val="000000"/>
                      <w:kern w:val="0"/>
                      <w:szCs w:val="21"/>
                    </w:rPr>
                    <w:t>00</w:t>
                  </w:r>
                </w:p>
              </w:tc>
              <w:tc>
                <w:tcPr>
                  <w:tcW w:w="2230" w:type="pct"/>
                  <w:vMerge w:val="restart"/>
                  <w:vAlign w:val="center"/>
                </w:tcPr>
                <w:p w14:paraId="6E266271">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巴州地区外购，汽车运输；气瓶实行按客户订单采购制度，不长期囤积，现场仅存放少量实瓶</w:t>
                  </w:r>
                </w:p>
              </w:tc>
            </w:tr>
            <w:tr w14:paraId="3C3B6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355" w:type="pct"/>
                  <w:vAlign w:val="center"/>
                </w:tcPr>
                <w:p w14:paraId="0012B53F">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648" w:type="pct"/>
                  <w:vAlign w:val="center"/>
                </w:tcPr>
                <w:p w14:paraId="68BFF10D">
                  <w:pPr>
                    <w:pStyle w:val="32"/>
                    <w:rPr>
                      <w:rFonts w:cs="Times New Roman"/>
                      <w:bCs/>
                      <w:color w:val="000000"/>
                      <w:kern w:val="0"/>
                      <w:szCs w:val="21"/>
                    </w:rPr>
                  </w:pPr>
                  <w:r>
                    <w:rPr>
                      <w:rFonts w:hint="eastAsia" w:cs="Times New Roman"/>
                      <w:szCs w:val="21"/>
                    </w:rPr>
                    <w:t>氧气</w:t>
                  </w:r>
                  <w:r>
                    <w:rPr>
                      <w:rFonts w:cs="Times New Roman"/>
                      <w:szCs w:val="21"/>
                    </w:rPr>
                    <w:t>钢瓶</w:t>
                  </w:r>
                </w:p>
              </w:tc>
              <w:tc>
                <w:tcPr>
                  <w:tcW w:w="553" w:type="pct"/>
                  <w:vAlign w:val="center"/>
                </w:tcPr>
                <w:p w14:paraId="268F5E49">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瓶/年</w:t>
                  </w:r>
                </w:p>
              </w:tc>
              <w:tc>
                <w:tcPr>
                  <w:tcW w:w="565" w:type="pct"/>
                  <w:vAlign w:val="center"/>
                </w:tcPr>
                <w:p w14:paraId="6520E079">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39506683">
                  <w:pPr>
                    <w:pStyle w:val="32"/>
                    <w:rPr>
                      <w:rFonts w:cs="Times New Roman"/>
                      <w:bCs/>
                      <w:color w:val="000000"/>
                      <w:kern w:val="0"/>
                      <w:szCs w:val="21"/>
                    </w:rPr>
                  </w:pPr>
                  <w:r>
                    <w:rPr>
                      <w:rFonts w:hint="eastAsia" w:cs="Times New Roman"/>
                      <w:color w:val="000000"/>
                      <w:kern w:val="0"/>
                      <w:szCs w:val="21"/>
                    </w:rPr>
                    <w:t>3</w:t>
                  </w:r>
                  <w:r>
                    <w:rPr>
                      <w:rFonts w:cs="Times New Roman"/>
                      <w:color w:val="000000"/>
                      <w:kern w:val="0"/>
                      <w:szCs w:val="21"/>
                    </w:rPr>
                    <w:t>000</w:t>
                  </w:r>
                </w:p>
              </w:tc>
              <w:tc>
                <w:tcPr>
                  <w:tcW w:w="2230" w:type="pct"/>
                  <w:vMerge w:val="continue"/>
                  <w:vAlign w:val="center"/>
                </w:tcPr>
                <w:p w14:paraId="5C798049">
                  <w:pPr>
                    <w:pStyle w:val="32"/>
                    <w:rPr>
                      <w:color w:val="000000" w:themeColor="text1"/>
                      <w:szCs w:val="21"/>
                      <w14:textFill>
                        <w14:solidFill>
                          <w14:schemeClr w14:val="tx1"/>
                        </w14:solidFill>
                      </w14:textFill>
                    </w:rPr>
                  </w:pPr>
                </w:p>
              </w:tc>
            </w:tr>
            <w:tr w14:paraId="7230A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5" w:type="pct"/>
                  <w:vAlign w:val="center"/>
                </w:tcPr>
                <w:p w14:paraId="0877A5AA">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648" w:type="pct"/>
                  <w:vAlign w:val="center"/>
                </w:tcPr>
                <w:p w14:paraId="711B1850">
                  <w:pPr>
                    <w:pStyle w:val="32"/>
                    <w:rPr>
                      <w:rFonts w:cs="Times New Roman"/>
                      <w:bCs/>
                      <w:color w:val="000000"/>
                      <w:kern w:val="0"/>
                      <w:szCs w:val="21"/>
                    </w:rPr>
                  </w:pPr>
                  <w:r>
                    <w:rPr>
                      <w:rFonts w:hint="eastAsia" w:cs="Times New Roman"/>
                      <w:szCs w:val="21"/>
                    </w:rPr>
                    <w:t>二氧化碳</w:t>
                  </w:r>
                  <w:r>
                    <w:rPr>
                      <w:rFonts w:cs="Times New Roman"/>
                      <w:szCs w:val="21"/>
                    </w:rPr>
                    <w:t>钢瓶</w:t>
                  </w:r>
                </w:p>
              </w:tc>
              <w:tc>
                <w:tcPr>
                  <w:tcW w:w="553" w:type="pct"/>
                  <w:vAlign w:val="center"/>
                </w:tcPr>
                <w:p w14:paraId="37809FB0">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瓶/年</w:t>
                  </w:r>
                </w:p>
              </w:tc>
              <w:tc>
                <w:tcPr>
                  <w:tcW w:w="565" w:type="pct"/>
                  <w:vAlign w:val="center"/>
                </w:tcPr>
                <w:p w14:paraId="5C7AE8B2">
                  <w:pPr>
                    <w:pStyle w:val="32"/>
                    <w:rPr>
                      <w:rFonts w:cs="Times New Roman"/>
                      <w:bCs/>
                      <w:color w:val="000000"/>
                      <w:kern w:val="0"/>
                      <w:szCs w:val="21"/>
                    </w:rPr>
                  </w:pPr>
                  <w:r>
                    <w:rPr>
                      <w:rFonts w:hint="eastAsia" w:cs="Times New Roman"/>
                      <w:bCs/>
                      <w:color w:val="000000"/>
                      <w:kern w:val="0"/>
                      <w:szCs w:val="21"/>
                    </w:rPr>
                    <w:t>0</w:t>
                  </w:r>
                </w:p>
              </w:tc>
              <w:tc>
                <w:tcPr>
                  <w:tcW w:w="649" w:type="pct"/>
                  <w:vAlign w:val="center"/>
                </w:tcPr>
                <w:p w14:paraId="723DD29F">
                  <w:pPr>
                    <w:pStyle w:val="32"/>
                    <w:rPr>
                      <w:rFonts w:cs="Times New Roman"/>
                      <w:bCs/>
                      <w:color w:val="000000"/>
                      <w:kern w:val="0"/>
                      <w:szCs w:val="21"/>
                    </w:rPr>
                  </w:pPr>
                  <w:r>
                    <w:rPr>
                      <w:rFonts w:hint="eastAsia" w:cs="Times New Roman"/>
                      <w:color w:val="000000"/>
                      <w:kern w:val="0"/>
                      <w:szCs w:val="21"/>
                    </w:rPr>
                    <w:t>5</w:t>
                  </w:r>
                  <w:r>
                    <w:rPr>
                      <w:rFonts w:cs="Times New Roman"/>
                      <w:color w:val="000000"/>
                      <w:kern w:val="0"/>
                      <w:szCs w:val="21"/>
                    </w:rPr>
                    <w:t>000</w:t>
                  </w:r>
                </w:p>
              </w:tc>
              <w:tc>
                <w:tcPr>
                  <w:tcW w:w="2230" w:type="pct"/>
                  <w:vMerge w:val="continue"/>
                  <w:vAlign w:val="center"/>
                </w:tcPr>
                <w:p w14:paraId="48C6156C">
                  <w:pPr>
                    <w:pStyle w:val="32"/>
                    <w:rPr>
                      <w:color w:val="000000" w:themeColor="text1"/>
                      <w:szCs w:val="21"/>
                      <w14:textFill>
                        <w14:solidFill>
                          <w14:schemeClr w14:val="tx1"/>
                        </w14:solidFill>
                      </w14:textFill>
                    </w:rPr>
                  </w:pPr>
                </w:p>
              </w:tc>
            </w:tr>
            <w:tr w14:paraId="54178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010E2AC4">
                  <w:pPr>
                    <w:pStyle w:val="32"/>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w:t>
                  </w:r>
                </w:p>
              </w:tc>
              <w:tc>
                <w:tcPr>
                  <w:tcW w:w="4645" w:type="pct"/>
                  <w:gridSpan w:val="5"/>
                  <w:vAlign w:val="center"/>
                </w:tcPr>
                <w:p w14:paraId="178B3FB4">
                  <w:pPr>
                    <w:pStyle w:val="32"/>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能源消耗</w:t>
                  </w:r>
                </w:p>
              </w:tc>
            </w:tr>
            <w:tr w14:paraId="1D76E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268CB99C">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48" w:type="pct"/>
                  <w:vAlign w:val="center"/>
                </w:tcPr>
                <w:p w14:paraId="7FB95668">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w:t>
                  </w:r>
                </w:p>
              </w:tc>
              <w:tc>
                <w:tcPr>
                  <w:tcW w:w="553" w:type="pct"/>
                  <w:vAlign w:val="center"/>
                </w:tcPr>
                <w:p w14:paraId="0434D197">
                  <w:pPr>
                    <w:pStyle w:val="32"/>
                    <w:rPr>
                      <w:color w:val="000000" w:themeColor="text1"/>
                      <w:szCs w:val="21"/>
                      <w14:textFill>
                        <w14:solidFill>
                          <w14:schemeClr w14:val="tx1"/>
                        </w14:solidFill>
                      </w14:textFill>
                    </w:rPr>
                  </w:pPr>
                  <w:r>
                    <w:rPr>
                      <w:rFonts w:hint="eastAsia" w:cs="Times New Roman"/>
                      <w:szCs w:val="21"/>
                    </w:rPr>
                    <w:t>kW·h/a</w:t>
                  </w:r>
                </w:p>
              </w:tc>
              <w:tc>
                <w:tcPr>
                  <w:tcW w:w="565" w:type="pct"/>
                  <w:vAlign w:val="center"/>
                </w:tcPr>
                <w:p w14:paraId="7959406E">
                  <w:pPr>
                    <w:pStyle w:val="32"/>
                    <w:rPr>
                      <w:rFonts w:cs="Times New Roman"/>
                      <w:szCs w:val="21"/>
                    </w:rPr>
                  </w:pPr>
                  <w:r>
                    <w:rPr>
                      <w:rFonts w:cs="Times New Roman"/>
                      <w:szCs w:val="21"/>
                    </w:rPr>
                    <w:t>/</w:t>
                  </w:r>
                </w:p>
              </w:tc>
              <w:tc>
                <w:tcPr>
                  <w:tcW w:w="649" w:type="pct"/>
                  <w:vAlign w:val="center"/>
                </w:tcPr>
                <w:p w14:paraId="7009AD1A">
                  <w:pPr>
                    <w:pStyle w:val="32"/>
                    <w:rPr>
                      <w:color w:val="000000" w:themeColor="text1"/>
                      <w:szCs w:val="21"/>
                      <w14:textFill>
                        <w14:solidFill>
                          <w14:schemeClr w14:val="tx1"/>
                        </w14:solidFill>
                      </w14:textFill>
                    </w:rPr>
                  </w:pPr>
                  <w:r>
                    <w:rPr>
                      <w:rFonts w:hint="eastAsia" w:cs="Times New Roman"/>
                      <w:szCs w:val="21"/>
                    </w:rPr>
                    <w:t>10000</w:t>
                  </w:r>
                </w:p>
              </w:tc>
              <w:tc>
                <w:tcPr>
                  <w:tcW w:w="2230" w:type="pct"/>
                  <w:vAlign w:val="center"/>
                </w:tcPr>
                <w:p w14:paraId="3E42A313">
                  <w:pPr>
                    <w:pStyle w:val="32"/>
                    <w:rPr>
                      <w:color w:val="000000" w:themeColor="text1"/>
                      <w:szCs w:val="21"/>
                      <w14:textFill>
                        <w14:solidFill>
                          <w14:schemeClr w14:val="tx1"/>
                        </w14:solidFill>
                      </w14:textFill>
                    </w:rPr>
                  </w:pPr>
                  <w:r>
                    <w:rPr>
                      <w:rFonts w:hint="eastAsia" w:cs="Times New Roman"/>
                      <w:szCs w:val="21"/>
                    </w:rPr>
                    <w:t>园区电网接入</w:t>
                  </w:r>
                </w:p>
              </w:tc>
            </w:tr>
            <w:tr w14:paraId="14BCE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5" w:type="pct"/>
                  <w:vAlign w:val="center"/>
                </w:tcPr>
                <w:p w14:paraId="75A17350">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648" w:type="pct"/>
                  <w:vAlign w:val="center"/>
                </w:tcPr>
                <w:p w14:paraId="4DD1C41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w:t>
                  </w:r>
                </w:p>
              </w:tc>
              <w:tc>
                <w:tcPr>
                  <w:tcW w:w="553" w:type="pct"/>
                  <w:vAlign w:val="center"/>
                </w:tcPr>
                <w:p w14:paraId="035D76B6">
                  <w:pPr>
                    <w:pStyle w:val="32"/>
                    <w:rPr>
                      <w:color w:val="000000" w:themeColor="text1"/>
                      <w:szCs w:val="21"/>
                      <w14:textFill>
                        <w14:solidFill>
                          <w14:schemeClr w14:val="tx1"/>
                        </w14:solidFill>
                      </w14:textFill>
                    </w:rPr>
                  </w:pPr>
                  <w:r>
                    <w:rPr>
                      <w:rFonts w:hint="eastAsia" w:cs="Times New Roman"/>
                      <w:szCs w:val="21"/>
                    </w:rPr>
                    <w:t>m</w:t>
                  </w:r>
                  <w:r>
                    <w:rPr>
                      <w:rFonts w:hint="eastAsia" w:cs="Times New Roman"/>
                      <w:szCs w:val="21"/>
                      <w:vertAlign w:val="superscript"/>
                    </w:rPr>
                    <w:t>3</w:t>
                  </w:r>
                  <w:r>
                    <w:rPr>
                      <w:rFonts w:hint="eastAsia" w:cs="Times New Roman"/>
                      <w:szCs w:val="21"/>
                    </w:rPr>
                    <w:t>/a</w:t>
                  </w:r>
                </w:p>
              </w:tc>
              <w:tc>
                <w:tcPr>
                  <w:tcW w:w="565" w:type="pct"/>
                  <w:vAlign w:val="center"/>
                </w:tcPr>
                <w:p w14:paraId="339FE65B">
                  <w:pPr>
                    <w:pStyle w:val="32"/>
                    <w:rPr>
                      <w:rFonts w:cs="Times New Roman"/>
                      <w:szCs w:val="21"/>
                    </w:rPr>
                  </w:pPr>
                  <w:r>
                    <w:rPr>
                      <w:rFonts w:cs="Times New Roman"/>
                      <w:szCs w:val="21"/>
                    </w:rPr>
                    <w:t>/</w:t>
                  </w:r>
                </w:p>
              </w:tc>
              <w:tc>
                <w:tcPr>
                  <w:tcW w:w="649" w:type="pct"/>
                  <w:vAlign w:val="center"/>
                </w:tcPr>
                <w:p w14:paraId="1854FA6B">
                  <w:pPr>
                    <w:pStyle w:val="32"/>
                    <w:rPr>
                      <w:color w:val="000000" w:themeColor="text1"/>
                      <w:szCs w:val="21"/>
                      <w14:textFill>
                        <w14:solidFill>
                          <w14:schemeClr w14:val="tx1"/>
                        </w14:solidFill>
                      </w14:textFill>
                    </w:rPr>
                  </w:pPr>
                  <w:r>
                    <w:rPr>
                      <w:rFonts w:cs="Times New Roman"/>
                      <w:szCs w:val="21"/>
                    </w:rPr>
                    <w:t>648</w:t>
                  </w:r>
                </w:p>
              </w:tc>
              <w:tc>
                <w:tcPr>
                  <w:tcW w:w="2230" w:type="pct"/>
                  <w:vAlign w:val="center"/>
                </w:tcPr>
                <w:p w14:paraId="0F1787AE">
                  <w:pPr>
                    <w:pStyle w:val="32"/>
                    <w:rPr>
                      <w:color w:val="000000" w:themeColor="text1"/>
                      <w:szCs w:val="21"/>
                      <w14:textFill>
                        <w14:solidFill>
                          <w14:schemeClr w14:val="tx1"/>
                        </w14:solidFill>
                      </w14:textFill>
                    </w:rPr>
                  </w:pPr>
                  <w:r>
                    <w:rPr>
                      <w:rFonts w:hint="eastAsia" w:cs="Times New Roman"/>
                      <w:szCs w:val="21"/>
                    </w:rPr>
                    <w:t>园区供水管网</w:t>
                  </w:r>
                </w:p>
              </w:tc>
            </w:tr>
          </w:tbl>
          <w:p w14:paraId="2E57357C">
            <w:pPr>
              <w:ind w:firstLine="480"/>
              <w:textAlignment w:val="auto"/>
            </w:pPr>
            <w:bookmarkStart w:id="13" w:name="_Hlk76403418"/>
            <w:bookmarkStart w:id="14" w:name="_Hlk97245573"/>
            <w:r>
              <w:rPr>
                <w:rFonts w:hint="eastAsia"/>
              </w:rPr>
              <w:t>（</w:t>
            </w:r>
            <w:r>
              <w:t>2</w:t>
            </w:r>
            <w:r>
              <w:rPr>
                <w:rFonts w:hint="eastAsia"/>
              </w:rPr>
              <w:t>）项目主要原辅料理化性质分析</w:t>
            </w:r>
            <w:r>
              <w:rPr>
                <w:rFonts w:cs="Times New Roman"/>
              </w:rPr>
              <w:t>见表2-5</w:t>
            </w:r>
            <w:r>
              <w:rPr>
                <w:rFonts w:hint="eastAsia" w:cs="Times New Roman"/>
              </w:rPr>
              <w:t>、</w:t>
            </w:r>
            <w:r>
              <w:rPr>
                <w:rFonts w:cs="Times New Roman"/>
              </w:rPr>
              <w:t>2-6。</w:t>
            </w:r>
          </w:p>
          <w:p w14:paraId="62ABA94A">
            <w:pPr>
              <w:widowControl/>
              <w:spacing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-6</w:t>
            </w:r>
            <w:r>
              <w:rPr>
                <w:rFonts w:hint="eastAsia" w:cs="Times New Roman"/>
                <w:b/>
                <w:kern w:val="0"/>
                <w:sz w:val="21"/>
              </w:rPr>
              <w:t xml:space="preserve">  丙烷理化性质及毒性</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22"/>
              <w:gridCol w:w="287"/>
              <w:gridCol w:w="1557"/>
              <w:gridCol w:w="657"/>
              <w:gridCol w:w="1443"/>
              <w:gridCol w:w="1625"/>
            </w:tblGrid>
            <w:tr w14:paraId="4698E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9" w:type="pct"/>
                  <w:vMerge w:val="restart"/>
                  <w:vAlign w:val="center"/>
                </w:tcPr>
                <w:p w14:paraId="6E8A748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标识</w:t>
                  </w:r>
                </w:p>
              </w:tc>
              <w:tc>
                <w:tcPr>
                  <w:tcW w:w="1090" w:type="pct"/>
                  <w:gridSpan w:val="2"/>
                  <w:vAlign w:val="center"/>
                </w:tcPr>
                <w:p w14:paraId="50A4D6B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中文名：丙烷</w:t>
                  </w:r>
                </w:p>
              </w:tc>
              <w:tc>
                <w:tcPr>
                  <w:tcW w:w="1334" w:type="pct"/>
                  <w:gridSpan w:val="2"/>
                  <w:vAlign w:val="center"/>
                </w:tcPr>
                <w:p w14:paraId="5ECE714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英文名：propane</w:t>
                  </w:r>
                </w:p>
              </w:tc>
              <w:tc>
                <w:tcPr>
                  <w:tcW w:w="869" w:type="pct"/>
                  <w:vMerge w:val="restart"/>
                  <w:vAlign w:val="center"/>
                </w:tcPr>
                <w:p w14:paraId="30DC136C">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分子式：C</w:t>
                  </w:r>
                  <w:r>
                    <w:rPr>
                      <w:rFonts w:cs="Times New Roman"/>
                      <w:kern w:val="0"/>
                      <w:sz w:val="21"/>
                      <w:szCs w:val="20"/>
                      <w:vertAlign w:val="subscript"/>
                    </w:rPr>
                    <w:t>3</w:t>
                  </w:r>
                  <w:r>
                    <w:rPr>
                      <w:rFonts w:cs="Times New Roman"/>
                      <w:kern w:val="0"/>
                      <w:sz w:val="21"/>
                      <w:szCs w:val="20"/>
                    </w:rPr>
                    <w:t>H</w:t>
                  </w:r>
                  <w:r>
                    <w:rPr>
                      <w:rFonts w:cs="Times New Roman"/>
                      <w:kern w:val="0"/>
                      <w:sz w:val="21"/>
                      <w:szCs w:val="20"/>
                      <w:vertAlign w:val="subscript"/>
                    </w:rPr>
                    <w:t>8</w:t>
                  </w:r>
                </w:p>
              </w:tc>
              <w:tc>
                <w:tcPr>
                  <w:tcW w:w="978" w:type="pct"/>
                  <w:vMerge w:val="restart"/>
                  <w:vAlign w:val="center"/>
                </w:tcPr>
                <w:p w14:paraId="05E1E84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分子量：44.10</w:t>
                  </w:r>
                </w:p>
              </w:tc>
            </w:tr>
            <w:tr w14:paraId="24B63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730A0E29">
                  <w:pPr>
                    <w:widowControl/>
                    <w:adjustRightInd w:val="0"/>
                    <w:snapToGrid w:val="0"/>
                    <w:spacing w:line="240" w:lineRule="auto"/>
                    <w:ind w:firstLine="0" w:firstLineChars="0"/>
                    <w:jc w:val="center"/>
                    <w:textAlignment w:val="auto"/>
                    <w:rPr>
                      <w:rFonts w:cs="Times New Roman"/>
                      <w:kern w:val="0"/>
                      <w:sz w:val="21"/>
                      <w:szCs w:val="20"/>
                    </w:rPr>
                  </w:pPr>
                </w:p>
              </w:tc>
              <w:tc>
                <w:tcPr>
                  <w:tcW w:w="1090" w:type="pct"/>
                  <w:gridSpan w:val="2"/>
                  <w:vAlign w:val="center"/>
                </w:tcPr>
                <w:p w14:paraId="63CE2EE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CAS号：74-98-6</w:t>
                  </w:r>
                </w:p>
              </w:tc>
              <w:tc>
                <w:tcPr>
                  <w:tcW w:w="1334" w:type="pct"/>
                  <w:gridSpan w:val="2"/>
                  <w:vAlign w:val="center"/>
                </w:tcPr>
                <w:p w14:paraId="77E974D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UN编号：1978</w:t>
                  </w:r>
                </w:p>
              </w:tc>
              <w:tc>
                <w:tcPr>
                  <w:tcW w:w="869" w:type="pct"/>
                  <w:vMerge w:val="continue"/>
                  <w:vAlign w:val="center"/>
                </w:tcPr>
                <w:p w14:paraId="5233FC53">
                  <w:pPr>
                    <w:widowControl/>
                    <w:adjustRightInd w:val="0"/>
                    <w:snapToGrid w:val="0"/>
                    <w:spacing w:line="240" w:lineRule="auto"/>
                    <w:ind w:firstLine="0" w:firstLineChars="0"/>
                    <w:jc w:val="center"/>
                    <w:textAlignment w:val="auto"/>
                    <w:rPr>
                      <w:rFonts w:cs="Times New Roman"/>
                      <w:kern w:val="0"/>
                      <w:sz w:val="21"/>
                      <w:szCs w:val="20"/>
                    </w:rPr>
                  </w:pPr>
                </w:p>
              </w:tc>
              <w:tc>
                <w:tcPr>
                  <w:tcW w:w="978" w:type="pct"/>
                  <w:vMerge w:val="continue"/>
                  <w:vAlign w:val="center"/>
                </w:tcPr>
                <w:p w14:paraId="2F63DA30">
                  <w:pPr>
                    <w:widowControl/>
                    <w:adjustRightInd w:val="0"/>
                    <w:snapToGrid w:val="0"/>
                    <w:spacing w:line="240" w:lineRule="auto"/>
                    <w:ind w:firstLine="0" w:firstLineChars="0"/>
                    <w:jc w:val="center"/>
                    <w:textAlignment w:val="auto"/>
                    <w:rPr>
                      <w:rFonts w:cs="Times New Roman"/>
                      <w:kern w:val="0"/>
                      <w:sz w:val="21"/>
                      <w:szCs w:val="20"/>
                    </w:rPr>
                  </w:pPr>
                </w:p>
              </w:tc>
            </w:tr>
            <w:tr w14:paraId="7DDE5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7E1D412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理化性质</w:t>
                  </w:r>
                </w:p>
              </w:tc>
              <w:tc>
                <w:tcPr>
                  <w:tcW w:w="4271" w:type="pct"/>
                  <w:gridSpan w:val="6"/>
                  <w:vAlign w:val="center"/>
                </w:tcPr>
                <w:p w14:paraId="435A64E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外观与形状：无色气体，纯品无臭</w:t>
                  </w:r>
                </w:p>
              </w:tc>
            </w:tr>
            <w:tr w14:paraId="508FC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54F23BEA">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6BF156D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熔点（℃）-187.6</w:t>
                  </w:r>
                </w:p>
              </w:tc>
              <w:tc>
                <w:tcPr>
                  <w:tcW w:w="2243" w:type="pct"/>
                  <w:gridSpan w:val="3"/>
                  <w:vAlign w:val="center"/>
                </w:tcPr>
                <w:p w14:paraId="249DB0A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相对密度（水=1）0.51，（空气=1）1.56</w:t>
                  </w:r>
                </w:p>
              </w:tc>
            </w:tr>
            <w:tr w14:paraId="3B25C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609BC78">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2E9024E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沸点（℃）-42.1</w:t>
                  </w:r>
                </w:p>
              </w:tc>
              <w:tc>
                <w:tcPr>
                  <w:tcW w:w="2243" w:type="pct"/>
                  <w:gridSpan w:val="3"/>
                  <w:vAlign w:val="center"/>
                </w:tcPr>
                <w:p w14:paraId="6AE3AB0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饱和蒸气压（kPa）53.32/-44.5℃</w:t>
                  </w:r>
                </w:p>
              </w:tc>
            </w:tr>
            <w:tr w14:paraId="46C25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350042C">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1FBCD62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临界温度（℃）96.8</w:t>
                  </w:r>
                </w:p>
              </w:tc>
              <w:tc>
                <w:tcPr>
                  <w:tcW w:w="2243" w:type="pct"/>
                  <w:gridSpan w:val="3"/>
                  <w:vAlign w:val="center"/>
                </w:tcPr>
                <w:p w14:paraId="2A70DC5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临界压力（MPa）4.25</w:t>
                  </w:r>
                </w:p>
              </w:tc>
            </w:tr>
            <w:tr w14:paraId="4EAF0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28061658">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0C9400D8">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溶解性</w:t>
                  </w:r>
                </w:p>
              </w:tc>
              <w:tc>
                <w:tcPr>
                  <w:tcW w:w="2243" w:type="pct"/>
                  <w:gridSpan w:val="3"/>
                  <w:vAlign w:val="center"/>
                </w:tcPr>
                <w:p w14:paraId="24F10DE6">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微溶于水，溶液于乙醇、乙醚</w:t>
                  </w:r>
                </w:p>
              </w:tc>
            </w:tr>
            <w:tr w14:paraId="78A12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2C0EF7C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毒性及健康危害</w:t>
                  </w:r>
                </w:p>
              </w:tc>
              <w:tc>
                <w:tcPr>
                  <w:tcW w:w="917" w:type="pct"/>
                  <w:vAlign w:val="center"/>
                </w:tcPr>
                <w:p w14:paraId="5544BA6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侵入途径</w:t>
                  </w:r>
                </w:p>
              </w:tc>
              <w:tc>
                <w:tcPr>
                  <w:tcW w:w="3353" w:type="pct"/>
                  <w:gridSpan w:val="5"/>
                  <w:vAlign w:val="center"/>
                </w:tcPr>
                <w:p w14:paraId="48AEE558">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吸入</w:t>
                  </w:r>
                </w:p>
              </w:tc>
            </w:tr>
            <w:tr w14:paraId="554B1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5A4BE089">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2BF1DA7C">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w:t>
                  </w:r>
                </w:p>
              </w:tc>
              <w:tc>
                <w:tcPr>
                  <w:tcW w:w="3353" w:type="pct"/>
                  <w:gridSpan w:val="5"/>
                  <w:vAlign w:val="center"/>
                </w:tcPr>
                <w:p w14:paraId="7857A46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LD</w:t>
                  </w:r>
                  <w:r>
                    <w:rPr>
                      <w:rFonts w:cs="Times New Roman"/>
                      <w:kern w:val="0"/>
                      <w:sz w:val="21"/>
                      <w:szCs w:val="20"/>
                      <w:vertAlign w:val="subscript"/>
                    </w:rPr>
                    <w:t>50</w:t>
                  </w:r>
                  <w:r>
                    <w:rPr>
                      <w:rFonts w:cs="Times New Roman"/>
                      <w:kern w:val="0"/>
                      <w:sz w:val="21"/>
                      <w:szCs w:val="20"/>
                    </w:rPr>
                    <w:t>：LD</w:t>
                  </w:r>
                  <w:r>
                    <w:rPr>
                      <w:rFonts w:cs="Times New Roman"/>
                      <w:kern w:val="0"/>
                      <w:sz w:val="21"/>
                      <w:szCs w:val="20"/>
                      <w:vertAlign w:val="subscript"/>
                    </w:rPr>
                    <w:t>50</w:t>
                  </w:r>
                  <w:r>
                    <w:rPr>
                      <w:rFonts w:cs="Times New Roman"/>
                      <w:kern w:val="0"/>
                      <w:sz w:val="21"/>
                      <w:szCs w:val="20"/>
                    </w:rPr>
                    <w:t>5800mg/kg（大鼠经口）；20000mg/kg（兔经皮）</w:t>
                  </w:r>
                </w:p>
              </w:tc>
            </w:tr>
            <w:tr w14:paraId="6BFF3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BB3E70A">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7FB3516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健康危害</w:t>
                  </w:r>
                </w:p>
              </w:tc>
              <w:tc>
                <w:tcPr>
                  <w:tcW w:w="3353" w:type="pct"/>
                  <w:gridSpan w:val="5"/>
                  <w:vAlign w:val="center"/>
                </w:tcPr>
                <w:p w14:paraId="1D47F142">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1%丙烷，对人无影响；10%以下的浓度，只引起</w:t>
                  </w:r>
                  <w:r>
                    <w:rPr>
                      <w:rFonts w:hint="eastAsia" w:cs="Times New Roman"/>
                      <w:kern w:val="0"/>
                      <w:sz w:val="21"/>
                      <w:szCs w:val="20"/>
                    </w:rPr>
                    <w:t>轻度</w:t>
                  </w:r>
                  <w:r>
                    <w:rPr>
                      <w:rFonts w:cs="Times New Roman"/>
                      <w:kern w:val="0"/>
                      <w:sz w:val="21"/>
                      <w:szCs w:val="20"/>
                    </w:rPr>
                    <w:t>头晕；在较高浓度的丙烷、丁烷混合气体中毒时，有头痛、头晕、兴奋或嗜睡、恶心、呕吐、流涎、血压经度降低、脉缓、神经反射减弱、无病理反射；严重者出现麻醉状态、意志丧失；有的发生继发性肺炎。液态丙烷可致皮肤冻伤。</w:t>
                  </w:r>
                </w:p>
              </w:tc>
            </w:tr>
            <w:tr w14:paraId="5B078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87C2CEA">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0ED3D95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急救方法</w:t>
                  </w:r>
                </w:p>
              </w:tc>
              <w:tc>
                <w:tcPr>
                  <w:tcW w:w="3353" w:type="pct"/>
                  <w:gridSpan w:val="5"/>
                  <w:vAlign w:val="center"/>
                </w:tcPr>
                <w:p w14:paraId="70467BC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脱去并隔离被污染的衣服和鞋。接触液化气体，接触部位用温水泡复温。吸入：迅速脱离现场至空气新鲜处。保持呼吸道通畅。如呼吸困难，给输氧。如呼吸停止，立即进行人工呼吸。</w:t>
                  </w:r>
                </w:p>
              </w:tc>
            </w:tr>
            <w:tr w14:paraId="1D871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4BDCE16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燃烧爆炸危险性</w:t>
                  </w:r>
                </w:p>
              </w:tc>
              <w:tc>
                <w:tcPr>
                  <w:tcW w:w="2424" w:type="pct"/>
                  <w:gridSpan w:val="4"/>
                  <w:vAlign w:val="center"/>
                </w:tcPr>
                <w:p w14:paraId="73C0864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燃烧性：易燃</w:t>
                  </w:r>
                </w:p>
              </w:tc>
              <w:tc>
                <w:tcPr>
                  <w:tcW w:w="1847" w:type="pct"/>
                  <w:gridSpan w:val="2"/>
                  <w:vAlign w:val="center"/>
                </w:tcPr>
                <w:p w14:paraId="3BED66A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燃烧分解物：CO、CO</w:t>
                  </w:r>
                  <w:r>
                    <w:rPr>
                      <w:rFonts w:cs="Times New Roman"/>
                      <w:kern w:val="0"/>
                      <w:sz w:val="21"/>
                      <w:szCs w:val="20"/>
                      <w:vertAlign w:val="subscript"/>
                    </w:rPr>
                    <w:t>2</w:t>
                  </w:r>
                </w:p>
              </w:tc>
            </w:tr>
            <w:tr w14:paraId="071AE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62AD3549">
                  <w:pPr>
                    <w:widowControl/>
                    <w:adjustRightInd w:val="0"/>
                    <w:snapToGrid w:val="0"/>
                    <w:spacing w:line="240" w:lineRule="auto"/>
                    <w:ind w:firstLine="0" w:firstLineChars="0"/>
                    <w:jc w:val="center"/>
                    <w:textAlignment w:val="auto"/>
                    <w:rPr>
                      <w:rFonts w:cs="Times New Roman"/>
                      <w:kern w:val="0"/>
                      <w:sz w:val="21"/>
                      <w:szCs w:val="20"/>
                    </w:rPr>
                  </w:pPr>
                </w:p>
              </w:tc>
              <w:tc>
                <w:tcPr>
                  <w:tcW w:w="2424" w:type="pct"/>
                  <w:gridSpan w:val="4"/>
                  <w:vAlign w:val="center"/>
                </w:tcPr>
                <w:p w14:paraId="29E22416">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闪点/℃：-104</w:t>
                  </w:r>
                </w:p>
              </w:tc>
              <w:tc>
                <w:tcPr>
                  <w:tcW w:w="1847" w:type="pct"/>
                  <w:gridSpan w:val="2"/>
                  <w:vAlign w:val="center"/>
                </w:tcPr>
                <w:p w14:paraId="638F2F6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稳定性：稳定</w:t>
                  </w:r>
                </w:p>
              </w:tc>
            </w:tr>
            <w:tr w14:paraId="0C524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2DAAB750">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09473894">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危险特性：与空气混合能形成爆炸性混合物，遇明火、高热能引起燃烧爆炸。其蒸气比空气重，能在较低处扩散到相当远的地方，遇火源引着回燃。若遇到高热、涂料和橡胶。能积聚静电，引燃其蒸气。</w:t>
                  </w:r>
                </w:p>
              </w:tc>
            </w:tr>
            <w:tr w14:paraId="7D85C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4BAC9733">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37316894">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灭火方法：消防人员须佩戴防毒面具、穿全身消防服，站在上风向灭火。尽可能将容器从火场移至空旷处。喷水保持火场容器冷却，直至灭火结束。处在火场中的容器若已变色或从安全泄压装置中产生声音，必须马上撤离。灭火剂：雾状水、泡沫、干粉、二氧化碳、砂土。</w:t>
                  </w:r>
                </w:p>
              </w:tc>
            </w:tr>
            <w:tr w14:paraId="38A7C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0F86157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急救措施</w:t>
                  </w:r>
                </w:p>
              </w:tc>
              <w:tc>
                <w:tcPr>
                  <w:tcW w:w="4271" w:type="pct"/>
                  <w:gridSpan w:val="6"/>
                  <w:vAlign w:val="center"/>
                </w:tcPr>
                <w:p w14:paraId="25F30399">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皮肤接触：立即脱去被污染的衣着，用大量清水冲洗；</w:t>
                  </w:r>
                </w:p>
                <w:p w14:paraId="76DDDE5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眼睛接触：立即提起眼睑，用大量流动清水或生理盐水冲洗，就医；吸入：迅速脱离现场至空气新鲜处，保持呼吸道通畅，如呼吸困难，给输氧；如呼吸停止，立即进行人工呼吸，就医；食入：饮足量温水，催吐，就医。</w:t>
                  </w:r>
                </w:p>
              </w:tc>
            </w:tr>
            <w:tr w14:paraId="35DD9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178B81DC">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泄漏处理</w:t>
                  </w:r>
                </w:p>
              </w:tc>
              <w:tc>
                <w:tcPr>
                  <w:tcW w:w="4271" w:type="pct"/>
                  <w:gridSpan w:val="6"/>
                  <w:vAlign w:val="center"/>
                </w:tcPr>
                <w:p w14:paraId="5E018360">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迅速撤离泄漏污染区人员至安全区，并进行隔离，严格限制出入。切断火源。建议应急处理人员戴自给正压式呼吸器，穿防毒服。尽可能切断泄漏源。防止流入下水道、排洪沟等限制性空间。</w:t>
                  </w:r>
                </w:p>
                <w:p w14:paraId="7B19EB63">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小量泄漏：用砂土或其它不燃材料吸附或吸收。</w:t>
                  </w:r>
                </w:p>
                <w:p w14:paraId="2C683C49">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大量泄漏：构筑围堤或挖坑收容。用泵转移至槽车或专用收集器内，回收或运至废物处理场所处置。</w:t>
                  </w:r>
                </w:p>
              </w:tc>
            </w:tr>
          </w:tbl>
          <w:p w14:paraId="112315FE">
            <w:pPr>
              <w:widowControl/>
              <w:spacing w:before="163" w:beforeLines="50"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-7</w:t>
            </w:r>
            <w:r>
              <w:rPr>
                <w:rFonts w:hint="eastAsia" w:cs="Times New Roman"/>
                <w:b/>
                <w:kern w:val="0"/>
                <w:sz w:val="21"/>
              </w:rPr>
              <w:t xml:space="preserve">  丁烷理化性质一览表</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411"/>
              <w:gridCol w:w="593"/>
              <w:gridCol w:w="1364"/>
              <w:gridCol w:w="656"/>
              <w:gridCol w:w="1443"/>
              <w:gridCol w:w="1622"/>
            </w:tblGrid>
            <w:tr w14:paraId="1A01D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20" w:type="dxa"/>
                  <w:vMerge w:val="restart"/>
                  <w:vAlign w:val="center"/>
                </w:tcPr>
                <w:p w14:paraId="0A0F747D">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标识</w:t>
                  </w:r>
                </w:p>
              </w:tc>
              <w:tc>
                <w:tcPr>
                  <w:tcW w:w="2017" w:type="dxa"/>
                  <w:gridSpan w:val="2"/>
                  <w:vAlign w:val="center"/>
                </w:tcPr>
                <w:p w14:paraId="0DF49044">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中文名：丁烷</w:t>
                  </w:r>
                </w:p>
              </w:tc>
              <w:tc>
                <w:tcPr>
                  <w:tcW w:w="2034" w:type="dxa"/>
                  <w:gridSpan w:val="2"/>
                  <w:vAlign w:val="center"/>
                </w:tcPr>
                <w:p w14:paraId="7A4F44A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英文名：n-butane</w:t>
                  </w:r>
                </w:p>
              </w:tc>
              <w:tc>
                <w:tcPr>
                  <w:tcW w:w="1453" w:type="dxa"/>
                  <w:vMerge w:val="restart"/>
                  <w:vAlign w:val="center"/>
                </w:tcPr>
                <w:p w14:paraId="4E09FDE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分子式：C</w:t>
                  </w:r>
                  <w:r>
                    <w:rPr>
                      <w:rFonts w:cs="Times New Roman"/>
                      <w:kern w:val="0"/>
                      <w:sz w:val="21"/>
                      <w:szCs w:val="21"/>
                      <w:vertAlign w:val="subscript"/>
                    </w:rPr>
                    <w:t>3</w:t>
                  </w:r>
                  <w:r>
                    <w:rPr>
                      <w:rFonts w:cs="Times New Roman"/>
                      <w:kern w:val="0"/>
                      <w:sz w:val="21"/>
                      <w:szCs w:val="21"/>
                    </w:rPr>
                    <w:t>H</w:t>
                  </w:r>
                  <w:r>
                    <w:rPr>
                      <w:rFonts w:cs="Times New Roman"/>
                      <w:kern w:val="0"/>
                      <w:sz w:val="21"/>
                      <w:szCs w:val="21"/>
                      <w:vertAlign w:val="subscript"/>
                    </w:rPr>
                    <w:t>8</w:t>
                  </w:r>
                </w:p>
              </w:tc>
              <w:tc>
                <w:tcPr>
                  <w:tcW w:w="1634" w:type="dxa"/>
                  <w:vMerge w:val="restart"/>
                  <w:vAlign w:val="center"/>
                </w:tcPr>
                <w:p w14:paraId="705F7B1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分子量：44.10</w:t>
                  </w:r>
                </w:p>
              </w:tc>
            </w:tr>
            <w:tr w14:paraId="040FB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5482535D">
                  <w:pPr>
                    <w:widowControl/>
                    <w:adjustRightInd w:val="0"/>
                    <w:snapToGrid w:val="0"/>
                    <w:spacing w:line="240" w:lineRule="auto"/>
                    <w:ind w:firstLine="0" w:firstLineChars="0"/>
                    <w:jc w:val="center"/>
                    <w:textAlignment w:val="auto"/>
                    <w:rPr>
                      <w:rFonts w:cs="Times New Roman"/>
                      <w:kern w:val="0"/>
                      <w:sz w:val="21"/>
                      <w:szCs w:val="21"/>
                    </w:rPr>
                  </w:pPr>
                </w:p>
              </w:tc>
              <w:tc>
                <w:tcPr>
                  <w:tcW w:w="2017" w:type="dxa"/>
                  <w:gridSpan w:val="2"/>
                  <w:vAlign w:val="center"/>
                </w:tcPr>
                <w:p w14:paraId="26C4EB2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CAS号：106-97-8</w:t>
                  </w:r>
                </w:p>
              </w:tc>
              <w:tc>
                <w:tcPr>
                  <w:tcW w:w="2034" w:type="dxa"/>
                  <w:gridSpan w:val="2"/>
                  <w:vAlign w:val="center"/>
                </w:tcPr>
                <w:p w14:paraId="6B7E253C">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UN编号：1011</w:t>
                  </w:r>
                </w:p>
              </w:tc>
              <w:tc>
                <w:tcPr>
                  <w:tcW w:w="1453" w:type="dxa"/>
                  <w:vMerge w:val="continue"/>
                  <w:vAlign w:val="center"/>
                </w:tcPr>
                <w:p w14:paraId="6167687B">
                  <w:pPr>
                    <w:widowControl/>
                    <w:adjustRightInd w:val="0"/>
                    <w:snapToGrid w:val="0"/>
                    <w:spacing w:line="240" w:lineRule="auto"/>
                    <w:ind w:firstLine="0" w:firstLineChars="0"/>
                    <w:jc w:val="center"/>
                    <w:textAlignment w:val="auto"/>
                    <w:rPr>
                      <w:rFonts w:cs="Times New Roman"/>
                      <w:kern w:val="0"/>
                      <w:sz w:val="21"/>
                      <w:szCs w:val="21"/>
                    </w:rPr>
                  </w:pPr>
                </w:p>
              </w:tc>
              <w:tc>
                <w:tcPr>
                  <w:tcW w:w="1634" w:type="dxa"/>
                  <w:vMerge w:val="continue"/>
                  <w:vAlign w:val="center"/>
                </w:tcPr>
                <w:p w14:paraId="57200FEC">
                  <w:pPr>
                    <w:widowControl/>
                    <w:adjustRightInd w:val="0"/>
                    <w:snapToGrid w:val="0"/>
                    <w:spacing w:line="240" w:lineRule="auto"/>
                    <w:ind w:firstLine="0" w:firstLineChars="0"/>
                    <w:jc w:val="center"/>
                    <w:textAlignment w:val="auto"/>
                    <w:rPr>
                      <w:rFonts w:cs="Times New Roman"/>
                      <w:kern w:val="0"/>
                      <w:sz w:val="21"/>
                      <w:szCs w:val="21"/>
                    </w:rPr>
                  </w:pPr>
                </w:p>
              </w:tc>
            </w:tr>
            <w:tr w14:paraId="56E0F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restart"/>
                  <w:vAlign w:val="center"/>
                </w:tcPr>
                <w:p w14:paraId="69FB24F5">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理化性质</w:t>
                  </w:r>
                </w:p>
              </w:tc>
              <w:tc>
                <w:tcPr>
                  <w:tcW w:w="7138" w:type="dxa"/>
                  <w:gridSpan w:val="6"/>
                  <w:vAlign w:val="center"/>
                </w:tcPr>
                <w:p w14:paraId="62C5BC9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外观与形状：无色气体，有轻微的不愉快气</w:t>
                  </w:r>
                  <w:r>
                    <w:rPr>
                      <w:rFonts w:hint="eastAsia" w:cs="Times New Roman"/>
                      <w:kern w:val="0"/>
                      <w:sz w:val="21"/>
                      <w:szCs w:val="21"/>
                    </w:rPr>
                    <w:t>味</w:t>
                  </w:r>
                </w:p>
              </w:tc>
            </w:tr>
            <w:tr w14:paraId="7CD50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100F91D0">
                  <w:pPr>
                    <w:widowControl/>
                    <w:adjustRightInd w:val="0"/>
                    <w:snapToGrid w:val="0"/>
                    <w:spacing w:line="240" w:lineRule="auto"/>
                    <w:ind w:firstLine="0" w:firstLineChars="0"/>
                    <w:jc w:val="center"/>
                    <w:textAlignment w:val="auto"/>
                    <w:rPr>
                      <w:rFonts w:cs="Times New Roman"/>
                      <w:kern w:val="0"/>
                      <w:sz w:val="21"/>
                      <w:szCs w:val="21"/>
                    </w:rPr>
                  </w:pPr>
                </w:p>
              </w:tc>
              <w:tc>
                <w:tcPr>
                  <w:tcW w:w="3389" w:type="dxa"/>
                  <w:gridSpan w:val="3"/>
                  <w:vAlign w:val="center"/>
                </w:tcPr>
                <w:p w14:paraId="4059841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熔点（℃）-138.4</w:t>
                  </w:r>
                </w:p>
              </w:tc>
              <w:tc>
                <w:tcPr>
                  <w:tcW w:w="3749" w:type="dxa"/>
                  <w:gridSpan w:val="3"/>
                  <w:vAlign w:val="center"/>
                </w:tcPr>
                <w:p w14:paraId="452D7B03">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相对密度（水=1）0.58，（空气=1）2.05</w:t>
                  </w:r>
                </w:p>
              </w:tc>
            </w:tr>
            <w:tr w14:paraId="55811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13F9924E">
                  <w:pPr>
                    <w:widowControl/>
                    <w:adjustRightInd w:val="0"/>
                    <w:snapToGrid w:val="0"/>
                    <w:spacing w:line="240" w:lineRule="auto"/>
                    <w:ind w:firstLine="0" w:firstLineChars="0"/>
                    <w:jc w:val="center"/>
                    <w:textAlignment w:val="auto"/>
                    <w:rPr>
                      <w:rFonts w:cs="Times New Roman"/>
                      <w:kern w:val="0"/>
                      <w:sz w:val="21"/>
                      <w:szCs w:val="21"/>
                    </w:rPr>
                  </w:pPr>
                </w:p>
              </w:tc>
              <w:tc>
                <w:tcPr>
                  <w:tcW w:w="3389" w:type="dxa"/>
                  <w:gridSpan w:val="3"/>
                  <w:vAlign w:val="center"/>
                </w:tcPr>
                <w:p w14:paraId="686E7BE5">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沸点（℃）-0.5</w:t>
                  </w:r>
                </w:p>
              </w:tc>
              <w:tc>
                <w:tcPr>
                  <w:tcW w:w="3749" w:type="dxa"/>
                  <w:gridSpan w:val="3"/>
                  <w:vAlign w:val="center"/>
                </w:tcPr>
                <w:p w14:paraId="7193FDEB">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饱和蒸气压（kPa）106.39/0℃</w:t>
                  </w:r>
                </w:p>
              </w:tc>
            </w:tr>
            <w:tr w14:paraId="4B6E2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549AC6DB">
                  <w:pPr>
                    <w:widowControl/>
                    <w:adjustRightInd w:val="0"/>
                    <w:snapToGrid w:val="0"/>
                    <w:spacing w:line="240" w:lineRule="auto"/>
                    <w:ind w:firstLine="0" w:firstLineChars="0"/>
                    <w:jc w:val="center"/>
                    <w:textAlignment w:val="auto"/>
                    <w:rPr>
                      <w:rFonts w:cs="Times New Roman"/>
                      <w:kern w:val="0"/>
                      <w:sz w:val="21"/>
                      <w:szCs w:val="21"/>
                    </w:rPr>
                  </w:pPr>
                </w:p>
              </w:tc>
              <w:tc>
                <w:tcPr>
                  <w:tcW w:w="3389" w:type="dxa"/>
                  <w:gridSpan w:val="3"/>
                  <w:vAlign w:val="center"/>
                </w:tcPr>
                <w:p w14:paraId="50CBAEC0">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临界温度（℃）96.8</w:t>
                  </w:r>
                </w:p>
              </w:tc>
              <w:tc>
                <w:tcPr>
                  <w:tcW w:w="3749" w:type="dxa"/>
                  <w:gridSpan w:val="3"/>
                  <w:vAlign w:val="center"/>
                </w:tcPr>
                <w:p w14:paraId="30FBEADF">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临界压力（MPa）4.25</w:t>
                  </w:r>
                </w:p>
              </w:tc>
            </w:tr>
            <w:tr w14:paraId="7C6FC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5D063461">
                  <w:pPr>
                    <w:widowControl/>
                    <w:adjustRightInd w:val="0"/>
                    <w:snapToGrid w:val="0"/>
                    <w:spacing w:line="240" w:lineRule="auto"/>
                    <w:ind w:firstLine="0" w:firstLineChars="0"/>
                    <w:jc w:val="center"/>
                    <w:textAlignment w:val="auto"/>
                    <w:rPr>
                      <w:rFonts w:cs="Times New Roman"/>
                      <w:kern w:val="0"/>
                      <w:sz w:val="21"/>
                      <w:szCs w:val="21"/>
                    </w:rPr>
                  </w:pPr>
                </w:p>
              </w:tc>
              <w:tc>
                <w:tcPr>
                  <w:tcW w:w="3389" w:type="dxa"/>
                  <w:gridSpan w:val="3"/>
                  <w:vAlign w:val="center"/>
                </w:tcPr>
                <w:p w14:paraId="52145922">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溶解性</w:t>
                  </w:r>
                </w:p>
              </w:tc>
              <w:tc>
                <w:tcPr>
                  <w:tcW w:w="3749" w:type="dxa"/>
                  <w:gridSpan w:val="3"/>
                  <w:vAlign w:val="center"/>
                </w:tcPr>
                <w:p w14:paraId="71AC5CC4">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易溶于水、醇、氯仿</w:t>
                  </w:r>
                </w:p>
              </w:tc>
            </w:tr>
            <w:tr w14:paraId="5A5A2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restart"/>
                  <w:vAlign w:val="center"/>
                </w:tcPr>
                <w:p w14:paraId="686DC001">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毒性及健康危害</w:t>
                  </w:r>
                </w:p>
              </w:tc>
              <w:tc>
                <w:tcPr>
                  <w:tcW w:w="1418" w:type="dxa"/>
                  <w:vAlign w:val="center"/>
                </w:tcPr>
                <w:p w14:paraId="556BE1C5">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侵入途径</w:t>
                  </w:r>
                </w:p>
              </w:tc>
              <w:tc>
                <w:tcPr>
                  <w:tcW w:w="5720" w:type="dxa"/>
                  <w:gridSpan w:val="5"/>
                  <w:vAlign w:val="center"/>
                </w:tcPr>
                <w:p w14:paraId="26C122A0">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吸入</w:t>
                  </w:r>
                </w:p>
              </w:tc>
            </w:tr>
            <w:tr w14:paraId="3ED75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4FD8F774">
                  <w:pPr>
                    <w:widowControl/>
                    <w:adjustRightInd w:val="0"/>
                    <w:snapToGrid w:val="0"/>
                    <w:spacing w:line="240" w:lineRule="auto"/>
                    <w:ind w:firstLine="0" w:firstLineChars="0"/>
                    <w:jc w:val="center"/>
                    <w:textAlignment w:val="auto"/>
                    <w:rPr>
                      <w:rFonts w:cs="Times New Roman"/>
                      <w:kern w:val="0"/>
                      <w:sz w:val="21"/>
                      <w:szCs w:val="21"/>
                    </w:rPr>
                  </w:pPr>
                </w:p>
              </w:tc>
              <w:tc>
                <w:tcPr>
                  <w:tcW w:w="1418" w:type="dxa"/>
                  <w:vAlign w:val="center"/>
                </w:tcPr>
                <w:p w14:paraId="519A0A7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w:t>
                  </w:r>
                </w:p>
              </w:tc>
              <w:tc>
                <w:tcPr>
                  <w:tcW w:w="5720" w:type="dxa"/>
                  <w:gridSpan w:val="5"/>
                  <w:vAlign w:val="center"/>
                </w:tcPr>
                <w:p w14:paraId="1D902B3C">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LD</w:t>
                  </w:r>
                  <w:r>
                    <w:rPr>
                      <w:rFonts w:cs="Times New Roman"/>
                      <w:kern w:val="0"/>
                      <w:sz w:val="21"/>
                      <w:szCs w:val="21"/>
                      <w:vertAlign w:val="subscript"/>
                    </w:rPr>
                    <w:t>50</w:t>
                  </w:r>
                  <w:r>
                    <w:rPr>
                      <w:rFonts w:cs="Times New Roman"/>
                      <w:kern w:val="0"/>
                      <w:sz w:val="21"/>
                      <w:szCs w:val="21"/>
                    </w:rPr>
                    <w:t>：658000ppm，4小时（大鼠吸入）</w:t>
                  </w:r>
                </w:p>
              </w:tc>
            </w:tr>
            <w:tr w14:paraId="12023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65859B38">
                  <w:pPr>
                    <w:widowControl/>
                    <w:adjustRightInd w:val="0"/>
                    <w:snapToGrid w:val="0"/>
                    <w:spacing w:line="240" w:lineRule="auto"/>
                    <w:ind w:firstLine="0" w:firstLineChars="0"/>
                    <w:jc w:val="center"/>
                    <w:textAlignment w:val="auto"/>
                    <w:rPr>
                      <w:rFonts w:cs="Times New Roman"/>
                      <w:kern w:val="0"/>
                      <w:sz w:val="21"/>
                      <w:szCs w:val="21"/>
                    </w:rPr>
                  </w:pPr>
                </w:p>
              </w:tc>
              <w:tc>
                <w:tcPr>
                  <w:tcW w:w="1418" w:type="dxa"/>
                  <w:vAlign w:val="center"/>
                </w:tcPr>
                <w:p w14:paraId="51A0AA8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健康危害</w:t>
                  </w:r>
                </w:p>
              </w:tc>
              <w:tc>
                <w:tcPr>
                  <w:tcW w:w="5720" w:type="dxa"/>
                  <w:gridSpan w:val="5"/>
                  <w:vAlign w:val="center"/>
                </w:tcPr>
                <w:p w14:paraId="1BBBE30E">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高浓度有窒息和麻醉作用。急性中毒：主要症状有头晕、头痛、嗜睡和酒醉状态、严重者可昏迷。慢性影响：接触以丁烷为主的工人有头晕、头痛、睡眠不佳、疲倦等。</w:t>
                  </w:r>
                </w:p>
              </w:tc>
            </w:tr>
            <w:tr w14:paraId="5C6B1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7B348500">
                  <w:pPr>
                    <w:widowControl/>
                    <w:adjustRightInd w:val="0"/>
                    <w:snapToGrid w:val="0"/>
                    <w:spacing w:line="240" w:lineRule="auto"/>
                    <w:ind w:firstLine="0" w:firstLineChars="0"/>
                    <w:jc w:val="center"/>
                    <w:textAlignment w:val="auto"/>
                    <w:rPr>
                      <w:rFonts w:cs="Times New Roman"/>
                      <w:kern w:val="0"/>
                      <w:sz w:val="21"/>
                      <w:szCs w:val="21"/>
                    </w:rPr>
                  </w:pPr>
                </w:p>
              </w:tc>
              <w:tc>
                <w:tcPr>
                  <w:tcW w:w="1418" w:type="dxa"/>
                  <w:vAlign w:val="center"/>
                </w:tcPr>
                <w:p w14:paraId="28DF43B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急救方法</w:t>
                  </w:r>
                </w:p>
              </w:tc>
              <w:tc>
                <w:tcPr>
                  <w:tcW w:w="5720" w:type="dxa"/>
                  <w:gridSpan w:val="5"/>
                  <w:vAlign w:val="center"/>
                </w:tcPr>
                <w:p w14:paraId="1835A0EB">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吸入：迅速脱离现场至空气新鲜处。保持呼吸道通畅。如呼吸困难，给输氧。如呼吸停止，立即进行人工呼吸，就医。</w:t>
                  </w:r>
                </w:p>
              </w:tc>
            </w:tr>
            <w:tr w14:paraId="796F5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restart"/>
                  <w:vAlign w:val="center"/>
                </w:tcPr>
                <w:p w14:paraId="14747703">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燃烧爆炸危险性</w:t>
                  </w:r>
                </w:p>
              </w:tc>
              <w:tc>
                <w:tcPr>
                  <w:tcW w:w="4051" w:type="dxa"/>
                  <w:gridSpan w:val="4"/>
                  <w:vAlign w:val="center"/>
                </w:tcPr>
                <w:p w14:paraId="530667EF">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燃烧性：易燃</w:t>
                  </w:r>
                </w:p>
              </w:tc>
              <w:tc>
                <w:tcPr>
                  <w:tcW w:w="3087" w:type="dxa"/>
                  <w:gridSpan w:val="2"/>
                  <w:vAlign w:val="center"/>
                </w:tcPr>
                <w:p w14:paraId="37CE1E5B">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燃烧分解物：CO、CO</w:t>
                  </w:r>
                  <w:r>
                    <w:rPr>
                      <w:rFonts w:cs="Times New Roman"/>
                      <w:kern w:val="0"/>
                      <w:sz w:val="21"/>
                      <w:szCs w:val="21"/>
                      <w:vertAlign w:val="subscript"/>
                    </w:rPr>
                    <w:t>2</w:t>
                  </w:r>
                </w:p>
              </w:tc>
            </w:tr>
            <w:tr w14:paraId="7F379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40600CAB">
                  <w:pPr>
                    <w:widowControl/>
                    <w:adjustRightInd w:val="0"/>
                    <w:snapToGrid w:val="0"/>
                    <w:spacing w:line="240" w:lineRule="auto"/>
                    <w:ind w:firstLine="0" w:firstLineChars="0"/>
                    <w:jc w:val="center"/>
                    <w:textAlignment w:val="auto"/>
                    <w:rPr>
                      <w:rFonts w:cs="Times New Roman"/>
                      <w:kern w:val="0"/>
                      <w:sz w:val="21"/>
                      <w:szCs w:val="21"/>
                    </w:rPr>
                  </w:pPr>
                </w:p>
              </w:tc>
              <w:tc>
                <w:tcPr>
                  <w:tcW w:w="4051" w:type="dxa"/>
                  <w:gridSpan w:val="4"/>
                  <w:vAlign w:val="center"/>
                </w:tcPr>
                <w:p w14:paraId="3FD2CF84">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闪点/℃：-60</w:t>
                  </w:r>
                </w:p>
              </w:tc>
              <w:tc>
                <w:tcPr>
                  <w:tcW w:w="3087" w:type="dxa"/>
                  <w:gridSpan w:val="2"/>
                  <w:vAlign w:val="center"/>
                </w:tcPr>
                <w:p w14:paraId="156FDB2A">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引燃温度/℃：187</w:t>
                  </w:r>
                </w:p>
              </w:tc>
            </w:tr>
            <w:tr w14:paraId="598BF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1292A7F8">
                  <w:pPr>
                    <w:widowControl/>
                    <w:adjustRightInd w:val="0"/>
                    <w:snapToGrid w:val="0"/>
                    <w:spacing w:line="240" w:lineRule="auto"/>
                    <w:ind w:firstLine="0" w:firstLineChars="0"/>
                    <w:jc w:val="center"/>
                    <w:textAlignment w:val="auto"/>
                    <w:rPr>
                      <w:rFonts w:cs="Times New Roman"/>
                      <w:kern w:val="0"/>
                      <w:sz w:val="21"/>
                      <w:szCs w:val="21"/>
                    </w:rPr>
                  </w:pPr>
                </w:p>
              </w:tc>
              <w:tc>
                <w:tcPr>
                  <w:tcW w:w="7138" w:type="dxa"/>
                  <w:gridSpan w:val="6"/>
                  <w:vAlign w:val="center"/>
                </w:tcPr>
                <w:p w14:paraId="1F429CF4">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危险特性：易燃，与空气混合能形成爆炸性混合物，遇热源和明火有燃烧爆炸的危险。与氧化剂接触会剧烈反应。气体比空气重，能在较低处扩散到相当远的地方，遇到明火会引着回燃。</w:t>
                  </w:r>
                </w:p>
              </w:tc>
            </w:tr>
            <w:tr w14:paraId="00BD6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Merge w:val="continue"/>
                  <w:vAlign w:val="center"/>
                </w:tcPr>
                <w:p w14:paraId="69A413C4">
                  <w:pPr>
                    <w:widowControl/>
                    <w:adjustRightInd w:val="0"/>
                    <w:snapToGrid w:val="0"/>
                    <w:spacing w:line="240" w:lineRule="auto"/>
                    <w:ind w:firstLine="0" w:firstLineChars="0"/>
                    <w:jc w:val="center"/>
                    <w:textAlignment w:val="auto"/>
                    <w:rPr>
                      <w:rFonts w:cs="Times New Roman"/>
                      <w:kern w:val="0"/>
                      <w:sz w:val="21"/>
                      <w:szCs w:val="21"/>
                    </w:rPr>
                  </w:pPr>
                </w:p>
              </w:tc>
              <w:tc>
                <w:tcPr>
                  <w:tcW w:w="7138" w:type="dxa"/>
                  <w:gridSpan w:val="6"/>
                  <w:vAlign w:val="center"/>
                </w:tcPr>
                <w:p w14:paraId="56972D9A">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灭火方法：消防人员须佩戴防毒面具、穿全身消防服，站在上风向灭火。尽可能将容器从火场移至空旷处。喷水保持火场容器冷却，直至灭火结束。处在火场中的容器若已变色或从安全泄压装置中产生声音，必须马上撤离。灭火剂：雾状水、泡沫、干粉、二氧化碳、砂土。</w:t>
                  </w:r>
                </w:p>
              </w:tc>
            </w:tr>
            <w:tr w14:paraId="47518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7C22B2B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急救措施</w:t>
                  </w:r>
                </w:p>
              </w:tc>
              <w:tc>
                <w:tcPr>
                  <w:tcW w:w="7138" w:type="dxa"/>
                  <w:gridSpan w:val="6"/>
                  <w:vAlign w:val="center"/>
                </w:tcPr>
                <w:p w14:paraId="5A2F2884">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皮肤接触：立即脱去被污染的衣着，用大量清水冲洗；</w:t>
                  </w:r>
                </w:p>
                <w:p w14:paraId="5E323614">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眼睛接触：立即提起眼睑，用大量流动清水或生理盐水冲洗，就医；吸入：迅速脱离现场至空气新鲜处，保持呼吸道通畅，如呼吸困难，给输氧；如呼吸停止，立即进行人工呼吸，就医；食入：饮足量温水，催吐，就医。</w:t>
                  </w:r>
                </w:p>
              </w:tc>
            </w:tr>
            <w:tr w14:paraId="74730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20" w:type="dxa"/>
                  <w:vAlign w:val="center"/>
                </w:tcPr>
                <w:p w14:paraId="1EA31255">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泄漏处理</w:t>
                  </w:r>
                </w:p>
              </w:tc>
              <w:tc>
                <w:tcPr>
                  <w:tcW w:w="7138" w:type="dxa"/>
                  <w:gridSpan w:val="6"/>
                  <w:vAlign w:val="center"/>
                </w:tcPr>
                <w:p w14:paraId="710305D1">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迅速撤离泄漏污染区人员至安全区，并进行隔离，严格限制出入。切断火源。建议应急处理人员戴自给正压式呼吸器，穿防毒服。尽可能切断泄漏源。防止流入下水道、排洪沟等限制性空间。</w:t>
                  </w:r>
                </w:p>
                <w:p w14:paraId="1C0312F2">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小量泄漏：用砂土或其它不燃材料吸附或吸收。</w:t>
                  </w:r>
                </w:p>
                <w:p w14:paraId="3CFA96AC">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大量泄漏：构筑围堤或挖坑收容。用泵转移至槽车或专用收集器内，回收或运至废物处理场所处置。</w:t>
                  </w:r>
                </w:p>
              </w:tc>
            </w:tr>
          </w:tbl>
          <w:p w14:paraId="5AD987D1">
            <w:pPr>
              <w:widowControl/>
              <w:spacing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w:t>
            </w:r>
            <w:r>
              <w:rPr>
                <w:rFonts w:hint="eastAsia" w:cs="Times New Roman"/>
                <w:b/>
                <w:kern w:val="0"/>
                <w:sz w:val="21"/>
              </w:rPr>
              <w:t>8  氧的理化性质及毒性一览表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514"/>
              <w:gridCol w:w="404"/>
              <w:gridCol w:w="1558"/>
              <w:gridCol w:w="656"/>
              <w:gridCol w:w="1443"/>
              <w:gridCol w:w="1626"/>
            </w:tblGrid>
            <w:tr w14:paraId="43F97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3" w:type="pct"/>
                  <w:vMerge w:val="restart"/>
                  <w:vAlign w:val="center"/>
                </w:tcPr>
                <w:p w14:paraId="663C4F6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标识</w:t>
                  </w:r>
                </w:p>
              </w:tc>
              <w:tc>
                <w:tcPr>
                  <w:tcW w:w="1155" w:type="pct"/>
                  <w:gridSpan w:val="2"/>
                  <w:vAlign w:val="center"/>
                </w:tcPr>
                <w:p w14:paraId="32BF845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中文名：</w:t>
                  </w:r>
                  <w:r>
                    <w:rPr>
                      <w:rFonts w:hint="eastAsia" w:cs="Times New Roman"/>
                      <w:kern w:val="0"/>
                      <w:sz w:val="21"/>
                      <w:szCs w:val="20"/>
                    </w:rPr>
                    <w:t>液氧</w:t>
                  </w:r>
                </w:p>
              </w:tc>
              <w:tc>
                <w:tcPr>
                  <w:tcW w:w="1333" w:type="pct"/>
                  <w:gridSpan w:val="2"/>
                  <w:vAlign w:val="center"/>
                </w:tcPr>
                <w:p w14:paraId="784456C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英文名：</w:t>
                  </w:r>
                  <w:r>
                    <w:rPr>
                      <w:rFonts w:hint="eastAsia" w:cs="Times New Roman"/>
                      <w:kern w:val="0"/>
                      <w:sz w:val="21"/>
                      <w:szCs w:val="20"/>
                    </w:rPr>
                    <w:t>Oxygen</w:t>
                  </w:r>
                </w:p>
              </w:tc>
              <w:tc>
                <w:tcPr>
                  <w:tcW w:w="869" w:type="pct"/>
                  <w:vMerge w:val="restart"/>
                  <w:vAlign w:val="center"/>
                </w:tcPr>
                <w:p w14:paraId="70C2802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分子式：</w:t>
                  </w:r>
                  <w:r>
                    <w:rPr>
                      <w:rFonts w:hint="eastAsia" w:cs="Times New Roman"/>
                      <w:kern w:val="0"/>
                      <w:sz w:val="21"/>
                      <w:szCs w:val="20"/>
                    </w:rPr>
                    <w:t>O</w:t>
                  </w:r>
                  <w:r>
                    <w:rPr>
                      <w:rFonts w:hint="eastAsia" w:cs="Times New Roman"/>
                      <w:kern w:val="0"/>
                      <w:sz w:val="21"/>
                      <w:szCs w:val="20"/>
                      <w:vertAlign w:val="subscript"/>
                    </w:rPr>
                    <w:t>2</w:t>
                  </w:r>
                </w:p>
              </w:tc>
              <w:tc>
                <w:tcPr>
                  <w:tcW w:w="978" w:type="pct"/>
                  <w:vMerge w:val="restart"/>
                  <w:vAlign w:val="center"/>
                </w:tcPr>
                <w:p w14:paraId="70BAA92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分子量：</w:t>
                  </w:r>
                  <w:r>
                    <w:rPr>
                      <w:rFonts w:hint="eastAsia" w:cs="Times New Roman"/>
                      <w:kern w:val="0"/>
                      <w:sz w:val="21"/>
                      <w:szCs w:val="20"/>
                    </w:rPr>
                    <w:t>32g/mol</w:t>
                  </w:r>
                </w:p>
              </w:tc>
            </w:tr>
            <w:tr w14:paraId="101E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53FBDE0A">
                  <w:pPr>
                    <w:widowControl/>
                    <w:adjustRightInd w:val="0"/>
                    <w:snapToGrid w:val="0"/>
                    <w:spacing w:line="240" w:lineRule="auto"/>
                    <w:ind w:firstLine="0" w:firstLineChars="0"/>
                    <w:jc w:val="center"/>
                    <w:textAlignment w:val="auto"/>
                    <w:rPr>
                      <w:rFonts w:cs="Times New Roman"/>
                      <w:kern w:val="0"/>
                      <w:sz w:val="21"/>
                      <w:szCs w:val="20"/>
                    </w:rPr>
                  </w:pPr>
                </w:p>
              </w:tc>
              <w:tc>
                <w:tcPr>
                  <w:tcW w:w="1155" w:type="pct"/>
                  <w:gridSpan w:val="2"/>
                  <w:vAlign w:val="center"/>
                </w:tcPr>
                <w:p w14:paraId="0081FD2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CAS号：</w:t>
                  </w:r>
                  <w:r>
                    <w:rPr>
                      <w:rFonts w:hint="eastAsia" w:cs="Times New Roman"/>
                      <w:kern w:val="0"/>
                      <w:sz w:val="21"/>
                      <w:szCs w:val="20"/>
                    </w:rPr>
                    <w:t>7782-44-7</w:t>
                  </w:r>
                </w:p>
              </w:tc>
              <w:tc>
                <w:tcPr>
                  <w:tcW w:w="1333" w:type="pct"/>
                  <w:gridSpan w:val="2"/>
                  <w:vAlign w:val="center"/>
                </w:tcPr>
                <w:p w14:paraId="15D97AA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UN编号：</w:t>
                  </w:r>
                  <w:r>
                    <w:rPr>
                      <w:rFonts w:hint="eastAsia" w:cs="Times New Roman"/>
                      <w:kern w:val="0"/>
                      <w:sz w:val="21"/>
                      <w:szCs w:val="20"/>
                    </w:rPr>
                    <w:t>1072</w:t>
                  </w:r>
                </w:p>
              </w:tc>
              <w:tc>
                <w:tcPr>
                  <w:tcW w:w="869" w:type="pct"/>
                  <w:vMerge w:val="continue"/>
                  <w:vAlign w:val="center"/>
                </w:tcPr>
                <w:p w14:paraId="5342A544">
                  <w:pPr>
                    <w:widowControl/>
                    <w:adjustRightInd w:val="0"/>
                    <w:snapToGrid w:val="0"/>
                    <w:spacing w:line="240" w:lineRule="auto"/>
                    <w:ind w:firstLine="0" w:firstLineChars="0"/>
                    <w:jc w:val="center"/>
                    <w:textAlignment w:val="auto"/>
                    <w:rPr>
                      <w:rFonts w:cs="Times New Roman"/>
                      <w:kern w:val="0"/>
                      <w:sz w:val="21"/>
                      <w:szCs w:val="20"/>
                    </w:rPr>
                  </w:pPr>
                </w:p>
              </w:tc>
              <w:tc>
                <w:tcPr>
                  <w:tcW w:w="978" w:type="pct"/>
                  <w:vMerge w:val="continue"/>
                  <w:vAlign w:val="center"/>
                </w:tcPr>
                <w:p w14:paraId="3ECB162E">
                  <w:pPr>
                    <w:widowControl/>
                    <w:adjustRightInd w:val="0"/>
                    <w:snapToGrid w:val="0"/>
                    <w:spacing w:line="240" w:lineRule="auto"/>
                    <w:ind w:firstLine="0" w:firstLineChars="0"/>
                    <w:jc w:val="center"/>
                    <w:textAlignment w:val="auto"/>
                    <w:rPr>
                      <w:rFonts w:cs="Times New Roman"/>
                      <w:kern w:val="0"/>
                      <w:sz w:val="21"/>
                      <w:szCs w:val="20"/>
                    </w:rPr>
                  </w:pPr>
                </w:p>
              </w:tc>
            </w:tr>
            <w:tr w14:paraId="4421D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restart"/>
                  <w:vAlign w:val="center"/>
                </w:tcPr>
                <w:p w14:paraId="0568281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理化性质</w:t>
                  </w:r>
                </w:p>
              </w:tc>
              <w:tc>
                <w:tcPr>
                  <w:tcW w:w="4336" w:type="pct"/>
                  <w:gridSpan w:val="6"/>
                  <w:vAlign w:val="center"/>
                </w:tcPr>
                <w:p w14:paraId="07D6525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外观与形状：</w:t>
                  </w:r>
                  <w:r>
                    <w:rPr>
                      <w:rFonts w:hint="eastAsia" w:cs="Times New Roman"/>
                      <w:kern w:val="0"/>
                      <w:sz w:val="21"/>
                      <w:szCs w:val="20"/>
                    </w:rPr>
                    <w:t>无色、无味气体（液态氧为淡蓝色，具有强顺磁性）</w:t>
                  </w:r>
                </w:p>
              </w:tc>
            </w:tr>
            <w:tr w14:paraId="32CC3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60CD3D9C">
                  <w:pPr>
                    <w:widowControl/>
                    <w:adjustRightInd w:val="0"/>
                    <w:snapToGrid w:val="0"/>
                    <w:spacing w:line="240" w:lineRule="auto"/>
                    <w:ind w:firstLine="0" w:firstLineChars="0"/>
                    <w:jc w:val="center"/>
                    <w:textAlignment w:val="auto"/>
                    <w:rPr>
                      <w:rFonts w:cs="Times New Roman"/>
                      <w:kern w:val="0"/>
                      <w:sz w:val="21"/>
                      <w:szCs w:val="20"/>
                    </w:rPr>
                  </w:pPr>
                </w:p>
              </w:tc>
              <w:tc>
                <w:tcPr>
                  <w:tcW w:w="2093" w:type="pct"/>
                  <w:gridSpan w:val="3"/>
                  <w:vAlign w:val="center"/>
                </w:tcPr>
                <w:p w14:paraId="3CC1812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熔点（℃）</w:t>
                  </w:r>
                  <w:r>
                    <w:rPr>
                      <w:rFonts w:hint="eastAsia" w:cs="Times New Roman"/>
                      <w:kern w:val="0"/>
                      <w:sz w:val="21"/>
                      <w:szCs w:val="20"/>
                    </w:rPr>
                    <w:t>-222.65</w:t>
                  </w:r>
                </w:p>
              </w:tc>
              <w:tc>
                <w:tcPr>
                  <w:tcW w:w="2243" w:type="pct"/>
                  <w:gridSpan w:val="3"/>
                  <w:vAlign w:val="center"/>
                </w:tcPr>
                <w:p w14:paraId="6685B70C">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密度</w:t>
                  </w:r>
                  <w:r>
                    <w:rPr>
                      <w:rFonts w:hint="eastAsia" w:cs="Times New Roman"/>
                      <w:kern w:val="0"/>
                      <w:sz w:val="21"/>
                      <w:szCs w:val="20"/>
                    </w:rPr>
                    <w:t>1.429g/L</w:t>
                  </w:r>
                </w:p>
              </w:tc>
            </w:tr>
            <w:tr w14:paraId="36B86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5EB79574">
                  <w:pPr>
                    <w:widowControl/>
                    <w:adjustRightInd w:val="0"/>
                    <w:snapToGrid w:val="0"/>
                    <w:spacing w:line="240" w:lineRule="auto"/>
                    <w:ind w:firstLine="0" w:firstLineChars="0"/>
                    <w:jc w:val="center"/>
                    <w:textAlignment w:val="auto"/>
                    <w:rPr>
                      <w:rFonts w:cs="Times New Roman"/>
                      <w:kern w:val="0"/>
                      <w:sz w:val="21"/>
                      <w:szCs w:val="20"/>
                    </w:rPr>
                  </w:pPr>
                </w:p>
              </w:tc>
              <w:tc>
                <w:tcPr>
                  <w:tcW w:w="2093" w:type="pct"/>
                  <w:gridSpan w:val="3"/>
                  <w:vAlign w:val="center"/>
                </w:tcPr>
                <w:p w14:paraId="43ED67C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沸点（℃）</w:t>
                  </w:r>
                  <w:r>
                    <w:rPr>
                      <w:rFonts w:hint="eastAsia" w:cs="Times New Roman"/>
                      <w:kern w:val="0"/>
                      <w:sz w:val="21"/>
                      <w:szCs w:val="20"/>
                    </w:rPr>
                    <w:t>-183</w:t>
                  </w:r>
                </w:p>
              </w:tc>
              <w:tc>
                <w:tcPr>
                  <w:tcW w:w="2243" w:type="pct"/>
                  <w:gridSpan w:val="3"/>
                  <w:vAlign w:val="center"/>
                </w:tcPr>
                <w:p w14:paraId="05B2C83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饱和蒸气压（kPa）</w:t>
                  </w:r>
                  <w:r>
                    <w:rPr>
                      <w:rFonts w:hint="eastAsia" w:cs="Times New Roman"/>
                      <w:kern w:val="0"/>
                      <w:sz w:val="21"/>
                      <w:szCs w:val="20"/>
                    </w:rPr>
                    <w:t>506.62</w:t>
                  </w:r>
                  <w:r>
                    <w:rPr>
                      <w:rFonts w:cs="Times New Roman"/>
                      <w:kern w:val="0"/>
                      <w:sz w:val="21"/>
                      <w:szCs w:val="20"/>
                    </w:rPr>
                    <w:t>/-</w:t>
                  </w:r>
                  <w:r>
                    <w:rPr>
                      <w:rFonts w:hint="eastAsia" w:cs="Times New Roman"/>
                      <w:kern w:val="0"/>
                      <w:sz w:val="21"/>
                      <w:szCs w:val="20"/>
                    </w:rPr>
                    <w:t>164</w:t>
                  </w:r>
                  <w:r>
                    <w:rPr>
                      <w:rFonts w:cs="Times New Roman"/>
                      <w:kern w:val="0"/>
                      <w:sz w:val="21"/>
                      <w:szCs w:val="20"/>
                    </w:rPr>
                    <w:t>℃</w:t>
                  </w:r>
                </w:p>
              </w:tc>
            </w:tr>
            <w:tr w14:paraId="37A02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5C4241B3">
                  <w:pPr>
                    <w:widowControl/>
                    <w:adjustRightInd w:val="0"/>
                    <w:snapToGrid w:val="0"/>
                    <w:spacing w:line="240" w:lineRule="auto"/>
                    <w:ind w:firstLine="0" w:firstLineChars="0"/>
                    <w:jc w:val="center"/>
                    <w:textAlignment w:val="auto"/>
                    <w:rPr>
                      <w:rFonts w:cs="Times New Roman"/>
                      <w:kern w:val="0"/>
                      <w:sz w:val="21"/>
                      <w:szCs w:val="20"/>
                    </w:rPr>
                  </w:pPr>
                </w:p>
              </w:tc>
              <w:tc>
                <w:tcPr>
                  <w:tcW w:w="2093" w:type="pct"/>
                  <w:gridSpan w:val="3"/>
                  <w:vAlign w:val="center"/>
                </w:tcPr>
                <w:p w14:paraId="74DF59C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临界温度（℃）</w:t>
                  </w:r>
                  <w:r>
                    <w:rPr>
                      <w:rFonts w:hint="eastAsia" w:cs="Times New Roman"/>
                      <w:kern w:val="0"/>
                      <w:sz w:val="21"/>
                      <w:szCs w:val="20"/>
                    </w:rPr>
                    <w:t>-118.4</w:t>
                  </w:r>
                </w:p>
              </w:tc>
              <w:tc>
                <w:tcPr>
                  <w:tcW w:w="2243" w:type="pct"/>
                  <w:gridSpan w:val="3"/>
                  <w:vAlign w:val="center"/>
                </w:tcPr>
                <w:p w14:paraId="3782FFE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临界压力（MPa）</w:t>
                  </w:r>
                  <w:r>
                    <w:rPr>
                      <w:rFonts w:hint="eastAsia" w:cs="Times New Roman"/>
                      <w:kern w:val="0"/>
                      <w:sz w:val="21"/>
                      <w:szCs w:val="20"/>
                    </w:rPr>
                    <w:t>5.08</w:t>
                  </w:r>
                </w:p>
              </w:tc>
            </w:tr>
            <w:tr w14:paraId="446C6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157147AB">
                  <w:pPr>
                    <w:widowControl/>
                    <w:adjustRightInd w:val="0"/>
                    <w:snapToGrid w:val="0"/>
                    <w:spacing w:line="240" w:lineRule="auto"/>
                    <w:ind w:firstLine="0" w:firstLineChars="0"/>
                    <w:jc w:val="center"/>
                    <w:textAlignment w:val="auto"/>
                    <w:rPr>
                      <w:rFonts w:cs="Times New Roman"/>
                      <w:kern w:val="0"/>
                      <w:sz w:val="21"/>
                      <w:szCs w:val="20"/>
                    </w:rPr>
                  </w:pPr>
                </w:p>
              </w:tc>
              <w:tc>
                <w:tcPr>
                  <w:tcW w:w="2093" w:type="pct"/>
                  <w:gridSpan w:val="3"/>
                  <w:vAlign w:val="center"/>
                </w:tcPr>
                <w:p w14:paraId="35D71CF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溶解性</w:t>
                  </w:r>
                </w:p>
              </w:tc>
              <w:tc>
                <w:tcPr>
                  <w:tcW w:w="2243" w:type="pct"/>
                  <w:gridSpan w:val="3"/>
                  <w:vAlign w:val="center"/>
                </w:tcPr>
                <w:p w14:paraId="187E681A">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微溶于水（49mg/L，20℃），易溶于有机溶剂</w:t>
                  </w:r>
                </w:p>
              </w:tc>
            </w:tr>
            <w:tr w14:paraId="7465D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restart"/>
                  <w:vAlign w:val="center"/>
                </w:tcPr>
                <w:p w14:paraId="0ED4782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毒性及健康危害</w:t>
                  </w:r>
                </w:p>
              </w:tc>
              <w:tc>
                <w:tcPr>
                  <w:tcW w:w="912" w:type="pct"/>
                  <w:vAlign w:val="center"/>
                </w:tcPr>
                <w:p w14:paraId="0811567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侵入途径</w:t>
                  </w:r>
                </w:p>
              </w:tc>
              <w:tc>
                <w:tcPr>
                  <w:tcW w:w="3424" w:type="pct"/>
                  <w:gridSpan w:val="5"/>
                  <w:vAlign w:val="center"/>
                </w:tcPr>
                <w:p w14:paraId="1C2FE4B6">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高浓度</w:t>
                  </w:r>
                  <w:r>
                    <w:rPr>
                      <w:rFonts w:cs="Times New Roman"/>
                      <w:kern w:val="0"/>
                      <w:sz w:val="21"/>
                      <w:szCs w:val="20"/>
                    </w:rPr>
                    <w:t>吸入</w:t>
                  </w:r>
                  <w:r>
                    <w:rPr>
                      <w:rFonts w:hint="eastAsia" w:cs="Times New Roman"/>
                      <w:kern w:val="0"/>
                      <w:sz w:val="21"/>
                      <w:szCs w:val="20"/>
                    </w:rPr>
                    <w:t>（气态）；皮肤接触（液态）</w:t>
                  </w:r>
                </w:p>
              </w:tc>
            </w:tr>
            <w:tr w14:paraId="2BE54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012E0AA7">
                  <w:pPr>
                    <w:widowControl/>
                    <w:adjustRightInd w:val="0"/>
                    <w:snapToGrid w:val="0"/>
                    <w:spacing w:line="240" w:lineRule="auto"/>
                    <w:ind w:firstLine="0" w:firstLineChars="0"/>
                    <w:jc w:val="center"/>
                    <w:textAlignment w:val="auto"/>
                    <w:rPr>
                      <w:rFonts w:cs="Times New Roman"/>
                      <w:kern w:val="0"/>
                      <w:sz w:val="21"/>
                      <w:szCs w:val="20"/>
                    </w:rPr>
                  </w:pPr>
                </w:p>
              </w:tc>
              <w:tc>
                <w:tcPr>
                  <w:tcW w:w="912" w:type="pct"/>
                  <w:vAlign w:val="center"/>
                </w:tcPr>
                <w:p w14:paraId="5E5B5B3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w:t>
                  </w:r>
                </w:p>
              </w:tc>
              <w:tc>
                <w:tcPr>
                  <w:tcW w:w="3424" w:type="pct"/>
                  <w:gridSpan w:val="5"/>
                  <w:vAlign w:val="center"/>
                </w:tcPr>
                <w:p w14:paraId="71C84AAA">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 xml:space="preserve">高浓度氧促进活性氧（ROS）生成，破坏细胞膜/蛋白质/DNA  </w:t>
                  </w:r>
                </w:p>
              </w:tc>
            </w:tr>
            <w:tr w14:paraId="72018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1695FA41">
                  <w:pPr>
                    <w:widowControl/>
                    <w:adjustRightInd w:val="0"/>
                    <w:snapToGrid w:val="0"/>
                    <w:spacing w:line="240" w:lineRule="auto"/>
                    <w:ind w:firstLine="0" w:firstLineChars="0"/>
                    <w:jc w:val="center"/>
                    <w:textAlignment w:val="auto"/>
                    <w:rPr>
                      <w:rFonts w:cs="Times New Roman"/>
                      <w:kern w:val="0"/>
                      <w:sz w:val="21"/>
                      <w:szCs w:val="20"/>
                    </w:rPr>
                  </w:pPr>
                </w:p>
              </w:tc>
              <w:tc>
                <w:tcPr>
                  <w:tcW w:w="912" w:type="pct"/>
                  <w:vAlign w:val="center"/>
                </w:tcPr>
                <w:p w14:paraId="12AE5C7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健康危害</w:t>
                  </w:r>
                </w:p>
              </w:tc>
              <w:tc>
                <w:tcPr>
                  <w:tcW w:w="3424" w:type="pct"/>
                  <w:gridSpan w:val="5"/>
                  <w:vAlign w:val="center"/>
                </w:tcPr>
                <w:p w14:paraId="461F0F30">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40%-60%氧浓度：胸骨后不适、咳嗽、胸闷，严重可致肺水肿；</w:t>
                  </w:r>
                </w:p>
                <w:p w14:paraId="30966DDE">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&gt;80%氧浓度：面部抽搐、眩晕、昏迷、呼吸衰竭，甚至死亡；</w:t>
                  </w:r>
                </w:p>
                <w:p w14:paraId="1601B7CA">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长期暴露：氧分压60-100kPa（≈40%浓度）可致眼损伤，严重者失明；</w:t>
                  </w:r>
                </w:p>
                <w:p w14:paraId="5AF48790">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液态接触：-183℃低温导致严重冻伤，组织坏死。</w:t>
                  </w:r>
                </w:p>
              </w:tc>
            </w:tr>
            <w:tr w14:paraId="13578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40C7B9DA">
                  <w:pPr>
                    <w:widowControl/>
                    <w:adjustRightInd w:val="0"/>
                    <w:snapToGrid w:val="0"/>
                    <w:spacing w:line="240" w:lineRule="auto"/>
                    <w:ind w:firstLine="0" w:firstLineChars="0"/>
                    <w:jc w:val="center"/>
                    <w:textAlignment w:val="auto"/>
                    <w:rPr>
                      <w:rFonts w:cs="Times New Roman"/>
                      <w:kern w:val="0"/>
                      <w:sz w:val="21"/>
                      <w:szCs w:val="20"/>
                    </w:rPr>
                  </w:pPr>
                </w:p>
              </w:tc>
              <w:tc>
                <w:tcPr>
                  <w:tcW w:w="912" w:type="pct"/>
                  <w:vAlign w:val="center"/>
                </w:tcPr>
                <w:p w14:paraId="4931C439">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环境风险</w:t>
                  </w:r>
                </w:p>
              </w:tc>
              <w:tc>
                <w:tcPr>
                  <w:tcW w:w="3424" w:type="pct"/>
                  <w:gridSpan w:val="5"/>
                  <w:vAlign w:val="center"/>
                </w:tcPr>
                <w:p w14:paraId="1541AB5B">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无直接生态毒性，但可能间接促进其他物质氧化反应</w:t>
                  </w:r>
                  <w:r>
                    <w:rPr>
                      <w:rFonts w:cs="Times New Roman"/>
                      <w:kern w:val="0"/>
                      <w:sz w:val="21"/>
                      <w:szCs w:val="20"/>
                    </w:rPr>
                    <w:t>。</w:t>
                  </w:r>
                </w:p>
              </w:tc>
            </w:tr>
            <w:tr w14:paraId="6E889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restart"/>
                  <w:vAlign w:val="center"/>
                </w:tcPr>
                <w:p w14:paraId="1F72815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燃烧爆炸危险性</w:t>
                  </w:r>
                </w:p>
              </w:tc>
              <w:tc>
                <w:tcPr>
                  <w:tcW w:w="2488" w:type="pct"/>
                  <w:gridSpan w:val="4"/>
                  <w:vAlign w:val="center"/>
                </w:tcPr>
                <w:p w14:paraId="06D9393C">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燃烧性：</w:t>
                  </w:r>
                  <w:r>
                    <w:rPr>
                      <w:rFonts w:hint="eastAsia" w:cs="Times New Roman"/>
                      <w:kern w:val="0"/>
                      <w:sz w:val="21"/>
                      <w:szCs w:val="20"/>
                    </w:rPr>
                    <w:t>助燃剂，本身不可燃</w:t>
                  </w:r>
                </w:p>
              </w:tc>
              <w:tc>
                <w:tcPr>
                  <w:tcW w:w="1847" w:type="pct"/>
                  <w:gridSpan w:val="2"/>
                  <w:vAlign w:val="center"/>
                </w:tcPr>
                <w:p w14:paraId="5675569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燃烧分解物：</w:t>
                  </w:r>
                  <w:r>
                    <w:rPr>
                      <w:rFonts w:hint="eastAsia" w:cs="Times New Roman"/>
                      <w:kern w:val="0"/>
                      <w:sz w:val="21"/>
                      <w:szCs w:val="20"/>
                    </w:rPr>
                    <w:t>/</w:t>
                  </w:r>
                </w:p>
              </w:tc>
            </w:tr>
            <w:tr w14:paraId="4D3E6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094114B1">
                  <w:pPr>
                    <w:widowControl/>
                    <w:adjustRightInd w:val="0"/>
                    <w:snapToGrid w:val="0"/>
                    <w:spacing w:line="240" w:lineRule="auto"/>
                    <w:ind w:firstLine="0" w:firstLineChars="0"/>
                    <w:jc w:val="center"/>
                    <w:textAlignment w:val="auto"/>
                    <w:rPr>
                      <w:rFonts w:cs="Times New Roman"/>
                      <w:kern w:val="0"/>
                      <w:sz w:val="21"/>
                      <w:szCs w:val="20"/>
                    </w:rPr>
                  </w:pPr>
                </w:p>
              </w:tc>
              <w:tc>
                <w:tcPr>
                  <w:tcW w:w="2488" w:type="pct"/>
                  <w:gridSpan w:val="4"/>
                  <w:vAlign w:val="center"/>
                </w:tcPr>
                <w:p w14:paraId="20C3709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闪点</w:t>
                  </w:r>
                  <w:r>
                    <w:rPr>
                      <w:rFonts w:hint="eastAsia" w:cs="Times New Roman"/>
                      <w:kern w:val="0"/>
                      <w:sz w:val="21"/>
                      <w:szCs w:val="20"/>
                    </w:rPr>
                    <w:t>（液态）</w:t>
                  </w:r>
                  <w:r>
                    <w:rPr>
                      <w:rFonts w:cs="Times New Roman"/>
                      <w:kern w:val="0"/>
                      <w:sz w:val="21"/>
                      <w:szCs w:val="20"/>
                    </w:rPr>
                    <w:t>/</w:t>
                  </w:r>
                  <w:r>
                    <w:rPr>
                      <w:rFonts w:hint="eastAsia" w:cs="Times New Roman"/>
                      <w:kern w:val="0"/>
                      <w:sz w:val="21"/>
                      <w:szCs w:val="20"/>
                    </w:rPr>
                    <w:t>421.9</w:t>
                  </w:r>
                  <w:r>
                    <w:rPr>
                      <w:rFonts w:cs="Times New Roman"/>
                      <w:kern w:val="0"/>
                      <w:sz w:val="21"/>
                      <w:szCs w:val="20"/>
                    </w:rPr>
                    <w:t>℃</w:t>
                  </w:r>
                </w:p>
              </w:tc>
              <w:tc>
                <w:tcPr>
                  <w:tcW w:w="1847" w:type="pct"/>
                  <w:gridSpan w:val="2"/>
                  <w:vAlign w:val="center"/>
                </w:tcPr>
                <w:p w14:paraId="04C323B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w:t>
                  </w:r>
                  <w:r>
                    <w:rPr>
                      <w:rFonts w:hint="eastAsia" w:cs="Times New Roman"/>
                      <w:kern w:val="0"/>
                      <w:sz w:val="21"/>
                      <w:szCs w:val="20"/>
                    </w:rPr>
                    <w:t>化学性质活泼，但不自燃，需与可燃物结合才燃烧</w:t>
                  </w:r>
                </w:p>
              </w:tc>
            </w:tr>
            <w:tr w14:paraId="00A98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6ED004CC">
                  <w:pPr>
                    <w:widowControl/>
                    <w:adjustRightInd w:val="0"/>
                    <w:snapToGrid w:val="0"/>
                    <w:spacing w:line="240" w:lineRule="auto"/>
                    <w:ind w:firstLine="0" w:firstLineChars="0"/>
                    <w:jc w:val="center"/>
                    <w:textAlignment w:val="auto"/>
                    <w:rPr>
                      <w:rFonts w:cs="Times New Roman"/>
                      <w:kern w:val="0"/>
                      <w:sz w:val="21"/>
                      <w:szCs w:val="20"/>
                    </w:rPr>
                  </w:pPr>
                </w:p>
              </w:tc>
              <w:tc>
                <w:tcPr>
                  <w:tcW w:w="4336" w:type="pct"/>
                  <w:gridSpan w:val="6"/>
                  <w:vAlign w:val="center"/>
                </w:tcPr>
                <w:p w14:paraId="3D54FE3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危险特性：</w:t>
                  </w:r>
                  <w:r>
                    <w:rPr>
                      <w:rFonts w:hint="eastAsia" w:cs="Times New Roman"/>
                      <w:kern w:val="0"/>
                      <w:sz w:val="21"/>
                      <w:szCs w:val="20"/>
                    </w:rPr>
                    <w:t>助燃剂，可加剧火势。与燃料混合后遇静电/火花可爆炸（如液氧炸药）；高浓度氧气环境易燃物易自燃（如油脂、金属粉末）；与可燃气体混合（如氢气、甲烷）形成爆炸性混合物。</w:t>
                  </w:r>
                </w:p>
              </w:tc>
            </w:tr>
            <w:tr w14:paraId="11BA2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Merge w:val="continue"/>
                  <w:vAlign w:val="center"/>
                </w:tcPr>
                <w:p w14:paraId="033DC55F">
                  <w:pPr>
                    <w:widowControl/>
                    <w:adjustRightInd w:val="0"/>
                    <w:snapToGrid w:val="0"/>
                    <w:spacing w:line="240" w:lineRule="auto"/>
                    <w:ind w:firstLine="0" w:firstLineChars="0"/>
                    <w:jc w:val="center"/>
                    <w:textAlignment w:val="auto"/>
                    <w:rPr>
                      <w:rFonts w:cs="Times New Roman"/>
                      <w:kern w:val="0"/>
                      <w:sz w:val="21"/>
                      <w:szCs w:val="20"/>
                    </w:rPr>
                  </w:pPr>
                </w:p>
              </w:tc>
              <w:tc>
                <w:tcPr>
                  <w:tcW w:w="4336" w:type="pct"/>
                  <w:gridSpan w:val="6"/>
                  <w:vAlign w:val="center"/>
                </w:tcPr>
                <w:p w14:paraId="73C96F27">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灭火方法：</w:t>
                  </w:r>
                  <w:r>
                    <w:rPr>
                      <w:rFonts w:hint="eastAsia" w:cs="Times New Roman"/>
                      <w:kern w:val="0"/>
                      <w:sz w:val="21"/>
                      <w:szCs w:val="20"/>
                    </w:rPr>
                    <w:t>切断气源，使用干粉、二氧化碳灭火器（禁止水冲液态氧）。</w:t>
                  </w:r>
                </w:p>
              </w:tc>
            </w:tr>
            <w:tr w14:paraId="6D656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14:paraId="2D4B4FC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急救措施</w:t>
                  </w:r>
                </w:p>
              </w:tc>
              <w:tc>
                <w:tcPr>
                  <w:tcW w:w="4336" w:type="pct"/>
                  <w:gridSpan w:val="6"/>
                  <w:vAlign w:val="center"/>
                </w:tcPr>
                <w:p w14:paraId="3D412E02">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吸入中毒：移至新鲜空气处，必要时人工呼吸，就医；</w:t>
                  </w:r>
                </w:p>
                <w:p w14:paraId="088EE7F5">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冻伤：温水（非热水）冲洗，避免摩擦，就医；</w:t>
                  </w:r>
                </w:p>
              </w:tc>
            </w:tr>
            <w:tr w14:paraId="79D77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14:paraId="65D4A71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泄漏处理</w:t>
                  </w:r>
                </w:p>
              </w:tc>
              <w:tc>
                <w:tcPr>
                  <w:tcW w:w="4336" w:type="pct"/>
                  <w:gridSpan w:val="6"/>
                  <w:vAlign w:val="center"/>
                </w:tcPr>
                <w:p w14:paraId="2A1B7154">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通风稀释，避免火源；液态氧泄漏时需专业防护；高浓度时需自给式呼吸器（SCBA）；防静电装备，禁油工具（防爆扳手等）。</w:t>
                  </w:r>
                </w:p>
              </w:tc>
            </w:tr>
          </w:tbl>
          <w:p w14:paraId="23C7116A">
            <w:pPr>
              <w:widowControl/>
              <w:spacing w:before="163" w:beforeLines="50"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w:t>
            </w:r>
            <w:r>
              <w:rPr>
                <w:rFonts w:hint="eastAsia" w:cs="Times New Roman"/>
                <w:b/>
                <w:kern w:val="0"/>
                <w:sz w:val="21"/>
              </w:rPr>
              <w:t>9  二氧化碳理化性质及毒性一览表</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408"/>
              <w:gridCol w:w="401"/>
              <w:gridCol w:w="1556"/>
              <w:gridCol w:w="658"/>
              <w:gridCol w:w="1442"/>
              <w:gridCol w:w="1623"/>
            </w:tblGrid>
            <w:tr w14:paraId="4E2B1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11" w:type="dxa"/>
                  <w:vMerge w:val="restart"/>
                  <w:vAlign w:val="center"/>
                </w:tcPr>
                <w:p w14:paraId="26F3D57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标识</w:t>
                  </w:r>
                </w:p>
              </w:tc>
              <w:tc>
                <w:tcPr>
                  <w:tcW w:w="1809" w:type="dxa"/>
                  <w:gridSpan w:val="2"/>
                  <w:vAlign w:val="center"/>
                </w:tcPr>
                <w:p w14:paraId="73520F4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中文名：</w:t>
                  </w:r>
                  <w:r>
                    <w:rPr>
                      <w:rFonts w:hint="eastAsia" w:cs="Times New Roman"/>
                      <w:kern w:val="0"/>
                      <w:sz w:val="21"/>
                      <w:szCs w:val="21"/>
                    </w:rPr>
                    <w:t>二氧化碳（液态）</w:t>
                  </w:r>
                </w:p>
              </w:tc>
              <w:tc>
                <w:tcPr>
                  <w:tcW w:w="2214" w:type="dxa"/>
                  <w:gridSpan w:val="2"/>
                  <w:vAlign w:val="center"/>
                </w:tcPr>
                <w:p w14:paraId="2E20DBBA">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英文名：</w:t>
                  </w:r>
                  <w:r>
                    <w:rPr>
                      <w:rFonts w:hint="eastAsia" w:cs="Times New Roman"/>
                      <w:kern w:val="0"/>
                      <w:sz w:val="21"/>
                      <w:szCs w:val="21"/>
                    </w:rPr>
                    <w:t>carbon dioxide</w:t>
                  </w:r>
                </w:p>
              </w:tc>
              <w:tc>
                <w:tcPr>
                  <w:tcW w:w="1442" w:type="dxa"/>
                  <w:vMerge w:val="restart"/>
                  <w:vAlign w:val="center"/>
                </w:tcPr>
                <w:p w14:paraId="3D9A4C9B">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分子式：C</w:t>
                  </w:r>
                  <w:r>
                    <w:rPr>
                      <w:rFonts w:hint="eastAsia" w:cs="Times New Roman"/>
                      <w:kern w:val="0"/>
                      <w:sz w:val="21"/>
                      <w:szCs w:val="21"/>
                    </w:rPr>
                    <w:t>O</w:t>
                  </w:r>
                  <w:r>
                    <w:rPr>
                      <w:rFonts w:hint="eastAsia" w:cs="Times New Roman"/>
                      <w:kern w:val="0"/>
                      <w:sz w:val="21"/>
                      <w:szCs w:val="21"/>
                      <w:vertAlign w:val="subscript"/>
                    </w:rPr>
                    <w:t>2</w:t>
                  </w:r>
                </w:p>
              </w:tc>
              <w:tc>
                <w:tcPr>
                  <w:tcW w:w="1623" w:type="dxa"/>
                  <w:vMerge w:val="restart"/>
                  <w:vAlign w:val="center"/>
                </w:tcPr>
                <w:p w14:paraId="6379AE93">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分子量：44.</w:t>
                  </w:r>
                  <w:r>
                    <w:rPr>
                      <w:rFonts w:hint="eastAsia" w:cs="Times New Roman"/>
                      <w:kern w:val="0"/>
                      <w:sz w:val="21"/>
                      <w:szCs w:val="21"/>
                    </w:rPr>
                    <w:t>01</w:t>
                  </w:r>
                  <w:r>
                    <w:rPr>
                      <w:rFonts w:hint="eastAsia" w:cs="Times New Roman"/>
                      <w:kern w:val="0"/>
                      <w:sz w:val="21"/>
                      <w:szCs w:val="20"/>
                    </w:rPr>
                    <w:t>g/mol</w:t>
                  </w:r>
                </w:p>
              </w:tc>
            </w:tr>
            <w:tr w14:paraId="10FE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65FF3901">
                  <w:pPr>
                    <w:widowControl/>
                    <w:adjustRightInd w:val="0"/>
                    <w:snapToGrid w:val="0"/>
                    <w:spacing w:line="240" w:lineRule="auto"/>
                    <w:ind w:firstLine="0" w:firstLineChars="0"/>
                    <w:jc w:val="center"/>
                    <w:textAlignment w:val="auto"/>
                    <w:rPr>
                      <w:rFonts w:cs="Times New Roman"/>
                      <w:kern w:val="0"/>
                      <w:sz w:val="21"/>
                      <w:szCs w:val="21"/>
                    </w:rPr>
                  </w:pPr>
                </w:p>
              </w:tc>
              <w:tc>
                <w:tcPr>
                  <w:tcW w:w="1809" w:type="dxa"/>
                  <w:gridSpan w:val="2"/>
                  <w:vAlign w:val="center"/>
                </w:tcPr>
                <w:p w14:paraId="0B3AC81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CAS号：</w:t>
                  </w:r>
                  <w:r>
                    <w:rPr>
                      <w:rFonts w:hint="eastAsia" w:cs="Times New Roman"/>
                      <w:kern w:val="0"/>
                      <w:sz w:val="21"/>
                      <w:szCs w:val="21"/>
                    </w:rPr>
                    <w:t>124-38-9</w:t>
                  </w:r>
                </w:p>
              </w:tc>
              <w:tc>
                <w:tcPr>
                  <w:tcW w:w="2214" w:type="dxa"/>
                  <w:gridSpan w:val="2"/>
                  <w:vAlign w:val="center"/>
                </w:tcPr>
                <w:p w14:paraId="691ABCF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UN编号：</w:t>
                  </w:r>
                  <w:r>
                    <w:rPr>
                      <w:rFonts w:hint="eastAsia" w:cs="Times New Roman"/>
                      <w:kern w:val="0"/>
                      <w:sz w:val="21"/>
                      <w:szCs w:val="21"/>
                    </w:rPr>
                    <w:t>2187</w:t>
                  </w:r>
                </w:p>
              </w:tc>
              <w:tc>
                <w:tcPr>
                  <w:tcW w:w="1442" w:type="dxa"/>
                  <w:vMerge w:val="continue"/>
                  <w:vAlign w:val="center"/>
                </w:tcPr>
                <w:p w14:paraId="41D07326">
                  <w:pPr>
                    <w:widowControl/>
                    <w:adjustRightInd w:val="0"/>
                    <w:snapToGrid w:val="0"/>
                    <w:spacing w:line="240" w:lineRule="auto"/>
                    <w:ind w:firstLine="0" w:firstLineChars="0"/>
                    <w:jc w:val="center"/>
                    <w:textAlignment w:val="auto"/>
                    <w:rPr>
                      <w:rFonts w:cs="Times New Roman"/>
                      <w:kern w:val="0"/>
                      <w:sz w:val="21"/>
                      <w:szCs w:val="21"/>
                    </w:rPr>
                  </w:pPr>
                </w:p>
              </w:tc>
              <w:tc>
                <w:tcPr>
                  <w:tcW w:w="1623" w:type="dxa"/>
                  <w:vMerge w:val="continue"/>
                  <w:vAlign w:val="center"/>
                </w:tcPr>
                <w:p w14:paraId="74DE58B6">
                  <w:pPr>
                    <w:widowControl/>
                    <w:adjustRightInd w:val="0"/>
                    <w:snapToGrid w:val="0"/>
                    <w:spacing w:line="240" w:lineRule="auto"/>
                    <w:ind w:firstLine="0" w:firstLineChars="0"/>
                    <w:jc w:val="center"/>
                    <w:textAlignment w:val="auto"/>
                    <w:rPr>
                      <w:rFonts w:cs="Times New Roman"/>
                      <w:kern w:val="0"/>
                      <w:sz w:val="21"/>
                      <w:szCs w:val="21"/>
                    </w:rPr>
                  </w:pPr>
                </w:p>
              </w:tc>
            </w:tr>
            <w:tr w14:paraId="2360B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restart"/>
                  <w:vAlign w:val="center"/>
                </w:tcPr>
                <w:p w14:paraId="01C9C2A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理化性质</w:t>
                  </w:r>
                </w:p>
              </w:tc>
              <w:tc>
                <w:tcPr>
                  <w:tcW w:w="7088" w:type="dxa"/>
                  <w:gridSpan w:val="6"/>
                  <w:vAlign w:val="center"/>
                </w:tcPr>
                <w:p w14:paraId="343D011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外观与形状：无色</w:t>
                  </w:r>
                  <w:r>
                    <w:rPr>
                      <w:rFonts w:hint="eastAsia" w:cs="Times New Roman"/>
                      <w:kern w:val="0"/>
                      <w:sz w:val="21"/>
                      <w:szCs w:val="21"/>
                    </w:rPr>
                    <w:t>、无臭的液化</w:t>
                  </w:r>
                  <w:r>
                    <w:rPr>
                      <w:rFonts w:cs="Times New Roman"/>
                      <w:kern w:val="0"/>
                      <w:sz w:val="21"/>
                      <w:szCs w:val="21"/>
                    </w:rPr>
                    <w:t>气体</w:t>
                  </w:r>
                </w:p>
              </w:tc>
            </w:tr>
            <w:tr w14:paraId="5EF29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50AD3663">
                  <w:pPr>
                    <w:widowControl/>
                    <w:adjustRightInd w:val="0"/>
                    <w:snapToGrid w:val="0"/>
                    <w:spacing w:line="240" w:lineRule="auto"/>
                    <w:ind w:firstLine="0" w:firstLineChars="0"/>
                    <w:jc w:val="center"/>
                    <w:textAlignment w:val="auto"/>
                    <w:rPr>
                      <w:rFonts w:cs="Times New Roman"/>
                      <w:kern w:val="0"/>
                      <w:sz w:val="21"/>
                      <w:szCs w:val="21"/>
                    </w:rPr>
                  </w:pPr>
                </w:p>
              </w:tc>
              <w:tc>
                <w:tcPr>
                  <w:tcW w:w="3365" w:type="dxa"/>
                  <w:gridSpan w:val="3"/>
                  <w:vAlign w:val="center"/>
                </w:tcPr>
                <w:p w14:paraId="200C468A">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熔点（℃）-</w:t>
                  </w:r>
                  <w:r>
                    <w:rPr>
                      <w:rFonts w:hint="eastAsia" w:cs="Times New Roman"/>
                      <w:kern w:val="0"/>
                      <w:sz w:val="21"/>
                      <w:szCs w:val="21"/>
                    </w:rPr>
                    <w:t>56.6（5.2atm）</w:t>
                  </w:r>
                </w:p>
              </w:tc>
              <w:tc>
                <w:tcPr>
                  <w:tcW w:w="3723" w:type="dxa"/>
                  <w:gridSpan w:val="3"/>
                  <w:vAlign w:val="center"/>
                </w:tcPr>
                <w:p w14:paraId="11FAD60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密度</w:t>
                  </w:r>
                  <w:r>
                    <w:rPr>
                      <w:rFonts w:hint="eastAsia" w:cs="Times New Roman"/>
                      <w:kern w:val="0"/>
                      <w:sz w:val="21"/>
                      <w:szCs w:val="20"/>
                    </w:rPr>
                    <w:t>1.01g/cm</w:t>
                  </w:r>
                  <w:r>
                    <w:rPr>
                      <w:rFonts w:hint="eastAsia" w:cs="Times New Roman"/>
                      <w:kern w:val="0"/>
                      <w:sz w:val="21"/>
                      <w:szCs w:val="20"/>
                      <w:vertAlign w:val="superscript"/>
                    </w:rPr>
                    <w:t>3</w:t>
                  </w:r>
                </w:p>
              </w:tc>
            </w:tr>
            <w:tr w14:paraId="3D673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1C134CF5">
                  <w:pPr>
                    <w:widowControl/>
                    <w:adjustRightInd w:val="0"/>
                    <w:snapToGrid w:val="0"/>
                    <w:spacing w:line="240" w:lineRule="auto"/>
                    <w:ind w:firstLine="0" w:firstLineChars="0"/>
                    <w:jc w:val="center"/>
                    <w:textAlignment w:val="auto"/>
                    <w:rPr>
                      <w:rFonts w:cs="Times New Roman"/>
                      <w:kern w:val="0"/>
                      <w:sz w:val="21"/>
                      <w:szCs w:val="21"/>
                    </w:rPr>
                  </w:pPr>
                </w:p>
              </w:tc>
              <w:tc>
                <w:tcPr>
                  <w:tcW w:w="3365" w:type="dxa"/>
                  <w:gridSpan w:val="3"/>
                  <w:vAlign w:val="center"/>
                </w:tcPr>
                <w:p w14:paraId="2B7C1B1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沸点（℃）-</w:t>
                  </w:r>
                  <w:r>
                    <w:rPr>
                      <w:rFonts w:hint="eastAsia" w:cs="Times New Roman"/>
                      <w:kern w:val="0"/>
                      <w:sz w:val="21"/>
                      <w:szCs w:val="21"/>
                    </w:rPr>
                    <w:t>78.5（常压下直接升华）</w:t>
                  </w:r>
                </w:p>
              </w:tc>
              <w:tc>
                <w:tcPr>
                  <w:tcW w:w="3723" w:type="dxa"/>
                  <w:gridSpan w:val="3"/>
                  <w:vAlign w:val="center"/>
                </w:tcPr>
                <w:p w14:paraId="5327EACA">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蒸气压（kPa）</w:t>
                  </w:r>
                  <w:r>
                    <w:rPr>
                      <w:rFonts w:hint="eastAsia" w:cs="Times New Roman"/>
                      <w:kern w:val="0"/>
                      <w:sz w:val="21"/>
                      <w:szCs w:val="21"/>
                    </w:rPr>
                    <w:t>1013.25</w:t>
                  </w:r>
                  <w:r>
                    <w:rPr>
                      <w:rFonts w:cs="Times New Roman"/>
                      <w:kern w:val="0"/>
                      <w:sz w:val="21"/>
                      <w:szCs w:val="21"/>
                    </w:rPr>
                    <w:t>/</w:t>
                  </w:r>
                  <w:r>
                    <w:rPr>
                      <w:rFonts w:hint="eastAsia" w:cs="Times New Roman"/>
                      <w:kern w:val="0"/>
                      <w:sz w:val="21"/>
                      <w:szCs w:val="21"/>
                    </w:rPr>
                    <w:t>-39</w:t>
                  </w:r>
                  <w:r>
                    <w:rPr>
                      <w:rFonts w:cs="Times New Roman"/>
                      <w:kern w:val="0"/>
                      <w:sz w:val="21"/>
                      <w:szCs w:val="21"/>
                    </w:rPr>
                    <w:t>℃</w:t>
                  </w:r>
                </w:p>
              </w:tc>
            </w:tr>
            <w:tr w14:paraId="49650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3B049BC4">
                  <w:pPr>
                    <w:widowControl/>
                    <w:adjustRightInd w:val="0"/>
                    <w:snapToGrid w:val="0"/>
                    <w:spacing w:line="240" w:lineRule="auto"/>
                    <w:ind w:firstLine="0" w:firstLineChars="0"/>
                    <w:jc w:val="center"/>
                    <w:textAlignment w:val="auto"/>
                    <w:rPr>
                      <w:rFonts w:cs="Times New Roman"/>
                      <w:kern w:val="0"/>
                      <w:sz w:val="21"/>
                      <w:szCs w:val="21"/>
                    </w:rPr>
                  </w:pPr>
                </w:p>
              </w:tc>
              <w:tc>
                <w:tcPr>
                  <w:tcW w:w="3365" w:type="dxa"/>
                  <w:gridSpan w:val="3"/>
                  <w:vAlign w:val="center"/>
                </w:tcPr>
                <w:p w14:paraId="3AD87097">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临界温度（℃）</w:t>
                  </w:r>
                  <w:r>
                    <w:rPr>
                      <w:rFonts w:hint="eastAsia" w:cs="Times New Roman"/>
                      <w:kern w:val="0"/>
                      <w:sz w:val="21"/>
                      <w:szCs w:val="21"/>
                    </w:rPr>
                    <w:t>31.0</w:t>
                  </w:r>
                </w:p>
              </w:tc>
              <w:tc>
                <w:tcPr>
                  <w:tcW w:w="3723" w:type="dxa"/>
                  <w:gridSpan w:val="3"/>
                  <w:vAlign w:val="center"/>
                </w:tcPr>
                <w:p w14:paraId="1C64282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临界压力（MPa）</w:t>
                  </w:r>
                  <w:r>
                    <w:rPr>
                      <w:rFonts w:hint="eastAsia" w:cs="Times New Roman"/>
                      <w:kern w:val="0"/>
                      <w:sz w:val="21"/>
                      <w:szCs w:val="21"/>
                    </w:rPr>
                    <w:t>7.38</w:t>
                  </w:r>
                </w:p>
              </w:tc>
            </w:tr>
            <w:tr w14:paraId="4ED95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43736C59">
                  <w:pPr>
                    <w:widowControl/>
                    <w:adjustRightInd w:val="0"/>
                    <w:snapToGrid w:val="0"/>
                    <w:spacing w:line="240" w:lineRule="auto"/>
                    <w:ind w:firstLine="0" w:firstLineChars="0"/>
                    <w:jc w:val="center"/>
                    <w:textAlignment w:val="auto"/>
                    <w:rPr>
                      <w:rFonts w:cs="Times New Roman"/>
                      <w:kern w:val="0"/>
                      <w:sz w:val="21"/>
                      <w:szCs w:val="21"/>
                    </w:rPr>
                  </w:pPr>
                </w:p>
              </w:tc>
              <w:tc>
                <w:tcPr>
                  <w:tcW w:w="3365" w:type="dxa"/>
                  <w:gridSpan w:val="3"/>
                  <w:vAlign w:val="center"/>
                </w:tcPr>
                <w:p w14:paraId="3E107A2F">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溶解性</w:t>
                  </w:r>
                </w:p>
              </w:tc>
              <w:tc>
                <w:tcPr>
                  <w:tcW w:w="3723" w:type="dxa"/>
                  <w:gridSpan w:val="3"/>
                  <w:vAlign w:val="center"/>
                </w:tcPr>
                <w:p w14:paraId="192C2D7A">
                  <w:pPr>
                    <w:widowControl/>
                    <w:adjustRightInd w:val="0"/>
                    <w:snapToGri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溶于水（形成性碳酸溶液）、烃类及多数有机溶剂</w:t>
                  </w:r>
                </w:p>
              </w:tc>
            </w:tr>
            <w:tr w14:paraId="3E55C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restart"/>
                  <w:vAlign w:val="center"/>
                </w:tcPr>
                <w:p w14:paraId="02044E62">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毒性及健康危害</w:t>
                  </w:r>
                </w:p>
              </w:tc>
              <w:tc>
                <w:tcPr>
                  <w:tcW w:w="1408" w:type="dxa"/>
                  <w:vAlign w:val="center"/>
                </w:tcPr>
                <w:p w14:paraId="7A3FA49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侵入途径</w:t>
                  </w:r>
                </w:p>
              </w:tc>
              <w:tc>
                <w:tcPr>
                  <w:tcW w:w="5680" w:type="dxa"/>
                  <w:gridSpan w:val="5"/>
                  <w:vAlign w:val="center"/>
                </w:tcPr>
                <w:p w14:paraId="769B493E">
                  <w:pPr>
                    <w:widowControl/>
                    <w:adjustRightInd w:val="0"/>
                    <w:snapToGri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主要经</w:t>
                  </w:r>
                  <w:r>
                    <w:rPr>
                      <w:rFonts w:cs="Times New Roman"/>
                      <w:kern w:val="0"/>
                      <w:sz w:val="21"/>
                      <w:szCs w:val="21"/>
                    </w:rPr>
                    <w:t>吸入</w:t>
                  </w:r>
                  <w:r>
                    <w:rPr>
                      <w:rFonts w:hint="eastAsia" w:cs="Times New Roman"/>
                      <w:kern w:val="0"/>
                      <w:sz w:val="21"/>
                      <w:szCs w:val="21"/>
                    </w:rPr>
                    <w:t>，液态接触可致冻伤</w:t>
                  </w:r>
                </w:p>
              </w:tc>
            </w:tr>
            <w:tr w14:paraId="2EE3C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7C906A01">
                  <w:pPr>
                    <w:widowControl/>
                    <w:adjustRightInd w:val="0"/>
                    <w:snapToGrid w:val="0"/>
                    <w:spacing w:line="240" w:lineRule="auto"/>
                    <w:ind w:firstLine="0" w:firstLineChars="0"/>
                    <w:jc w:val="center"/>
                    <w:textAlignment w:val="auto"/>
                    <w:rPr>
                      <w:rFonts w:cs="Times New Roman"/>
                      <w:kern w:val="0"/>
                      <w:sz w:val="21"/>
                      <w:szCs w:val="21"/>
                    </w:rPr>
                  </w:pPr>
                </w:p>
              </w:tc>
              <w:tc>
                <w:tcPr>
                  <w:tcW w:w="1408" w:type="dxa"/>
                  <w:vAlign w:val="center"/>
                </w:tcPr>
                <w:p w14:paraId="4B3FA49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w:t>
                  </w:r>
                </w:p>
              </w:tc>
              <w:tc>
                <w:tcPr>
                  <w:tcW w:w="5680" w:type="dxa"/>
                  <w:gridSpan w:val="5"/>
                  <w:vAlign w:val="center"/>
                </w:tcPr>
                <w:p w14:paraId="639A3B5A">
                  <w:pPr>
                    <w:widowControl/>
                    <w:adjustRightInd w:val="0"/>
                    <w:snapToGri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w:t>
                  </w:r>
                </w:p>
              </w:tc>
            </w:tr>
            <w:tr w14:paraId="2B9A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73600777">
                  <w:pPr>
                    <w:widowControl/>
                    <w:adjustRightInd w:val="0"/>
                    <w:snapToGrid w:val="0"/>
                    <w:spacing w:line="240" w:lineRule="auto"/>
                    <w:ind w:firstLine="0" w:firstLineChars="0"/>
                    <w:jc w:val="center"/>
                    <w:textAlignment w:val="auto"/>
                    <w:rPr>
                      <w:rFonts w:cs="Times New Roman"/>
                      <w:kern w:val="0"/>
                      <w:sz w:val="21"/>
                      <w:szCs w:val="21"/>
                    </w:rPr>
                  </w:pPr>
                </w:p>
              </w:tc>
              <w:tc>
                <w:tcPr>
                  <w:tcW w:w="1408" w:type="dxa"/>
                  <w:vAlign w:val="center"/>
                </w:tcPr>
                <w:p w14:paraId="460B4DED">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健康危害</w:t>
                  </w:r>
                </w:p>
              </w:tc>
              <w:tc>
                <w:tcPr>
                  <w:tcW w:w="5680" w:type="dxa"/>
                  <w:gridSpan w:val="5"/>
                  <w:vAlign w:val="center"/>
                </w:tcPr>
                <w:p w14:paraId="3AB953F1">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低浓度（1-5%）：呼吸中枢兴奋，头痛、眩晕；</w:t>
                  </w:r>
                </w:p>
                <w:p w14:paraId="72D60C08">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中高浓度（&gt;5%）：呼吸抑制、昏迷、反射消失、瞳孔异常；极高浓度（&gt;10%）：迅速窒息、休克甚至死亡（因缺氧）；液态接触危害：迅速汽化导致-80～-43℃低温，严重冻伤皮肤和眼睛；</w:t>
                  </w:r>
                </w:p>
                <w:p w14:paraId="189873B0">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慢性影响：长期接触较高浓度（&gt;1%）可能致神经功能紊乱（头晕、失眠等）。</w:t>
                  </w:r>
                </w:p>
              </w:tc>
            </w:tr>
            <w:tr w14:paraId="11291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708011BE">
                  <w:pPr>
                    <w:widowControl/>
                    <w:adjustRightInd w:val="0"/>
                    <w:snapToGrid w:val="0"/>
                    <w:spacing w:line="240" w:lineRule="auto"/>
                    <w:ind w:firstLine="0" w:firstLineChars="0"/>
                    <w:jc w:val="center"/>
                    <w:textAlignment w:val="auto"/>
                    <w:rPr>
                      <w:rFonts w:cs="Times New Roman"/>
                      <w:kern w:val="0"/>
                      <w:sz w:val="21"/>
                      <w:szCs w:val="21"/>
                    </w:rPr>
                  </w:pPr>
                </w:p>
              </w:tc>
              <w:tc>
                <w:tcPr>
                  <w:tcW w:w="1408" w:type="dxa"/>
                  <w:vAlign w:val="center"/>
                </w:tcPr>
                <w:p w14:paraId="7C35A6D2">
                  <w:pPr>
                    <w:widowControl/>
                    <w:adjustRightInd w:val="0"/>
                    <w:snapToGri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环境风险</w:t>
                  </w:r>
                </w:p>
              </w:tc>
              <w:tc>
                <w:tcPr>
                  <w:tcW w:w="5680" w:type="dxa"/>
                  <w:gridSpan w:val="5"/>
                  <w:vAlign w:val="center"/>
                </w:tcPr>
                <w:p w14:paraId="314DCFC9">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与空气接触后，液态二氧化碳汽化会消耗周围氧气，导致缺氧环境。</w:t>
                  </w:r>
                </w:p>
              </w:tc>
            </w:tr>
            <w:tr w14:paraId="1FF15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restart"/>
                  <w:vAlign w:val="center"/>
                </w:tcPr>
                <w:p w14:paraId="6F90961D">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燃烧爆炸危险性</w:t>
                  </w:r>
                </w:p>
              </w:tc>
              <w:tc>
                <w:tcPr>
                  <w:tcW w:w="4023" w:type="dxa"/>
                  <w:gridSpan w:val="4"/>
                  <w:vAlign w:val="center"/>
                </w:tcPr>
                <w:p w14:paraId="18DBCF1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燃烧性：</w:t>
                  </w:r>
                  <w:r>
                    <w:rPr>
                      <w:rFonts w:hint="eastAsia" w:cs="Times New Roman"/>
                      <w:kern w:val="0"/>
                      <w:sz w:val="21"/>
                      <w:szCs w:val="21"/>
                    </w:rPr>
                    <w:t>不燃</w:t>
                  </w:r>
                </w:p>
              </w:tc>
              <w:tc>
                <w:tcPr>
                  <w:tcW w:w="3065" w:type="dxa"/>
                  <w:gridSpan w:val="2"/>
                  <w:vAlign w:val="center"/>
                </w:tcPr>
                <w:p w14:paraId="43A4AF9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燃烧分解物：</w:t>
                  </w:r>
                  <w:r>
                    <w:rPr>
                      <w:rFonts w:hint="eastAsia" w:cs="Times New Roman"/>
                      <w:kern w:val="0"/>
                      <w:sz w:val="21"/>
                      <w:szCs w:val="21"/>
                    </w:rPr>
                    <w:t>/</w:t>
                  </w:r>
                </w:p>
              </w:tc>
            </w:tr>
            <w:tr w14:paraId="22174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Merge w:val="continue"/>
                  <w:vAlign w:val="center"/>
                </w:tcPr>
                <w:p w14:paraId="09E18A81">
                  <w:pPr>
                    <w:widowControl/>
                    <w:adjustRightInd w:val="0"/>
                    <w:snapToGrid w:val="0"/>
                    <w:spacing w:line="240" w:lineRule="auto"/>
                    <w:ind w:firstLine="0" w:firstLineChars="0"/>
                    <w:jc w:val="center"/>
                    <w:textAlignment w:val="auto"/>
                    <w:rPr>
                      <w:rFonts w:cs="Times New Roman"/>
                      <w:kern w:val="0"/>
                      <w:sz w:val="21"/>
                      <w:szCs w:val="21"/>
                    </w:rPr>
                  </w:pPr>
                </w:p>
              </w:tc>
              <w:tc>
                <w:tcPr>
                  <w:tcW w:w="4023" w:type="dxa"/>
                  <w:gridSpan w:val="4"/>
                  <w:vAlign w:val="center"/>
                </w:tcPr>
                <w:p w14:paraId="2C8B2A91">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闪点/℃：</w:t>
                  </w:r>
                  <w:r>
                    <w:rPr>
                      <w:rFonts w:hint="eastAsia" w:cs="Times New Roman"/>
                      <w:kern w:val="0"/>
                      <w:sz w:val="21"/>
                      <w:szCs w:val="21"/>
                    </w:rPr>
                    <w:t>/</w:t>
                  </w:r>
                </w:p>
              </w:tc>
              <w:tc>
                <w:tcPr>
                  <w:tcW w:w="3065" w:type="dxa"/>
                  <w:gridSpan w:val="2"/>
                  <w:vAlign w:val="center"/>
                </w:tcPr>
                <w:p w14:paraId="71ECBCE3">
                  <w:pPr>
                    <w:widowControl/>
                    <w:adjustRightInd w:val="0"/>
                    <w:snapToGrid w:val="0"/>
                    <w:spacing w:line="240" w:lineRule="auto"/>
                    <w:ind w:firstLine="0" w:firstLineChars="0"/>
                    <w:jc w:val="center"/>
                    <w:textAlignment w:val="auto"/>
                    <w:rPr>
                      <w:rFonts w:cs="Times New Roman"/>
                      <w:kern w:val="0"/>
                      <w:sz w:val="21"/>
                      <w:szCs w:val="21"/>
                    </w:rPr>
                  </w:pPr>
                  <w:r>
                    <w:rPr>
                      <w:rFonts w:hint="eastAsia" w:cs="Times New Roman"/>
                      <w:kern w:val="0"/>
                      <w:sz w:val="21"/>
                      <w:szCs w:val="21"/>
                    </w:rPr>
                    <w:t>稳定性：稳定，不燃，不支持燃烧（镁等活泼金属除外）</w:t>
                  </w:r>
                </w:p>
              </w:tc>
            </w:tr>
            <w:tr w14:paraId="049ED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11" w:type="dxa"/>
                  <w:vMerge w:val="continue"/>
                  <w:vAlign w:val="center"/>
                </w:tcPr>
                <w:p w14:paraId="7192F7E8">
                  <w:pPr>
                    <w:widowControl/>
                    <w:adjustRightInd w:val="0"/>
                    <w:snapToGrid w:val="0"/>
                    <w:spacing w:line="240" w:lineRule="auto"/>
                    <w:ind w:firstLine="0" w:firstLineChars="0"/>
                    <w:jc w:val="center"/>
                    <w:textAlignment w:val="auto"/>
                    <w:rPr>
                      <w:rFonts w:cs="Times New Roman"/>
                      <w:kern w:val="0"/>
                      <w:sz w:val="21"/>
                      <w:szCs w:val="21"/>
                    </w:rPr>
                  </w:pPr>
                </w:p>
              </w:tc>
              <w:tc>
                <w:tcPr>
                  <w:tcW w:w="7088" w:type="dxa"/>
                  <w:gridSpan w:val="6"/>
                  <w:vAlign w:val="center"/>
                </w:tcPr>
                <w:p w14:paraId="2E3D66D5">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危险特性：</w:t>
                  </w:r>
                  <w:r>
                    <w:rPr>
                      <w:rFonts w:hint="eastAsia" w:cs="Times New Roman"/>
                      <w:kern w:val="0"/>
                      <w:sz w:val="21"/>
                      <w:szCs w:val="21"/>
                    </w:rPr>
                    <w:t>汽化后快速积聚，导致缺氧窒息；高温或剧烈撞击可能引发压力升高，导致容器破裂</w:t>
                  </w:r>
                  <w:r>
                    <w:rPr>
                      <w:rFonts w:cs="Times New Roman"/>
                      <w:kern w:val="0"/>
                      <w:sz w:val="21"/>
                      <w:szCs w:val="21"/>
                    </w:rPr>
                    <w:t>。</w:t>
                  </w:r>
                </w:p>
              </w:tc>
            </w:tr>
            <w:tr w14:paraId="7A07B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5C47DAF2">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急救措施</w:t>
                  </w:r>
                </w:p>
              </w:tc>
              <w:tc>
                <w:tcPr>
                  <w:tcW w:w="7088" w:type="dxa"/>
                  <w:gridSpan w:val="6"/>
                  <w:vAlign w:val="center"/>
                </w:tcPr>
                <w:p w14:paraId="4BA75A18">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吸入中毒：立即移至空气新鲜处，输氧或人工呼吸，就医；</w:t>
                  </w:r>
                </w:p>
                <w:p w14:paraId="6E381EF0">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冻伤：用大量温水（非热水）冲洗患处，避免摩擦，就医。</w:t>
                  </w:r>
                </w:p>
              </w:tc>
            </w:tr>
            <w:tr w14:paraId="7169E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14:paraId="15F6CE6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泄漏处理</w:t>
                  </w:r>
                </w:p>
              </w:tc>
              <w:tc>
                <w:tcPr>
                  <w:tcW w:w="7088" w:type="dxa"/>
                  <w:gridSpan w:val="6"/>
                  <w:vAlign w:val="center"/>
                </w:tcPr>
                <w:p w14:paraId="385A0B22">
                  <w:pPr>
                    <w:widowControl/>
                    <w:adjustRightInd w:val="0"/>
                    <w:snapToGrid w:val="0"/>
                    <w:spacing w:line="240" w:lineRule="auto"/>
                    <w:ind w:firstLine="0" w:firstLineChars="0"/>
                    <w:textAlignment w:val="auto"/>
                    <w:rPr>
                      <w:rFonts w:cs="Times New Roman"/>
                      <w:kern w:val="0"/>
                      <w:sz w:val="21"/>
                      <w:szCs w:val="21"/>
                    </w:rPr>
                  </w:pPr>
                  <w:r>
                    <w:rPr>
                      <w:rFonts w:hint="eastAsia" w:cs="Times New Roman"/>
                      <w:kern w:val="0"/>
                      <w:sz w:val="21"/>
                      <w:szCs w:val="21"/>
                    </w:rPr>
                    <w:t>疏散人员至上风处，戴正压呼吸器，通风稀释，修复泄漏容器</w:t>
                  </w:r>
                </w:p>
              </w:tc>
            </w:tr>
          </w:tbl>
          <w:p w14:paraId="70CCF78B">
            <w:pPr>
              <w:widowControl/>
              <w:spacing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w:t>
            </w:r>
            <w:r>
              <w:rPr>
                <w:rFonts w:hint="eastAsia" w:cs="Times New Roman"/>
                <w:b/>
                <w:kern w:val="0"/>
                <w:sz w:val="21"/>
              </w:rPr>
              <w:t>10  乙炔理化性质及毒性</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521"/>
              <w:gridCol w:w="287"/>
              <w:gridCol w:w="181"/>
              <w:gridCol w:w="2034"/>
              <w:gridCol w:w="1443"/>
              <w:gridCol w:w="1626"/>
            </w:tblGrid>
            <w:tr w14:paraId="78BD9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8" w:type="pct"/>
                  <w:vMerge w:val="restart"/>
                  <w:vAlign w:val="center"/>
                </w:tcPr>
                <w:p w14:paraId="024170D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标识</w:t>
                  </w:r>
                </w:p>
              </w:tc>
              <w:tc>
                <w:tcPr>
                  <w:tcW w:w="1089" w:type="pct"/>
                  <w:gridSpan w:val="2"/>
                  <w:vAlign w:val="center"/>
                </w:tcPr>
                <w:p w14:paraId="23924D0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中文名：</w:t>
                  </w:r>
                  <w:r>
                    <w:rPr>
                      <w:rFonts w:hint="eastAsia" w:cs="Times New Roman"/>
                      <w:kern w:val="0"/>
                      <w:sz w:val="21"/>
                      <w:szCs w:val="20"/>
                    </w:rPr>
                    <w:t>乙炔</w:t>
                  </w:r>
                </w:p>
              </w:tc>
              <w:tc>
                <w:tcPr>
                  <w:tcW w:w="1333" w:type="pct"/>
                  <w:gridSpan w:val="2"/>
                  <w:vAlign w:val="center"/>
                </w:tcPr>
                <w:p w14:paraId="3EA2FC56">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英文名：</w:t>
                  </w:r>
                  <w:r>
                    <w:rPr>
                      <w:rFonts w:hint="eastAsia" w:cs="Times New Roman"/>
                      <w:kern w:val="0"/>
                      <w:sz w:val="21"/>
                      <w:szCs w:val="20"/>
                    </w:rPr>
                    <w:t>acetylene</w:t>
                  </w:r>
                </w:p>
              </w:tc>
              <w:tc>
                <w:tcPr>
                  <w:tcW w:w="869" w:type="pct"/>
                  <w:vMerge w:val="restart"/>
                  <w:vAlign w:val="center"/>
                </w:tcPr>
                <w:p w14:paraId="0DB74F7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分子式：C</w:t>
                  </w:r>
                  <w:r>
                    <w:rPr>
                      <w:rFonts w:hint="eastAsia" w:cs="Times New Roman"/>
                      <w:kern w:val="0"/>
                      <w:sz w:val="21"/>
                      <w:szCs w:val="20"/>
                      <w:vertAlign w:val="subscript"/>
                    </w:rPr>
                    <w:t>2</w:t>
                  </w:r>
                  <w:r>
                    <w:rPr>
                      <w:rFonts w:cs="Times New Roman"/>
                      <w:kern w:val="0"/>
                      <w:sz w:val="21"/>
                      <w:szCs w:val="20"/>
                    </w:rPr>
                    <w:t>H</w:t>
                  </w:r>
                  <w:r>
                    <w:rPr>
                      <w:rFonts w:hint="eastAsia" w:cs="Times New Roman"/>
                      <w:kern w:val="0"/>
                      <w:sz w:val="21"/>
                      <w:szCs w:val="20"/>
                      <w:vertAlign w:val="subscript"/>
                    </w:rPr>
                    <w:t>2</w:t>
                  </w:r>
                </w:p>
              </w:tc>
              <w:tc>
                <w:tcPr>
                  <w:tcW w:w="978" w:type="pct"/>
                  <w:vMerge w:val="restart"/>
                  <w:vAlign w:val="center"/>
                </w:tcPr>
                <w:p w14:paraId="4C6FD14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分子量：</w:t>
                  </w:r>
                  <w:r>
                    <w:rPr>
                      <w:rFonts w:hint="eastAsia" w:cs="Times New Roman"/>
                      <w:kern w:val="0"/>
                      <w:sz w:val="21"/>
                      <w:szCs w:val="20"/>
                    </w:rPr>
                    <w:t>26.04g/mol</w:t>
                  </w:r>
                </w:p>
              </w:tc>
            </w:tr>
            <w:tr w14:paraId="44BF9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1C7FB23F">
                  <w:pPr>
                    <w:widowControl/>
                    <w:adjustRightInd w:val="0"/>
                    <w:snapToGrid w:val="0"/>
                    <w:spacing w:line="240" w:lineRule="auto"/>
                    <w:ind w:firstLine="0" w:firstLineChars="0"/>
                    <w:jc w:val="center"/>
                    <w:textAlignment w:val="auto"/>
                    <w:rPr>
                      <w:rFonts w:cs="Times New Roman"/>
                      <w:kern w:val="0"/>
                      <w:sz w:val="21"/>
                      <w:szCs w:val="20"/>
                    </w:rPr>
                  </w:pPr>
                </w:p>
              </w:tc>
              <w:tc>
                <w:tcPr>
                  <w:tcW w:w="1089" w:type="pct"/>
                  <w:gridSpan w:val="2"/>
                  <w:vAlign w:val="center"/>
                </w:tcPr>
                <w:p w14:paraId="69E5EE48">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CAS号：74-</w:t>
                  </w:r>
                  <w:r>
                    <w:rPr>
                      <w:rFonts w:hint="eastAsia" w:cs="Times New Roman"/>
                      <w:kern w:val="0"/>
                      <w:sz w:val="21"/>
                      <w:szCs w:val="20"/>
                    </w:rPr>
                    <w:t>86</w:t>
                  </w:r>
                  <w:r>
                    <w:rPr>
                      <w:rFonts w:cs="Times New Roman"/>
                      <w:kern w:val="0"/>
                      <w:sz w:val="21"/>
                      <w:szCs w:val="20"/>
                    </w:rPr>
                    <w:t>-</w:t>
                  </w:r>
                  <w:r>
                    <w:rPr>
                      <w:rFonts w:hint="eastAsia" w:cs="Times New Roman"/>
                      <w:kern w:val="0"/>
                      <w:sz w:val="21"/>
                      <w:szCs w:val="20"/>
                    </w:rPr>
                    <w:t>2</w:t>
                  </w:r>
                </w:p>
              </w:tc>
              <w:tc>
                <w:tcPr>
                  <w:tcW w:w="1333" w:type="pct"/>
                  <w:gridSpan w:val="2"/>
                  <w:vAlign w:val="center"/>
                </w:tcPr>
                <w:p w14:paraId="34F3205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UN编号：1</w:t>
                  </w:r>
                  <w:r>
                    <w:rPr>
                      <w:rFonts w:hint="eastAsia" w:cs="Times New Roman"/>
                      <w:kern w:val="0"/>
                      <w:sz w:val="21"/>
                      <w:szCs w:val="20"/>
                    </w:rPr>
                    <w:t>001</w:t>
                  </w:r>
                </w:p>
              </w:tc>
              <w:tc>
                <w:tcPr>
                  <w:tcW w:w="869" w:type="pct"/>
                  <w:vMerge w:val="continue"/>
                  <w:vAlign w:val="center"/>
                </w:tcPr>
                <w:p w14:paraId="6E2D7250">
                  <w:pPr>
                    <w:widowControl/>
                    <w:adjustRightInd w:val="0"/>
                    <w:snapToGrid w:val="0"/>
                    <w:spacing w:line="240" w:lineRule="auto"/>
                    <w:ind w:firstLine="0" w:firstLineChars="0"/>
                    <w:jc w:val="center"/>
                    <w:textAlignment w:val="auto"/>
                    <w:rPr>
                      <w:rFonts w:cs="Times New Roman"/>
                      <w:kern w:val="0"/>
                      <w:sz w:val="21"/>
                      <w:szCs w:val="20"/>
                    </w:rPr>
                  </w:pPr>
                </w:p>
              </w:tc>
              <w:tc>
                <w:tcPr>
                  <w:tcW w:w="978" w:type="pct"/>
                  <w:vMerge w:val="continue"/>
                  <w:vAlign w:val="center"/>
                </w:tcPr>
                <w:p w14:paraId="608761CB">
                  <w:pPr>
                    <w:widowControl/>
                    <w:adjustRightInd w:val="0"/>
                    <w:snapToGrid w:val="0"/>
                    <w:spacing w:line="240" w:lineRule="auto"/>
                    <w:ind w:firstLine="0" w:firstLineChars="0"/>
                    <w:jc w:val="center"/>
                    <w:textAlignment w:val="auto"/>
                    <w:rPr>
                      <w:rFonts w:cs="Times New Roman"/>
                      <w:kern w:val="0"/>
                      <w:sz w:val="21"/>
                      <w:szCs w:val="20"/>
                    </w:rPr>
                  </w:pPr>
                </w:p>
              </w:tc>
            </w:tr>
            <w:tr w14:paraId="76A72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050F62F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理化性质</w:t>
                  </w:r>
                </w:p>
              </w:tc>
              <w:tc>
                <w:tcPr>
                  <w:tcW w:w="4271" w:type="pct"/>
                  <w:gridSpan w:val="6"/>
                  <w:vAlign w:val="center"/>
                </w:tcPr>
                <w:p w14:paraId="3A5554E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外观与形状：</w:t>
                  </w:r>
                  <w:r>
                    <w:rPr>
                      <w:rFonts w:hint="eastAsia" w:cs="Times New Roman"/>
                      <w:kern w:val="0"/>
                      <w:sz w:val="21"/>
                      <w:szCs w:val="20"/>
                    </w:rPr>
                    <w:t>无色气体（工业级常因杂质呈微弱大蒜味）</w:t>
                  </w:r>
                </w:p>
              </w:tc>
            </w:tr>
            <w:tr w14:paraId="16E05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06DD1988">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6B29187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熔点（℃）-</w:t>
                  </w:r>
                  <w:r>
                    <w:rPr>
                      <w:rFonts w:hint="eastAsia" w:cs="Times New Roman"/>
                      <w:kern w:val="0"/>
                      <w:sz w:val="21"/>
                      <w:szCs w:val="20"/>
                    </w:rPr>
                    <w:t>80.8</w:t>
                  </w:r>
                </w:p>
              </w:tc>
              <w:tc>
                <w:tcPr>
                  <w:tcW w:w="3072" w:type="pct"/>
                  <w:gridSpan w:val="3"/>
                  <w:vAlign w:val="center"/>
                </w:tcPr>
                <w:p w14:paraId="229DB2C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密度</w:t>
                  </w:r>
                  <w:r>
                    <w:rPr>
                      <w:rFonts w:hint="eastAsia" w:cs="Times New Roman"/>
                      <w:kern w:val="0"/>
                      <w:sz w:val="21"/>
                      <w:szCs w:val="20"/>
                    </w:rPr>
                    <w:t>（kg/m</w:t>
                  </w:r>
                  <w:r>
                    <w:rPr>
                      <w:rFonts w:hint="eastAsia" w:cs="Times New Roman"/>
                      <w:kern w:val="0"/>
                      <w:sz w:val="21"/>
                      <w:szCs w:val="20"/>
                      <w:vertAlign w:val="superscript"/>
                    </w:rPr>
                    <w:t>3</w:t>
                  </w:r>
                  <w:r>
                    <w:rPr>
                      <w:rFonts w:hint="eastAsia" w:cs="Times New Roman"/>
                      <w:kern w:val="0"/>
                      <w:sz w:val="21"/>
                      <w:szCs w:val="20"/>
                    </w:rPr>
                    <w:t>）0.91（气体，15</w:t>
                  </w:r>
                  <w:r>
                    <w:rPr>
                      <w:rFonts w:cs="Times New Roman"/>
                      <w:kern w:val="0"/>
                      <w:sz w:val="21"/>
                      <w:szCs w:val="20"/>
                    </w:rPr>
                    <w:t>℃</w:t>
                  </w:r>
                  <w:r>
                    <w:rPr>
                      <w:rFonts w:hint="eastAsia" w:cs="Times New Roman"/>
                      <w:kern w:val="0"/>
                      <w:sz w:val="21"/>
                      <w:szCs w:val="20"/>
                    </w:rPr>
                    <w:t>）</w:t>
                  </w:r>
                </w:p>
              </w:tc>
            </w:tr>
            <w:tr w14:paraId="71BD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8" w:type="pct"/>
                  <w:vMerge w:val="continue"/>
                  <w:vAlign w:val="center"/>
                </w:tcPr>
                <w:p w14:paraId="36D6ADB7">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64D31461">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自燃</w:t>
                  </w:r>
                  <w:r>
                    <w:rPr>
                      <w:rFonts w:cs="Times New Roman"/>
                      <w:kern w:val="0"/>
                      <w:sz w:val="21"/>
                      <w:szCs w:val="20"/>
                    </w:rPr>
                    <w:t>温度（℃）</w:t>
                  </w:r>
                  <w:r>
                    <w:rPr>
                      <w:rFonts w:hint="eastAsia" w:cs="Times New Roman"/>
                      <w:kern w:val="0"/>
                      <w:sz w:val="21"/>
                      <w:szCs w:val="20"/>
                    </w:rPr>
                    <w:t>305</w:t>
                  </w:r>
                </w:p>
              </w:tc>
              <w:tc>
                <w:tcPr>
                  <w:tcW w:w="3072" w:type="pct"/>
                  <w:gridSpan w:val="3"/>
                  <w:vAlign w:val="center"/>
                </w:tcPr>
                <w:p w14:paraId="10C1B158">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沸点（℃）-</w:t>
                  </w:r>
                  <w:r>
                    <w:rPr>
                      <w:rFonts w:hint="eastAsia" w:cs="Times New Roman"/>
                      <w:kern w:val="0"/>
                      <w:sz w:val="21"/>
                      <w:szCs w:val="20"/>
                    </w:rPr>
                    <w:t>84（升华，直接由固态变为气态）</w:t>
                  </w:r>
                </w:p>
              </w:tc>
            </w:tr>
            <w:tr w14:paraId="5634F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05D52A9A">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5DD00AEB">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爆炸极限</w:t>
                  </w:r>
                </w:p>
              </w:tc>
              <w:tc>
                <w:tcPr>
                  <w:tcW w:w="3072" w:type="pct"/>
                  <w:gridSpan w:val="3"/>
                  <w:vAlign w:val="center"/>
                </w:tcPr>
                <w:p w14:paraId="113FC353">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2.5%~82%（空气中，极易燃易爆）</w:t>
                  </w:r>
                </w:p>
              </w:tc>
            </w:tr>
            <w:tr w14:paraId="6F86B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48940EC4">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7307473F">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稳定性</w:t>
                  </w:r>
                </w:p>
              </w:tc>
              <w:tc>
                <w:tcPr>
                  <w:tcW w:w="3072" w:type="pct"/>
                  <w:gridSpan w:val="3"/>
                  <w:vAlign w:val="center"/>
                </w:tcPr>
                <w:p w14:paraId="7945381D">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不稳定，高压或高温下易分解爆炸；需用丙酮或特殊容器储存</w:t>
                  </w:r>
                </w:p>
              </w:tc>
            </w:tr>
            <w:tr w14:paraId="2AE00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1E28898C">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14317908">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溶解度</w:t>
                  </w:r>
                </w:p>
              </w:tc>
              <w:tc>
                <w:tcPr>
                  <w:tcW w:w="3072" w:type="pct"/>
                  <w:gridSpan w:val="3"/>
                  <w:vAlign w:val="center"/>
                </w:tcPr>
                <w:p w14:paraId="48FCF216">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微溶于水（1.1g/L，20</w:t>
                  </w:r>
                  <w:r>
                    <w:rPr>
                      <w:rFonts w:cs="Times New Roman"/>
                      <w:kern w:val="0"/>
                      <w:sz w:val="21"/>
                      <w:szCs w:val="20"/>
                    </w:rPr>
                    <w:t>℃</w:t>
                  </w:r>
                  <w:r>
                    <w:rPr>
                      <w:rFonts w:hint="eastAsia" w:cs="Times New Roman"/>
                      <w:kern w:val="0"/>
                      <w:sz w:val="21"/>
                      <w:szCs w:val="20"/>
                    </w:rPr>
                    <w:t>），易溶于丙酮、乙醇等有机溶剂</w:t>
                  </w:r>
                </w:p>
              </w:tc>
            </w:tr>
            <w:tr w14:paraId="50371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6FC97BB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毒性及健康危害</w:t>
                  </w:r>
                </w:p>
              </w:tc>
              <w:tc>
                <w:tcPr>
                  <w:tcW w:w="916" w:type="pct"/>
                  <w:vAlign w:val="center"/>
                </w:tcPr>
                <w:p w14:paraId="1F9B01F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侵入途径</w:t>
                  </w:r>
                </w:p>
              </w:tc>
              <w:tc>
                <w:tcPr>
                  <w:tcW w:w="3354" w:type="pct"/>
                  <w:gridSpan w:val="5"/>
                  <w:vAlign w:val="center"/>
                </w:tcPr>
                <w:p w14:paraId="18A6C09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吸入</w:t>
                  </w:r>
                </w:p>
              </w:tc>
            </w:tr>
            <w:tr w14:paraId="761A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6C83ED81">
                  <w:pPr>
                    <w:widowControl/>
                    <w:adjustRightInd w:val="0"/>
                    <w:snapToGrid w:val="0"/>
                    <w:spacing w:line="240" w:lineRule="auto"/>
                    <w:ind w:firstLine="0" w:firstLineChars="0"/>
                    <w:jc w:val="center"/>
                    <w:textAlignment w:val="auto"/>
                    <w:rPr>
                      <w:rFonts w:cs="Times New Roman"/>
                      <w:kern w:val="0"/>
                      <w:sz w:val="21"/>
                      <w:szCs w:val="20"/>
                    </w:rPr>
                  </w:pPr>
                </w:p>
              </w:tc>
              <w:tc>
                <w:tcPr>
                  <w:tcW w:w="916" w:type="pct"/>
                  <w:vAlign w:val="center"/>
                </w:tcPr>
                <w:p w14:paraId="1C3B665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w:t>
                  </w:r>
                </w:p>
              </w:tc>
              <w:tc>
                <w:tcPr>
                  <w:tcW w:w="3354" w:type="pct"/>
                  <w:gridSpan w:val="5"/>
                  <w:vAlign w:val="center"/>
                </w:tcPr>
                <w:p w14:paraId="2DD2412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LD</w:t>
                  </w:r>
                  <w:r>
                    <w:rPr>
                      <w:rFonts w:cs="Times New Roman"/>
                      <w:kern w:val="0"/>
                      <w:sz w:val="21"/>
                      <w:szCs w:val="20"/>
                      <w:vertAlign w:val="subscript"/>
                    </w:rPr>
                    <w:t>50</w:t>
                  </w:r>
                  <w:r>
                    <w:rPr>
                      <w:rFonts w:cs="Times New Roman"/>
                      <w:kern w:val="0"/>
                      <w:sz w:val="21"/>
                      <w:szCs w:val="20"/>
                    </w:rPr>
                    <w:t>：LD</w:t>
                  </w:r>
                  <w:r>
                    <w:rPr>
                      <w:rFonts w:cs="Times New Roman"/>
                      <w:kern w:val="0"/>
                      <w:sz w:val="21"/>
                      <w:szCs w:val="20"/>
                      <w:vertAlign w:val="subscript"/>
                    </w:rPr>
                    <w:t>50</w:t>
                  </w:r>
                  <w:r>
                    <w:rPr>
                      <w:rFonts w:hint="eastAsia" w:cs="Times New Roman"/>
                      <w:kern w:val="0"/>
                      <w:sz w:val="21"/>
                      <w:szCs w:val="20"/>
                    </w:rPr>
                    <w:t>500000ppm</w:t>
                  </w:r>
                  <w:r>
                    <w:rPr>
                      <w:rFonts w:cs="Times New Roman"/>
                      <w:kern w:val="0"/>
                      <w:sz w:val="21"/>
                      <w:szCs w:val="20"/>
                    </w:rPr>
                    <w:t>（</w:t>
                  </w:r>
                  <w:r>
                    <w:rPr>
                      <w:rFonts w:hint="eastAsia" w:cs="Times New Roman"/>
                      <w:kern w:val="0"/>
                      <w:sz w:val="21"/>
                      <w:szCs w:val="20"/>
                    </w:rPr>
                    <w:t>吸入大鼠</w:t>
                  </w:r>
                  <w:r>
                    <w:rPr>
                      <w:rFonts w:cs="Times New Roman"/>
                      <w:kern w:val="0"/>
                      <w:sz w:val="21"/>
                      <w:szCs w:val="20"/>
                    </w:rPr>
                    <w:t>）</w:t>
                  </w:r>
                </w:p>
              </w:tc>
            </w:tr>
            <w:tr w14:paraId="248B1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01A2650D">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4E0B5AA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健康危害</w:t>
                  </w:r>
                </w:p>
              </w:tc>
              <w:tc>
                <w:tcPr>
                  <w:tcW w:w="3072" w:type="pct"/>
                  <w:gridSpan w:val="3"/>
                  <w:vAlign w:val="center"/>
                </w:tcPr>
                <w:p w14:paraId="24A14B41">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低急性毒性，高浓度时主要风险为窒息</w:t>
                  </w:r>
                </w:p>
                <w:p w14:paraId="5AD0BD5A">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症状：头晕、头痛、恶心、缺氧（高浓度时）慢性暴露：长期接触可能引起神经系统症状（如记忆力减退）</w:t>
                  </w:r>
                </w:p>
                <w:p w14:paraId="14FCFD24">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窒息风险：高浓度乙炔会置换氧气，导致缺氧（尤其密闭空间）</w:t>
                  </w:r>
                </w:p>
                <w:p w14:paraId="48880094">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其他危害：燃烧产生一氧化碳（有毒），与铜、银等金属反应生成爆炸性乙炔化物</w:t>
                  </w:r>
                </w:p>
              </w:tc>
            </w:tr>
            <w:tr w14:paraId="53BC4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07223AC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燃烧爆炸危险性</w:t>
                  </w:r>
                </w:p>
              </w:tc>
              <w:tc>
                <w:tcPr>
                  <w:tcW w:w="2423" w:type="pct"/>
                  <w:gridSpan w:val="4"/>
                  <w:vAlign w:val="center"/>
                </w:tcPr>
                <w:p w14:paraId="473620B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燃烧性：易燃</w:t>
                  </w:r>
                </w:p>
              </w:tc>
              <w:tc>
                <w:tcPr>
                  <w:tcW w:w="1847" w:type="pct"/>
                  <w:gridSpan w:val="2"/>
                  <w:vAlign w:val="center"/>
                </w:tcPr>
                <w:p w14:paraId="0292C5D6">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燃烧分解物：CO</w:t>
                  </w:r>
                  <w:r>
                    <w:rPr>
                      <w:rFonts w:cs="Times New Roman"/>
                      <w:kern w:val="0"/>
                      <w:sz w:val="21"/>
                      <w:szCs w:val="20"/>
                      <w:vertAlign w:val="subscript"/>
                    </w:rPr>
                    <w:t>2</w:t>
                  </w:r>
                  <w:r>
                    <w:rPr>
                      <w:rFonts w:hint="eastAsia" w:cs="Times New Roman"/>
                      <w:kern w:val="0"/>
                      <w:sz w:val="21"/>
                      <w:szCs w:val="20"/>
                    </w:rPr>
                    <w:t>、甲烷、丙烷</w:t>
                  </w:r>
                </w:p>
              </w:tc>
            </w:tr>
            <w:tr w14:paraId="1F5AC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7916CD1B">
                  <w:pPr>
                    <w:widowControl/>
                    <w:adjustRightInd w:val="0"/>
                    <w:snapToGrid w:val="0"/>
                    <w:spacing w:line="240" w:lineRule="auto"/>
                    <w:ind w:firstLine="0" w:firstLineChars="0"/>
                    <w:jc w:val="center"/>
                    <w:textAlignment w:val="auto"/>
                    <w:rPr>
                      <w:rFonts w:cs="Times New Roman"/>
                      <w:kern w:val="0"/>
                      <w:sz w:val="21"/>
                      <w:szCs w:val="20"/>
                    </w:rPr>
                  </w:pPr>
                </w:p>
              </w:tc>
              <w:tc>
                <w:tcPr>
                  <w:tcW w:w="2423" w:type="pct"/>
                  <w:gridSpan w:val="4"/>
                  <w:vAlign w:val="center"/>
                </w:tcPr>
                <w:p w14:paraId="7AC76F0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闪点/℃：-</w:t>
                  </w:r>
                  <w:r>
                    <w:rPr>
                      <w:rFonts w:hint="eastAsia" w:cs="Times New Roman"/>
                      <w:kern w:val="0"/>
                      <w:sz w:val="21"/>
                      <w:szCs w:val="20"/>
                    </w:rPr>
                    <w:t>17.78</w:t>
                  </w:r>
                </w:p>
              </w:tc>
              <w:tc>
                <w:tcPr>
                  <w:tcW w:w="1847" w:type="pct"/>
                  <w:gridSpan w:val="2"/>
                  <w:vAlign w:val="center"/>
                </w:tcPr>
                <w:p w14:paraId="4FFC5BC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w:t>
                  </w:r>
                  <w:r>
                    <w:rPr>
                      <w:rFonts w:hint="eastAsia" w:cs="Times New Roman"/>
                      <w:kern w:val="0"/>
                      <w:sz w:val="21"/>
                      <w:szCs w:val="20"/>
                    </w:rPr>
                    <w:t>不</w:t>
                  </w:r>
                  <w:r>
                    <w:rPr>
                      <w:rFonts w:cs="Times New Roman"/>
                      <w:kern w:val="0"/>
                      <w:sz w:val="21"/>
                      <w:szCs w:val="20"/>
                    </w:rPr>
                    <w:t>稳定</w:t>
                  </w:r>
                </w:p>
              </w:tc>
            </w:tr>
            <w:tr w14:paraId="3941A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77AE14E6">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6C64A653">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极端易燃易爆性、高度化学活性及窒息风险‌，其爆炸极限范围宽泛（2.5%~100%），且能与多种物质发生剧烈反应。</w:t>
                  </w:r>
                </w:p>
                <w:p w14:paraId="6C4DB835">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爆炸极限范围极宽：在空气中爆炸范围为2.5%~100%，在氧气中为2.8%~100%，是已知可燃气体中爆炸极限最宽的气体之一。</w:t>
                  </w:r>
                </w:p>
                <w:p w14:paraId="7CA0C56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点火能量极低：空气中最小点火能仅0.019mJ（与氢气相当），氧气中更低至0.0003mJ，微小静电火花即可引燃。</w:t>
                  </w:r>
                </w:p>
                <w:p w14:paraId="3EC2263C">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自燃特性显著：空气中自燃点305℃，氧气中296℃，若含磷化氢杂质时可降至100℃。</w:t>
                  </w:r>
                </w:p>
              </w:tc>
            </w:tr>
            <w:tr w14:paraId="26AD3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2653F1B3">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7D6C2662">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灭火方法：</w:t>
                  </w:r>
                </w:p>
                <w:p w14:paraId="39096CF2">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1.迅速关闭阀门：这是最为关键的一步。关闭乙炔瓶的阀门，能够有效切断乙炔的供应，从根源上阻止火势的蔓延和持续，防止火灾进一步扩大。</w:t>
                  </w:r>
                </w:p>
                <w:p w14:paraId="39A556C2">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2.使用合适的灭火器灭火：迅速取用干粉灭火器、二氧化碳灭火器等进行灭火。使用干粉灭火器时，需先将灭火器上下颠倒几次，使筒内的干粉松动，然后拔下保险销，握住喷管，对准火焰根部按压把手进行喷射；二氧化碳灭火器使用时，要先拔出保险销，再压下压把，将喇叭口对准火焰根部喷射 。</w:t>
                  </w:r>
                </w:p>
                <w:p w14:paraId="16FE17F6">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3.冷却降温：若现场有条件，在确保安全的前提下，可使用大量的水对乙炔瓶进行冷却降温。这能防止因火焰长时间烘烤导致瓶内压力急剧升高，进而引发乙炔瓶爆炸等更为严重的事故。</w:t>
                  </w:r>
                </w:p>
                <w:p w14:paraId="2CE9F6C9">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4.疏散人员：立即组织周围人员撤离至安全区域，设置警戒范围，防止无关人员靠近，避免造成不必要的人员伤亡。</w:t>
                  </w:r>
                </w:p>
              </w:tc>
            </w:tr>
            <w:tr w14:paraId="57EC9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Align w:val="center"/>
                </w:tcPr>
                <w:p w14:paraId="5EED9581">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急救措施</w:t>
                  </w:r>
                </w:p>
              </w:tc>
              <w:tc>
                <w:tcPr>
                  <w:tcW w:w="4271" w:type="pct"/>
                  <w:gridSpan w:val="6"/>
                  <w:vAlign w:val="center"/>
                </w:tcPr>
                <w:p w14:paraId="5B8D546C">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吸入：迅速脱离现场至空气新鲜处，保持呼吸道通畅，如呼吸困难，给输氧；如呼吸停止，立即进行人工呼吸，就医</w:t>
                  </w:r>
                </w:p>
              </w:tc>
            </w:tr>
            <w:tr w14:paraId="7B88A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Align w:val="center"/>
                </w:tcPr>
                <w:p w14:paraId="2A401451">
                  <w:pPr>
                    <w:widowControl/>
                    <w:adjustRightInd w:val="0"/>
                    <w:snapToGrid w:val="0"/>
                    <w:spacing w:line="240" w:lineRule="auto"/>
                    <w:ind w:firstLine="0" w:firstLineChars="0"/>
                    <w:jc w:val="center"/>
                    <w:textAlignment w:val="auto"/>
                    <w:rPr>
                      <w:rFonts w:cs="Times New Roman"/>
                      <w:kern w:val="0"/>
                      <w:sz w:val="21"/>
                      <w:szCs w:val="20"/>
                    </w:rPr>
                  </w:pPr>
                  <w:r>
                    <w:rPr>
                      <w:rFonts w:hint="eastAsia" w:cs="Times New Roman"/>
                      <w:kern w:val="0"/>
                      <w:sz w:val="21"/>
                      <w:szCs w:val="20"/>
                    </w:rPr>
                    <w:t>安全防护措施</w:t>
                  </w:r>
                </w:p>
              </w:tc>
              <w:tc>
                <w:tcPr>
                  <w:tcW w:w="4271" w:type="pct"/>
                  <w:gridSpan w:val="6"/>
                  <w:vAlign w:val="center"/>
                </w:tcPr>
                <w:p w14:paraId="775826E3">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通风：确保工作环境通风良好，避免积聚。</w:t>
                  </w:r>
                </w:p>
                <w:p w14:paraId="0BD8CCE7">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防火防爆：远离火源、静电，使用防爆设备。</w:t>
                  </w:r>
                </w:p>
                <w:p w14:paraId="173965E7">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个人防护：高浓度时佩戴自给式呼吸器（SCBA）。</w:t>
                  </w:r>
                </w:p>
                <w:p w14:paraId="10071A4D">
                  <w:pPr>
                    <w:widowControl/>
                    <w:adjustRightInd w:val="0"/>
                    <w:snapToGrid w:val="0"/>
                    <w:spacing w:line="240" w:lineRule="auto"/>
                    <w:ind w:firstLine="0" w:firstLineChars="0"/>
                    <w:textAlignment w:val="auto"/>
                    <w:rPr>
                      <w:rFonts w:cs="Times New Roman"/>
                      <w:kern w:val="0"/>
                      <w:sz w:val="21"/>
                      <w:szCs w:val="20"/>
                    </w:rPr>
                  </w:pPr>
                  <w:r>
                    <w:rPr>
                      <w:rFonts w:hint="eastAsia" w:cs="Times New Roman"/>
                      <w:kern w:val="0"/>
                      <w:sz w:val="21"/>
                      <w:szCs w:val="20"/>
                    </w:rPr>
                    <w:t>储存：专用钢瓶（含丙酮或多孔材料），避免与氧化剂、铜、银接触。</w:t>
                  </w:r>
                </w:p>
              </w:tc>
            </w:tr>
          </w:tbl>
          <w:p w14:paraId="7BC47156">
            <w:pPr>
              <w:pStyle w:val="3"/>
            </w:pPr>
            <w:r>
              <w:rPr>
                <w:rFonts w:hint="eastAsia"/>
              </w:rPr>
              <w:t>2</w:t>
            </w:r>
            <w:r>
              <w:t>.4</w:t>
            </w:r>
            <w:r>
              <w:rPr>
                <w:rFonts w:hint="eastAsia"/>
              </w:rPr>
              <w:t>劳动定员及工作制度</w:t>
            </w:r>
          </w:p>
          <w:bookmarkEnd w:id="13"/>
          <w:p w14:paraId="3A3CDC37">
            <w:pPr>
              <w:pStyle w:val="37"/>
              <w:spacing w:before="163"/>
              <w:ind w:firstLine="480" w:firstLineChars="200"/>
              <w:jc w:val="both"/>
              <w:rPr>
                <w:rFonts w:cs="Times New Roman"/>
                <w:b w:val="0"/>
                <w:color w:val="000000" w:themeColor="text1"/>
                <w:sz w:val="24"/>
                <w14:textFill>
                  <w14:solidFill>
                    <w14:schemeClr w14:val="tx1"/>
                  </w14:solidFill>
                </w14:textFill>
              </w:rPr>
            </w:pPr>
            <w:r>
              <w:rPr>
                <w:rFonts w:hint="eastAsia" w:cs="Times New Roman"/>
                <w:b w:val="0"/>
                <w:color w:val="000000" w:themeColor="text1"/>
                <w:sz w:val="24"/>
                <w14:textFill>
                  <w14:solidFill>
                    <w14:schemeClr w14:val="tx1"/>
                  </w14:solidFill>
                </w14:textFill>
              </w:rPr>
              <w:t>劳动定员1</w:t>
            </w:r>
            <w:r>
              <w:rPr>
                <w:rFonts w:cs="Times New Roman"/>
                <w:b w:val="0"/>
                <w:color w:val="000000" w:themeColor="text1"/>
                <w:sz w:val="24"/>
                <w14:textFill>
                  <w14:solidFill>
                    <w14:schemeClr w14:val="tx1"/>
                  </w14:solidFill>
                </w14:textFill>
              </w:rPr>
              <w:t>2</w:t>
            </w:r>
            <w:r>
              <w:rPr>
                <w:rFonts w:hint="eastAsia" w:cs="Times New Roman"/>
                <w:b w:val="0"/>
                <w:color w:val="000000" w:themeColor="text1"/>
                <w:sz w:val="24"/>
                <w14:textFill>
                  <w14:solidFill>
                    <w14:schemeClr w14:val="tx1"/>
                  </w14:solidFill>
                </w14:textFill>
              </w:rPr>
              <w:t>人，年工作</w:t>
            </w:r>
            <w:r>
              <w:rPr>
                <w:rFonts w:cs="Times New Roman"/>
                <w:b w:val="0"/>
                <w:color w:val="000000" w:themeColor="text1"/>
                <w:sz w:val="24"/>
                <w14:textFill>
                  <w14:solidFill>
                    <w14:schemeClr w14:val="tx1"/>
                  </w14:solidFill>
                </w14:textFill>
              </w:rPr>
              <w:t>360</w:t>
            </w:r>
            <w:r>
              <w:rPr>
                <w:rFonts w:hint="eastAsia" w:cs="Times New Roman"/>
                <w:b w:val="0"/>
                <w:color w:val="000000" w:themeColor="text1"/>
                <w:sz w:val="24"/>
                <w14:textFill>
                  <w14:solidFill>
                    <w14:schemeClr w14:val="tx1"/>
                  </w14:solidFill>
                </w14:textFill>
              </w:rPr>
              <w:t>天，</w:t>
            </w:r>
            <w:r>
              <w:rPr>
                <w:rFonts w:cs="Times New Roman"/>
                <w:b w:val="0"/>
                <w:color w:val="000000" w:themeColor="text1"/>
                <w:sz w:val="24"/>
                <w14:textFill>
                  <w14:solidFill>
                    <w14:schemeClr w14:val="tx1"/>
                  </w14:solidFill>
                </w14:textFill>
              </w:rPr>
              <w:t>每</w:t>
            </w:r>
            <w:r>
              <w:rPr>
                <w:rFonts w:hint="eastAsia" w:cs="Times New Roman"/>
                <w:b w:val="0"/>
                <w:color w:val="000000" w:themeColor="text1"/>
                <w:sz w:val="24"/>
                <w14:textFill>
                  <w14:solidFill>
                    <w14:schemeClr w14:val="tx1"/>
                  </w14:solidFill>
                </w14:textFill>
              </w:rPr>
              <w:t>天8</w:t>
            </w:r>
            <w:r>
              <w:rPr>
                <w:rFonts w:cs="Times New Roman"/>
                <w:b w:val="0"/>
                <w:color w:val="000000" w:themeColor="text1"/>
                <w:sz w:val="24"/>
                <w14:textFill>
                  <w14:solidFill>
                    <w14:schemeClr w14:val="tx1"/>
                  </w14:solidFill>
                </w14:textFill>
              </w:rPr>
              <w:t>个小时</w:t>
            </w:r>
            <w:r>
              <w:rPr>
                <w:rFonts w:hint="eastAsia" w:cs="Times New Roman"/>
                <w:b w:val="0"/>
                <w:color w:val="000000" w:themeColor="text1"/>
                <w:sz w:val="24"/>
                <w14:textFill>
                  <w14:solidFill>
                    <w14:schemeClr w14:val="tx1"/>
                  </w14:solidFill>
                </w14:textFill>
              </w:rPr>
              <w:t>。</w:t>
            </w:r>
          </w:p>
          <w:p w14:paraId="4BD8FA1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选址及总平面布置</w:t>
            </w:r>
            <w:bookmarkEnd w:id="14"/>
          </w:p>
          <w:p w14:paraId="5DFEB1C6">
            <w:pPr>
              <w:ind w:firstLine="480"/>
            </w:pPr>
            <w:r>
              <w:rPr>
                <w:rFonts w:hint="eastAsia"/>
              </w:rPr>
              <w:t>罐区位于本站丙烷、丁烷充装车间（含灌装间、瓶库、压缩机房）北侧，采用埋地储罐，罐区设置4台20m</w:t>
            </w:r>
            <w:r>
              <w:rPr>
                <w:rFonts w:hint="eastAsia"/>
                <w:vertAlign w:val="superscript"/>
              </w:rPr>
              <w:t>3</w:t>
            </w:r>
            <w:r>
              <w:rPr>
                <w:rFonts w:hint="eastAsia"/>
              </w:rPr>
              <w:t>卧式埋地储罐和1台5m</w:t>
            </w:r>
            <w:r>
              <w:rPr>
                <w:rFonts w:hint="eastAsia"/>
                <w:vertAlign w:val="superscript"/>
              </w:rPr>
              <w:t>3</w:t>
            </w:r>
            <w:r>
              <w:rPr>
                <w:rFonts w:hint="eastAsia"/>
              </w:rPr>
              <w:t>埋地式残液回收罐，在罐区边缘设置充装泵；在充装车间内设置2台丙烷电子充装秤，2台丁烷电子充装秤，卸车位于储罐区东侧。在丙烷、丁烷生产区域围墙北侧设置辅助用房（包括配电室、发电机房、备品间及消防泵房），消防水池。场站布置尽量做到</w:t>
            </w:r>
            <w:r>
              <w:rPr>
                <w:rFonts w:ascii="Helvetica" w:hAnsi="Helvetica"/>
                <w:color w:val="111111"/>
                <w:shd w:val="clear" w:color="auto" w:fill="FFFFFF"/>
              </w:rPr>
              <w:t>简洁</w:t>
            </w:r>
            <w:r>
              <w:rPr>
                <w:rFonts w:hint="eastAsia"/>
              </w:rPr>
              <w:t>、顺畅，能使车辆进出方便，满足防火间距和消防通道的要求。道路设计满足生产运输及消防要求，站内消防通道，按不小于6.0m宽，进、出口转弯半径不小于9m设计，可充分保证发生火灾时道路畅通。厂区平面图见附图2。</w:t>
            </w:r>
          </w:p>
          <w:p w14:paraId="0EF6D0F9">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公用工程</w:t>
            </w:r>
          </w:p>
          <w:p w14:paraId="2DBBA45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给水</w:t>
            </w:r>
          </w:p>
          <w:p w14:paraId="129C8D2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本项目生产、生活用水由园区给水管网接入，按需供给。</w:t>
            </w:r>
          </w:p>
          <w:p w14:paraId="1AE0BC96">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生产用水：</w:t>
            </w:r>
            <w:r>
              <w:rPr>
                <w:rFonts w:hint="eastAsia"/>
                <w:color w:val="000000" w:themeColor="text1"/>
                <w14:textFill>
                  <w14:solidFill>
                    <w14:schemeClr w14:val="tx1"/>
                  </w14:solidFill>
                </w14:textFill>
              </w:rPr>
              <w:t>本项目生产用水为消防用水。</w:t>
            </w:r>
          </w:p>
          <w:p w14:paraId="3AAF73A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消防用水设有地下式消防水池，水枪用水量为20L/s，按消防时间3小时计算，总用水量216m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，消防水池为</w:t>
            </w:r>
            <w:r>
              <w:rPr>
                <w:color w:val="000000" w:themeColor="text1"/>
                <w14:textFill>
                  <w14:solidFill>
                    <w14:schemeClr w14:val="tx1"/>
                  </w14:solidFill>
                </w14:textFill>
              </w:rPr>
              <w:t>250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，消防泵房内设有2台消防泵，可保证消防给水的安全可靠。</w:t>
            </w:r>
          </w:p>
          <w:p w14:paraId="77F57BA0">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生活用水：</w:t>
            </w:r>
            <w:r>
              <w:rPr>
                <w:rFonts w:hint="eastAsia"/>
                <w:color w:val="000000" w:themeColor="text1"/>
                <w14:textFill>
                  <w14:solidFill>
                    <w14:schemeClr w14:val="tx1"/>
                  </w14:solidFill>
                </w14:textFill>
              </w:rPr>
              <w:t>项目运营期工作人员1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人，年工作3</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天，</w:t>
            </w:r>
            <w:r>
              <w:rPr>
                <w:rFonts w:hint="eastAsia"/>
              </w:rPr>
              <w:t>人员用水量按</w:t>
            </w:r>
            <w:r>
              <w:t>100</w:t>
            </w:r>
            <w:r>
              <w:rPr>
                <w:rFonts w:hint="eastAsia"/>
              </w:rPr>
              <w:t>L/人·d计，生活用水量为</w:t>
            </w:r>
            <w:r>
              <w:t>1.2</w:t>
            </w:r>
            <w:r>
              <w:rPr>
                <w:rFonts w:hint="eastAsia"/>
              </w:rPr>
              <w:t>m</w:t>
            </w:r>
            <w:r>
              <w:rPr>
                <w:rFonts w:hint="eastAsia"/>
                <w:vertAlign w:val="superscript"/>
              </w:rPr>
              <w:t>3</w:t>
            </w:r>
            <w:r>
              <w:rPr>
                <w:rFonts w:hint="eastAsia"/>
              </w:rPr>
              <w:t>/d，</w:t>
            </w:r>
            <w:r>
              <w:t>432</w:t>
            </w:r>
            <w:r>
              <w:rPr>
                <w:rFonts w:hint="eastAsia"/>
              </w:rPr>
              <w:t>m</w:t>
            </w:r>
            <w:r>
              <w:rPr>
                <w:rFonts w:hint="eastAsia"/>
                <w:vertAlign w:val="superscript"/>
              </w:rPr>
              <w:t>3</w:t>
            </w:r>
            <w:r>
              <w:rPr>
                <w:rFonts w:hint="eastAsia"/>
              </w:rPr>
              <w:t>/a。</w:t>
            </w:r>
          </w:p>
          <w:p w14:paraId="1F94A9C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排水</w:t>
            </w:r>
          </w:p>
          <w:p w14:paraId="25420C7D">
            <w:pPr>
              <w:ind w:firstLine="480"/>
            </w:pPr>
            <w:r>
              <w:rPr>
                <w:rFonts w:hint="eastAsia"/>
                <w:color w:val="000000" w:themeColor="text1"/>
                <w14:textFill>
                  <w14:solidFill>
                    <w14:schemeClr w14:val="tx1"/>
                  </w14:solidFill>
                </w14:textFill>
              </w:rPr>
              <w:t>生活污水：</w:t>
            </w:r>
            <w:r>
              <w:rPr>
                <w:rFonts w:hint="eastAsia"/>
              </w:rPr>
              <w:t>污水产生量按照产生系数0.8计，则生活污水排放量为</w:t>
            </w:r>
            <w:r>
              <w:t>0.96</w:t>
            </w:r>
            <w:r>
              <w:rPr>
                <w:rFonts w:hint="eastAsia"/>
              </w:rPr>
              <w:t>m</w:t>
            </w:r>
            <w:r>
              <w:rPr>
                <w:rFonts w:hint="eastAsia"/>
                <w:vertAlign w:val="superscript"/>
              </w:rPr>
              <w:t>3</w:t>
            </w:r>
            <w:r>
              <w:rPr>
                <w:rFonts w:hint="eastAsia"/>
              </w:rPr>
              <w:t>/d，</w:t>
            </w:r>
            <w:r>
              <w:t>345.6</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r>
              <w:rPr>
                <w:rFonts w:hint="eastAsia"/>
              </w:rPr>
              <w:t>生活污水经化粪池预处理后由吸污车拉运至和静县污水处理厂处理。</w:t>
            </w:r>
          </w:p>
          <w:p w14:paraId="71E5DF0A">
            <w:pPr>
              <w:ind w:firstLine="480"/>
            </w:pPr>
            <w:r>
              <w:rPr>
                <w:rFonts w:hint="eastAsia"/>
              </w:rPr>
              <w:t>项目给排水平衡情况见表</w:t>
            </w:r>
            <w:r>
              <w:t>2-</w:t>
            </w:r>
            <w:r>
              <w:rPr>
                <w:rFonts w:hint="eastAsia"/>
              </w:rPr>
              <w:t>11。</w:t>
            </w:r>
          </w:p>
          <w:p w14:paraId="1AAA755A">
            <w:pPr>
              <w:spacing w:before="163" w:beforeLines="50" w:line="240" w:lineRule="auto"/>
              <w:ind w:firstLine="0" w:firstLineChars="0"/>
              <w:jc w:val="center"/>
              <w:rPr>
                <w:b/>
              </w:rPr>
            </w:pPr>
            <w:r>
              <w:rPr>
                <w:rFonts w:hint="eastAsia"/>
                <w:b/>
                <w:sz w:val="21"/>
              </w:rPr>
              <w:t>表2</w:t>
            </w:r>
            <w:r>
              <w:rPr>
                <w:b/>
                <w:sz w:val="21"/>
              </w:rPr>
              <w:t>-</w:t>
            </w:r>
            <w:r>
              <w:rPr>
                <w:rFonts w:hint="eastAsia"/>
                <w:b/>
                <w:sz w:val="21"/>
              </w:rPr>
              <w:t>11</w:t>
            </w:r>
            <w:r>
              <w:rPr>
                <w:b/>
                <w:sz w:val="21"/>
              </w:rPr>
              <w:t xml:space="preserve">  </w:t>
            </w:r>
            <w:r>
              <w:rPr>
                <w:rFonts w:hint="eastAsia"/>
                <w:b/>
                <w:sz w:val="21"/>
              </w:rPr>
              <w:t>项目水平衡一览表单位：t</w:t>
            </w:r>
            <w:r>
              <w:rPr>
                <w:b/>
                <w:sz w:val="21"/>
              </w:rPr>
              <w:t>/</w:t>
            </w:r>
            <w:r>
              <w:rPr>
                <w:rFonts w:hint="eastAsia"/>
                <w:b/>
                <w:sz w:val="21"/>
              </w:rPr>
              <w:t>d</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423"/>
              <w:gridCol w:w="1297"/>
              <w:gridCol w:w="1164"/>
              <w:gridCol w:w="1044"/>
              <w:gridCol w:w="2108"/>
            </w:tblGrid>
            <w:tr w14:paraId="0D5C1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2" w:type="pct"/>
                  <w:vAlign w:val="center"/>
                </w:tcPr>
                <w:p w14:paraId="1864B4C5">
                  <w:pPr>
                    <w:spacing w:line="240" w:lineRule="auto"/>
                    <w:ind w:firstLine="0" w:firstLineChars="0"/>
                    <w:contextualSpacing/>
                    <w:jc w:val="center"/>
                    <w:rPr>
                      <w:rFonts w:cs="Times New Roman"/>
                      <w:sz w:val="21"/>
                      <w:szCs w:val="21"/>
                    </w:rPr>
                  </w:pPr>
                  <w:r>
                    <w:rPr>
                      <w:rFonts w:cs="Times New Roman"/>
                      <w:sz w:val="21"/>
                      <w:szCs w:val="21"/>
                    </w:rPr>
                    <w:t>名称</w:t>
                  </w:r>
                </w:p>
              </w:tc>
              <w:tc>
                <w:tcPr>
                  <w:tcW w:w="857" w:type="pct"/>
                  <w:vAlign w:val="center"/>
                </w:tcPr>
                <w:p w14:paraId="6A77B072">
                  <w:pPr>
                    <w:spacing w:line="240" w:lineRule="auto"/>
                    <w:ind w:firstLine="0" w:firstLineChars="0"/>
                    <w:contextualSpacing/>
                    <w:jc w:val="center"/>
                    <w:rPr>
                      <w:rFonts w:cs="Times New Roman"/>
                      <w:sz w:val="21"/>
                      <w:szCs w:val="21"/>
                    </w:rPr>
                  </w:pPr>
                  <w:r>
                    <w:rPr>
                      <w:rFonts w:cs="Times New Roman"/>
                      <w:sz w:val="21"/>
                      <w:szCs w:val="21"/>
                    </w:rPr>
                    <w:t>新鲜用水量</w:t>
                  </w:r>
                </w:p>
              </w:tc>
              <w:tc>
                <w:tcPr>
                  <w:tcW w:w="781" w:type="pct"/>
                  <w:vAlign w:val="center"/>
                </w:tcPr>
                <w:p w14:paraId="0CB8FF2D">
                  <w:pPr>
                    <w:spacing w:line="240" w:lineRule="auto"/>
                    <w:ind w:firstLine="0" w:firstLineChars="0"/>
                    <w:contextualSpacing/>
                    <w:jc w:val="center"/>
                    <w:rPr>
                      <w:rFonts w:cs="Times New Roman"/>
                      <w:sz w:val="21"/>
                      <w:szCs w:val="21"/>
                    </w:rPr>
                  </w:pPr>
                  <w:r>
                    <w:rPr>
                      <w:rFonts w:cs="Times New Roman"/>
                      <w:sz w:val="21"/>
                      <w:szCs w:val="21"/>
                    </w:rPr>
                    <w:t>消耗量</w:t>
                  </w:r>
                </w:p>
              </w:tc>
              <w:tc>
                <w:tcPr>
                  <w:tcW w:w="701" w:type="pct"/>
                  <w:vAlign w:val="center"/>
                </w:tcPr>
                <w:p w14:paraId="30221B32">
                  <w:pPr>
                    <w:spacing w:line="240" w:lineRule="auto"/>
                    <w:ind w:firstLine="0" w:firstLineChars="0"/>
                    <w:contextualSpacing/>
                    <w:jc w:val="center"/>
                    <w:rPr>
                      <w:rFonts w:cs="Times New Roman"/>
                      <w:sz w:val="21"/>
                      <w:szCs w:val="21"/>
                    </w:rPr>
                  </w:pPr>
                  <w:r>
                    <w:rPr>
                      <w:rFonts w:cs="Times New Roman"/>
                      <w:sz w:val="21"/>
                      <w:szCs w:val="21"/>
                    </w:rPr>
                    <w:t>循环/综合利用</w:t>
                  </w:r>
                </w:p>
              </w:tc>
              <w:tc>
                <w:tcPr>
                  <w:tcW w:w="629" w:type="pct"/>
                  <w:vAlign w:val="center"/>
                </w:tcPr>
                <w:p w14:paraId="277A0955">
                  <w:pPr>
                    <w:spacing w:line="240" w:lineRule="auto"/>
                    <w:ind w:firstLine="0" w:firstLineChars="0"/>
                    <w:contextualSpacing/>
                    <w:jc w:val="center"/>
                    <w:rPr>
                      <w:rFonts w:cs="Times New Roman"/>
                      <w:sz w:val="21"/>
                      <w:szCs w:val="21"/>
                    </w:rPr>
                  </w:pPr>
                  <w:r>
                    <w:rPr>
                      <w:rFonts w:cs="Times New Roman"/>
                      <w:sz w:val="21"/>
                      <w:szCs w:val="21"/>
                    </w:rPr>
                    <w:t>排放量</w:t>
                  </w:r>
                </w:p>
              </w:tc>
              <w:tc>
                <w:tcPr>
                  <w:tcW w:w="1271" w:type="pct"/>
                  <w:vAlign w:val="center"/>
                </w:tcPr>
                <w:p w14:paraId="0FC4D640">
                  <w:pPr>
                    <w:spacing w:line="240" w:lineRule="auto"/>
                    <w:ind w:firstLine="0" w:firstLineChars="0"/>
                    <w:contextualSpacing/>
                    <w:jc w:val="center"/>
                    <w:rPr>
                      <w:rFonts w:cs="Times New Roman"/>
                      <w:sz w:val="21"/>
                      <w:szCs w:val="21"/>
                    </w:rPr>
                  </w:pPr>
                  <w:r>
                    <w:rPr>
                      <w:rFonts w:cs="Times New Roman"/>
                      <w:sz w:val="21"/>
                      <w:szCs w:val="21"/>
                    </w:rPr>
                    <w:t>备注</w:t>
                  </w:r>
                </w:p>
              </w:tc>
            </w:tr>
            <w:tr w14:paraId="2AB6A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762" w:type="pct"/>
                  <w:vAlign w:val="center"/>
                </w:tcPr>
                <w:p w14:paraId="21CFB654">
                  <w:pPr>
                    <w:spacing w:line="240" w:lineRule="auto"/>
                    <w:ind w:firstLine="0" w:firstLineChars="0"/>
                    <w:contextualSpacing/>
                    <w:jc w:val="center"/>
                    <w:rPr>
                      <w:rFonts w:cs="Times New Roman"/>
                      <w:sz w:val="21"/>
                      <w:szCs w:val="21"/>
                    </w:rPr>
                  </w:pPr>
                  <w:r>
                    <w:rPr>
                      <w:rFonts w:cs="Times New Roman"/>
                      <w:sz w:val="21"/>
                      <w:szCs w:val="21"/>
                    </w:rPr>
                    <w:t>生活用水</w:t>
                  </w:r>
                </w:p>
              </w:tc>
              <w:tc>
                <w:tcPr>
                  <w:tcW w:w="857" w:type="pct"/>
                  <w:vAlign w:val="center"/>
                </w:tcPr>
                <w:p w14:paraId="38926765">
                  <w:pPr>
                    <w:spacing w:line="240" w:lineRule="auto"/>
                    <w:ind w:firstLine="0" w:firstLineChars="0"/>
                    <w:contextualSpacing/>
                    <w:jc w:val="center"/>
                    <w:rPr>
                      <w:rFonts w:cs="Times New Roman"/>
                      <w:sz w:val="21"/>
                      <w:szCs w:val="21"/>
                    </w:rPr>
                  </w:pPr>
                  <w:r>
                    <w:rPr>
                      <w:rFonts w:cs="Times New Roman"/>
                      <w:sz w:val="21"/>
                      <w:szCs w:val="21"/>
                    </w:rPr>
                    <w:t>1.2</w:t>
                  </w:r>
                </w:p>
              </w:tc>
              <w:tc>
                <w:tcPr>
                  <w:tcW w:w="781" w:type="pct"/>
                  <w:vAlign w:val="center"/>
                </w:tcPr>
                <w:p w14:paraId="63954DFA">
                  <w:pPr>
                    <w:spacing w:line="240" w:lineRule="auto"/>
                    <w:ind w:firstLine="0" w:firstLineChars="0"/>
                    <w:contextualSpacing/>
                    <w:jc w:val="center"/>
                    <w:rPr>
                      <w:rFonts w:cs="Times New Roman"/>
                      <w:sz w:val="21"/>
                      <w:szCs w:val="21"/>
                    </w:rPr>
                  </w:pPr>
                  <w:r>
                    <w:rPr>
                      <w:rFonts w:cs="Times New Roman"/>
                      <w:sz w:val="21"/>
                      <w:szCs w:val="21"/>
                    </w:rPr>
                    <w:t>0.24</w:t>
                  </w:r>
                </w:p>
              </w:tc>
              <w:tc>
                <w:tcPr>
                  <w:tcW w:w="701" w:type="pct"/>
                  <w:vAlign w:val="center"/>
                </w:tcPr>
                <w:p w14:paraId="71DD6A2D">
                  <w:pPr>
                    <w:spacing w:line="240" w:lineRule="auto"/>
                    <w:ind w:firstLine="0" w:firstLineChars="0"/>
                    <w:contextualSpacing/>
                    <w:jc w:val="center"/>
                    <w:rPr>
                      <w:rFonts w:cs="Times New Roman"/>
                      <w:sz w:val="21"/>
                      <w:szCs w:val="21"/>
                    </w:rPr>
                  </w:pPr>
                  <w:r>
                    <w:rPr>
                      <w:rFonts w:cs="Times New Roman"/>
                      <w:sz w:val="21"/>
                      <w:szCs w:val="21"/>
                    </w:rPr>
                    <w:t>0</w:t>
                  </w:r>
                </w:p>
              </w:tc>
              <w:tc>
                <w:tcPr>
                  <w:tcW w:w="629" w:type="pct"/>
                  <w:vAlign w:val="center"/>
                </w:tcPr>
                <w:p w14:paraId="563F31F0">
                  <w:pPr>
                    <w:spacing w:line="240" w:lineRule="auto"/>
                    <w:ind w:firstLine="0" w:firstLineChars="0"/>
                    <w:contextualSpacing/>
                    <w:jc w:val="center"/>
                    <w:rPr>
                      <w:rFonts w:cs="Times New Roman"/>
                      <w:sz w:val="21"/>
                      <w:szCs w:val="21"/>
                    </w:rPr>
                  </w:pPr>
                  <w:r>
                    <w:rPr>
                      <w:rFonts w:cs="Times New Roman"/>
                      <w:sz w:val="21"/>
                      <w:szCs w:val="21"/>
                    </w:rPr>
                    <w:t>0.96</w:t>
                  </w:r>
                </w:p>
              </w:tc>
              <w:tc>
                <w:tcPr>
                  <w:tcW w:w="1271" w:type="pct"/>
                  <w:vMerge w:val="restart"/>
                  <w:vAlign w:val="center"/>
                </w:tcPr>
                <w:p w14:paraId="516BAC1D">
                  <w:pPr>
                    <w:spacing w:line="240" w:lineRule="auto"/>
                    <w:ind w:firstLine="0" w:firstLineChars="0"/>
                    <w:contextualSpacing/>
                    <w:jc w:val="center"/>
                    <w:rPr>
                      <w:rFonts w:cs="Times New Roman"/>
                      <w:sz w:val="21"/>
                      <w:szCs w:val="21"/>
                    </w:rPr>
                  </w:pPr>
                  <w:r>
                    <w:rPr>
                      <w:rFonts w:hint="eastAsia" w:cs="Times New Roman"/>
                      <w:sz w:val="21"/>
                      <w:szCs w:val="21"/>
                    </w:rPr>
                    <w:t>经化粪池预处理后由吸污车拉运至和静县污水处理厂处理</w:t>
                  </w:r>
                </w:p>
              </w:tc>
            </w:tr>
            <w:tr w14:paraId="3CEF4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2" w:type="pct"/>
                  <w:vAlign w:val="center"/>
                </w:tcPr>
                <w:p w14:paraId="3CED8ED1">
                  <w:pPr>
                    <w:spacing w:line="240" w:lineRule="auto"/>
                    <w:ind w:firstLine="0" w:firstLineChars="0"/>
                    <w:contextualSpacing/>
                    <w:jc w:val="center"/>
                    <w:rPr>
                      <w:rFonts w:cs="Times New Roman"/>
                      <w:sz w:val="21"/>
                      <w:szCs w:val="21"/>
                    </w:rPr>
                  </w:pPr>
                  <w:r>
                    <w:rPr>
                      <w:rFonts w:cs="Times New Roman"/>
                      <w:sz w:val="21"/>
                      <w:szCs w:val="21"/>
                    </w:rPr>
                    <w:t>合计</w:t>
                  </w:r>
                </w:p>
              </w:tc>
              <w:tc>
                <w:tcPr>
                  <w:tcW w:w="857" w:type="pct"/>
                  <w:vAlign w:val="center"/>
                </w:tcPr>
                <w:p w14:paraId="008CAFDC">
                  <w:pPr>
                    <w:spacing w:line="240" w:lineRule="auto"/>
                    <w:ind w:firstLine="0" w:firstLineChars="0"/>
                    <w:contextualSpacing/>
                    <w:jc w:val="center"/>
                    <w:rPr>
                      <w:rFonts w:cs="Times New Roman"/>
                      <w:sz w:val="21"/>
                      <w:szCs w:val="21"/>
                    </w:rPr>
                  </w:pPr>
                  <w:r>
                    <w:rPr>
                      <w:rFonts w:cs="Times New Roman"/>
                      <w:sz w:val="21"/>
                      <w:szCs w:val="21"/>
                    </w:rPr>
                    <w:t>1.2</w:t>
                  </w:r>
                </w:p>
              </w:tc>
              <w:tc>
                <w:tcPr>
                  <w:tcW w:w="781" w:type="pct"/>
                  <w:vAlign w:val="center"/>
                </w:tcPr>
                <w:p w14:paraId="30434CC9">
                  <w:pPr>
                    <w:spacing w:line="240" w:lineRule="auto"/>
                    <w:ind w:firstLine="0" w:firstLineChars="0"/>
                    <w:contextualSpacing/>
                    <w:jc w:val="center"/>
                    <w:rPr>
                      <w:rFonts w:cs="Times New Roman"/>
                      <w:sz w:val="21"/>
                      <w:szCs w:val="21"/>
                    </w:rPr>
                  </w:pPr>
                  <w:r>
                    <w:rPr>
                      <w:rFonts w:cs="Times New Roman"/>
                      <w:sz w:val="21"/>
                      <w:szCs w:val="21"/>
                    </w:rPr>
                    <w:t>0.24</w:t>
                  </w:r>
                </w:p>
              </w:tc>
              <w:tc>
                <w:tcPr>
                  <w:tcW w:w="701" w:type="pct"/>
                  <w:vAlign w:val="center"/>
                </w:tcPr>
                <w:p w14:paraId="20E587E6">
                  <w:pPr>
                    <w:spacing w:line="240" w:lineRule="auto"/>
                    <w:ind w:firstLine="0" w:firstLineChars="0"/>
                    <w:contextualSpacing/>
                    <w:jc w:val="center"/>
                    <w:rPr>
                      <w:rFonts w:cs="Times New Roman"/>
                      <w:sz w:val="21"/>
                      <w:szCs w:val="21"/>
                    </w:rPr>
                  </w:pPr>
                  <w:r>
                    <w:rPr>
                      <w:rFonts w:cs="Times New Roman"/>
                      <w:sz w:val="21"/>
                      <w:szCs w:val="21"/>
                    </w:rPr>
                    <w:t>0</w:t>
                  </w:r>
                </w:p>
              </w:tc>
              <w:tc>
                <w:tcPr>
                  <w:tcW w:w="629" w:type="pct"/>
                  <w:vAlign w:val="center"/>
                </w:tcPr>
                <w:p w14:paraId="209B4F79">
                  <w:pPr>
                    <w:spacing w:line="240" w:lineRule="auto"/>
                    <w:ind w:firstLine="0" w:firstLineChars="0"/>
                    <w:contextualSpacing/>
                    <w:jc w:val="center"/>
                    <w:rPr>
                      <w:rFonts w:cs="Times New Roman"/>
                      <w:sz w:val="21"/>
                      <w:szCs w:val="21"/>
                    </w:rPr>
                  </w:pPr>
                  <w:r>
                    <w:rPr>
                      <w:rFonts w:cs="Times New Roman"/>
                      <w:sz w:val="21"/>
                      <w:szCs w:val="21"/>
                    </w:rPr>
                    <w:t>0.96</w:t>
                  </w:r>
                </w:p>
              </w:tc>
              <w:tc>
                <w:tcPr>
                  <w:tcW w:w="1271" w:type="pct"/>
                  <w:vMerge w:val="continue"/>
                  <w:vAlign w:val="center"/>
                </w:tcPr>
                <w:p w14:paraId="014486AD">
                  <w:pPr>
                    <w:spacing w:line="240" w:lineRule="auto"/>
                    <w:ind w:firstLine="0" w:firstLineChars="0"/>
                    <w:contextualSpacing/>
                    <w:jc w:val="center"/>
                    <w:rPr>
                      <w:rFonts w:cs="Times New Roman"/>
                      <w:sz w:val="21"/>
                      <w:szCs w:val="21"/>
                    </w:rPr>
                  </w:pPr>
                </w:p>
              </w:tc>
            </w:tr>
          </w:tbl>
          <w:p w14:paraId="43B7E699">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供暖</w:t>
            </w:r>
          </w:p>
          <w:p w14:paraId="01164C82">
            <w:pPr>
              <w:ind w:firstLine="480"/>
              <w:rPr>
                <w:color w:val="000000" w:themeColor="text1"/>
                <w14:textFill>
                  <w14:solidFill>
                    <w14:schemeClr w14:val="tx1"/>
                  </w14:solidFill>
                </w14:textFill>
              </w:rPr>
            </w:pPr>
            <w:r>
              <w:t>本项目的供暖采用</w:t>
            </w:r>
            <w:r>
              <w:rPr>
                <w:rFonts w:hint="eastAsia"/>
                <w:color w:val="000000" w:themeColor="text1"/>
                <w14:textFill>
                  <w14:solidFill>
                    <w14:schemeClr w14:val="tx1"/>
                  </w14:solidFill>
                </w14:textFill>
              </w:rPr>
              <w:t>电采暖。</w:t>
            </w:r>
          </w:p>
          <w:p w14:paraId="4F81D14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.6.4</w:t>
            </w:r>
            <w:r>
              <w:rPr>
                <w:rFonts w:hint="eastAsia"/>
                <w:color w:val="000000" w:themeColor="text1"/>
                <w14:textFill>
                  <w14:solidFill>
                    <w14:schemeClr w14:val="tx1"/>
                  </w14:solidFill>
                </w14:textFill>
              </w:rPr>
              <w:t>供电</w:t>
            </w:r>
          </w:p>
          <w:p w14:paraId="424721AF">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由国家电网统一供电。</w:t>
            </w:r>
          </w:p>
        </w:tc>
      </w:tr>
      <w:tr w14:paraId="665E2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Align w:val="center"/>
          </w:tcPr>
          <w:p w14:paraId="70622F2B">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工艺流程和产排污环节</w:t>
            </w:r>
          </w:p>
        </w:tc>
        <w:tc>
          <w:tcPr>
            <w:tcW w:w="8547" w:type="dxa"/>
          </w:tcPr>
          <w:p w14:paraId="01B88966">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7工艺流程与产污环节分析</w:t>
            </w:r>
          </w:p>
          <w:p w14:paraId="270C752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7.1施工期工艺流程与产污环节分析</w:t>
            </w:r>
          </w:p>
          <w:p w14:paraId="68F8D8DF">
            <w:pPr>
              <w:ind w:firstLine="480"/>
            </w:pPr>
            <w:r>
              <w:rPr>
                <w:rFonts w:hint="eastAsia"/>
                <w:snapToGrid w:val="0"/>
                <w:kern w:val="0"/>
              </w:rPr>
              <w:t>项目</w:t>
            </w:r>
            <w:r>
              <w:rPr>
                <w:rFonts w:hint="eastAsia" w:cs="Times New Roman"/>
                <w:bCs/>
                <w:szCs w:val="24"/>
              </w:rPr>
              <w:t>埋地储罐区、充装车间、工业气体瓶库</w:t>
            </w:r>
            <w:r>
              <w:rPr>
                <w:rFonts w:hint="eastAsia"/>
                <w:snapToGrid w:val="0"/>
                <w:kern w:val="0"/>
              </w:rPr>
              <w:t>等工程已建设完成，施工期已结束。</w:t>
            </w:r>
          </w:p>
          <w:p w14:paraId="593C73F7">
            <w:pPr>
              <w:pStyle w:val="4"/>
              <w:rPr>
                <w:color w:val="000000" w:themeColor="text1"/>
                <w14:textFill>
                  <w14:solidFill>
                    <w14:schemeClr w14:val="tx1"/>
                  </w14:solidFill>
                </w14:textFill>
              </w:rPr>
            </w:pPr>
            <w:bookmarkStart w:id="15" w:name="OLE_LINK21"/>
            <w:r>
              <w:rPr>
                <w:rFonts w:hint="eastAsia"/>
                <w:color w:val="000000" w:themeColor="text1"/>
                <w14:textFill>
                  <w14:solidFill>
                    <w14:schemeClr w14:val="tx1"/>
                  </w14:solidFill>
                </w14:textFill>
              </w:rPr>
              <w:t>2.7.2运营期工艺流程与产污环节分析</w:t>
            </w:r>
          </w:p>
          <w:p w14:paraId="7F39A9BC">
            <w:pPr>
              <w:ind w:firstLine="0" w:firstLineChars="0"/>
              <w:jc w:val="center"/>
            </w:pPr>
            <w:r>
              <w:drawing>
                <wp:inline distT="0" distB="0" distL="0" distR="0">
                  <wp:extent cx="5231130" cy="2257425"/>
                  <wp:effectExtent l="9525" t="9525" r="17145" b="190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31130" cy="2257425"/>
                          </a:xfrm>
                          <a:prstGeom prst="rect">
                            <a:avLst/>
                          </a:prstGeom>
                          <a:ln>
                            <a:solidFill>
                              <a:schemeClr val="tx1"/>
                            </a:solidFill>
                          </a:ln>
                        </pic:spPr>
                      </pic:pic>
                    </a:graphicData>
                  </a:graphic>
                </wp:inline>
              </w:drawing>
            </w:r>
          </w:p>
          <w:p w14:paraId="62319DC9">
            <w:pPr>
              <w:ind w:firstLine="422"/>
              <w:jc w:val="center"/>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 xml:space="preserve">图2-1  </w:t>
            </w:r>
            <w:r>
              <w:rPr>
                <w:rFonts w:hint="eastAsia" w:cs="Times New Roman"/>
                <w:b/>
                <w:bCs/>
                <w:color w:val="000000" w:themeColor="text1"/>
                <w:sz w:val="21"/>
                <w:szCs w:val="21"/>
                <w14:textFill>
                  <w14:solidFill>
                    <w14:schemeClr w14:val="tx1"/>
                  </w14:solidFill>
                </w14:textFill>
              </w:rPr>
              <w:t>充装站工艺流程及排污节点示意图</w:t>
            </w:r>
          </w:p>
          <w:p w14:paraId="247F180A">
            <w:pPr>
              <w:ind w:firstLine="482"/>
              <w:rPr>
                <w:rFonts w:cs="Times New Roman"/>
              </w:rPr>
            </w:pPr>
            <w:bookmarkStart w:id="16" w:name="OLE_LINK7"/>
            <w:r>
              <w:rPr>
                <w:rFonts w:hint="eastAsia" w:cs="Times New Roman"/>
                <w:b/>
                <w:bCs/>
              </w:rPr>
              <w:t>卸车流程：</w:t>
            </w:r>
            <w:r>
              <w:rPr>
                <w:rFonts w:hint="eastAsia" w:cs="Times New Roman"/>
              </w:rPr>
              <w:t>将槽车液相管道与储罐进液管道连通，再将压缩机进、出口管道分别与储罐、槽车气相管连通，启动压缩机使槽车与储之间产生0.3-0.5Mpa压差，这时丁烷、丙烷在压差的作用下由槽车流入到储罐中；该工序产生非甲烷总烃。</w:t>
            </w:r>
          </w:p>
          <w:p w14:paraId="3ACA0050">
            <w:pPr>
              <w:ind w:firstLine="482"/>
              <w:rPr>
                <w:rFonts w:cs="Times New Roman"/>
              </w:rPr>
            </w:pPr>
            <w:r>
              <w:rPr>
                <w:rFonts w:hint="eastAsia" w:cs="Times New Roman"/>
                <w:b/>
                <w:bCs/>
              </w:rPr>
              <w:t>倒罐流程：</w:t>
            </w:r>
            <w:r>
              <w:rPr>
                <w:rFonts w:hint="eastAsia" w:cs="Times New Roman"/>
              </w:rPr>
              <w:t>与卸车流程相同；</w:t>
            </w:r>
          </w:p>
          <w:p w14:paraId="727ADE3E">
            <w:pPr>
              <w:ind w:firstLine="482"/>
              <w:rPr>
                <w:rFonts w:cs="Times New Roman"/>
              </w:rPr>
            </w:pPr>
            <w:r>
              <w:rPr>
                <w:rFonts w:hint="eastAsia" w:cs="Times New Roman"/>
                <w:b/>
                <w:bCs/>
              </w:rPr>
              <w:t>灌装流程：</w:t>
            </w:r>
            <w:r>
              <w:rPr>
                <w:rFonts w:hint="eastAsia" w:cs="Times New Roman"/>
              </w:rPr>
              <w:t>将储罐中的丁烷、丙烷通过出液管道进入到烃泵，经过烃泵加压后（0.5-1.0Mpa）通过钢瓶灌装秤定量加给钢瓶；该工序产生非甲烷总烃。</w:t>
            </w:r>
          </w:p>
          <w:p w14:paraId="6EACE0EA">
            <w:pPr>
              <w:ind w:firstLine="482"/>
              <w:rPr>
                <w:rFonts w:cs="Times New Roman"/>
              </w:rPr>
            </w:pPr>
            <w:r>
              <w:rPr>
                <w:rFonts w:hint="eastAsia" w:cs="Times New Roman"/>
                <w:b/>
                <w:bCs/>
              </w:rPr>
              <w:t>倒残流程：</w:t>
            </w:r>
            <w:r>
              <w:rPr>
                <w:rFonts w:hint="eastAsia" w:cs="Times New Roman"/>
              </w:rPr>
              <w:t>利用压缩机抽取残液罐内气相给倒残钢瓶加压，达到05Mpa后，关闭倒残架气相阀门，将钢瓶倒置，打开倒残架液相阀门，钢瓶内的残液在气相压力作用下流入到残液管道最终进入到残液储罐。该工序产生残液。</w:t>
            </w:r>
          </w:p>
          <w:bookmarkEnd w:id="15"/>
          <w:bookmarkEnd w:id="16"/>
          <w:p w14:paraId="793D5C87">
            <w:pPr>
              <w:pStyle w:val="4"/>
            </w:pPr>
            <w:r>
              <w:rPr>
                <w:rFonts w:hint="eastAsia"/>
              </w:rPr>
              <w:t>2</w:t>
            </w:r>
            <w:r>
              <w:t>.</w:t>
            </w:r>
            <w:r>
              <w:rPr>
                <w:rFonts w:hint="eastAsia"/>
              </w:rPr>
              <w:t>8产污环节</w:t>
            </w:r>
          </w:p>
          <w:p w14:paraId="42139A0F">
            <w:pPr>
              <w:adjustRightInd w:val="0"/>
              <w:snapToGrid w:val="0"/>
              <w:ind w:firstLine="480"/>
              <w:rPr>
                <w:bCs/>
              </w:rPr>
            </w:pPr>
            <w:r>
              <w:rPr>
                <w:bCs/>
              </w:rPr>
              <w:t>项目运营期主要污染工序见表2-</w:t>
            </w:r>
            <w:r>
              <w:rPr>
                <w:rFonts w:hint="eastAsia"/>
                <w:bCs/>
              </w:rPr>
              <w:t>12</w:t>
            </w:r>
            <w:r>
              <w:rPr>
                <w:bCs/>
              </w:rPr>
              <w:t>。</w:t>
            </w:r>
          </w:p>
          <w:p w14:paraId="050A0466">
            <w:pPr>
              <w:pStyle w:val="4"/>
              <w:spacing w:after="0"/>
              <w:jc w:val="center"/>
              <w:rPr>
                <w:rFonts w:cs="Times New Roman"/>
                <w:b w:val="0"/>
                <w:bCs w:val="0"/>
                <w:sz w:val="21"/>
                <w:szCs w:val="21"/>
              </w:rPr>
            </w:pPr>
            <w:r>
              <w:rPr>
                <w:rFonts w:cs="Times New Roman"/>
                <w:sz w:val="21"/>
                <w:szCs w:val="21"/>
              </w:rPr>
              <w:t>表2-</w:t>
            </w:r>
            <w:r>
              <w:rPr>
                <w:rFonts w:hint="eastAsia" w:cs="Times New Roman"/>
                <w:sz w:val="21"/>
                <w:szCs w:val="21"/>
              </w:rPr>
              <w:t>12</w:t>
            </w:r>
            <w:r>
              <w:rPr>
                <w:rFonts w:cs="Times New Roman"/>
                <w:sz w:val="21"/>
                <w:szCs w:val="21"/>
              </w:rPr>
              <w:t xml:space="preserve">  主要污染工序汇总</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3"/>
              <w:gridCol w:w="2055"/>
              <w:gridCol w:w="2032"/>
              <w:gridCol w:w="2771"/>
            </w:tblGrid>
            <w:tr w14:paraId="47C7F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69" w:type="pct"/>
                  <w:vAlign w:val="center"/>
                </w:tcPr>
                <w:p w14:paraId="6C577373">
                  <w:pPr>
                    <w:spacing w:line="240" w:lineRule="auto"/>
                    <w:ind w:firstLine="0" w:firstLineChars="0"/>
                    <w:contextualSpacing/>
                    <w:jc w:val="center"/>
                    <w:rPr>
                      <w:color w:val="000000"/>
                      <w:sz w:val="21"/>
                      <w:szCs w:val="21"/>
                    </w:rPr>
                  </w:pPr>
                  <w:r>
                    <w:rPr>
                      <w:rFonts w:hint="eastAsia"/>
                      <w:color w:val="000000"/>
                      <w:sz w:val="21"/>
                      <w:szCs w:val="21"/>
                    </w:rPr>
                    <w:t>污染物类别</w:t>
                  </w:r>
                </w:p>
              </w:tc>
              <w:tc>
                <w:tcPr>
                  <w:tcW w:w="1238" w:type="pct"/>
                  <w:vAlign w:val="center"/>
                </w:tcPr>
                <w:p w14:paraId="71F4FE08">
                  <w:pPr>
                    <w:spacing w:line="240" w:lineRule="auto"/>
                    <w:ind w:firstLine="0" w:firstLineChars="0"/>
                    <w:contextualSpacing/>
                    <w:jc w:val="center"/>
                    <w:rPr>
                      <w:color w:val="000000"/>
                      <w:sz w:val="21"/>
                      <w:szCs w:val="21"/>
                    </w:rPr>
                  </w:pPr>
                  <w:r>
                    <w:rPr>
                      <w:rFonts w:hint="eastAsia"/>
                      <w:color w:val="000000"/>
                      <w:sz w:val="21"/>
                      <w:szCs w:val="21"/>
                    </w:rPr>
                    <w:t>污染工序</w:t>
                  </w:r>
                </w:p>
              </w:tc>
              <w:tc>
                <w:tcPr>
                  <w:tcW w:w="1224" w:type="pct"/>
                  <w:vAlign w:val="center"/>
                </w:tcPr>
                <w:p w14:paraId="5EC27177">
                  <w:pPr>
                    <w:spacing w:line="240" w:lineRule="auto"/>
                    <w:ind w:firstLine="0" w:firstLineChars="0"/>
                    <w:contextualSpacing/>
                    <w:jc w:val="center"/>
                    <w:rPr>
                      <w:color w:val="000000"/>
                      <w:sz w:val="21"/>
                      <w:szCs w:val="21"/>
                    </w:rPr>
                  </w:pPr>
                  <w:r>
                    <w:rPr>
                      <w:rFonts w:hint="eastAsia"/>
                      <w:color w:val="000000"/>
                      <w:sz w:val="21"/>
                      <w:szCs w:val="21"/>
                    </w:rPr>
                    <w:t>污染物名称</w:t>
                  </w:r>
                </w:p>
              </w:tc>
              <w:tc>
                <w:tcPr>
                  <w:tcW w:w="1669" w:type="pct"/>
                  <w:vAlign w:val="center"/>
                </w:tcPr>
                <w:p w14:paraId="6487C61C">
                  <w:pPr>
                    <w:spacing w:line="240" w:lineRule="auto"/>
                    <w:ind w:firstLine="0" w:firstLineChars="0"/>
                    <w:contextualSpacing/>
                    <w:jc w:val="center"/>
                    <w:rPr>
                      <w:color w:val="000000"/>
                      <w:sz w:val="21"/>
                      <w:szCs w:val="21"/>
                    </w:rPr>
                  </w:pPr>
                  <w:r>
                    <w:rPr>
                      <w:rFonts w:hint="eastAsia"/>
                      <w:color w:val="000000"/>
                      <w:sz w:val="21"/>
                      <w:szCs w:val="21"/>
                    </w:rPr>
                    <w:t>污染因子</w:t>
                  </w:r>
                </w:p>
              </w:tc>
            </w:tr>
            <w:tr w14:paraId="401C7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69" w:type="pct"/>
                  <w:vAlign w:val="center"/>
                </w:tcPr>
                <w:p w14:paraId="5E89EE5B">
                  <w:pPr>
                    <w:spacing w:line="240" w:lineRule="auto"/>
                    <w:ind w:firstLine="0" w:firstLineChars="0"/>
                    <w:contextualSpacing/>
                    <w:jc w:val="center"/>
                    <w:rPr>
                      <w:color w:val="000000"/>
                      <w:sz w:val="21"/>
                      <w:szCs w:val="21"/>
                    </w:rPr>
                  </w:pPr>
                  <w:r>
                    <w:rPr>
                      <w:rFonts w:hint="eastAsia"/>
                      <w:color w:val="000000"/>
                      <w:sz w:val="21"/>
                      <w:szCs w:val="21"/>
                    </w:rPr>
                    <w:t>废气</w:t>
                  </w:r>
                </w:p>
              </w:tc>
              <w:tc>
                <w:tcPr>
                  <w:tcW w:w="1238" w:type="pct"/>
                  <w:vAlign w:val="center"/>
                </w:tcPr>
                <w:p w14:paraId="6C89F31F">
                  <w:pPr>
                    <w:spacing w:line="240" w:lineRule="auto"/>
                    <w:ind w:firstLine="0" w:firstLineChars="0"/>
                    <w:contextualSpacing/>
                    <w:jc w:val="center"/>
                    <w:rPr>
                      <w:color w:val="000000"/>
                      <w:sz w:val="21"/>
                      <w:szCs w:val="21"/>
                    </w:rPr>
                  </w:pPr>
                  <w:r>
                    <w:rPr>
                      <w:rFonts w:hint="eastAsia"/>
                      <w:color w:val="000000"/>
                      <w:sz w:val="21"/>
                      <w:szCs w:val="21"/>
                    </w:rPr>
                    <w:t>槽车装卸料、灌装</w:t>
                  </w:r>
                </w:p>
              </w:tc>
              <w:tc>
                <w:tcPr>
                  <w:tcW w:w="1224" w:type="pct"/>
                  <w:vAlign w:val="center"/>
                </w:tcPr>
                <w:p w14:paraId="0340D2D8">
                  <w:pPr>
                    <w:spacing w:line="240" w:lineRule="auto"/>
                    <w:ind w:firstLine="0" w:firstLineChars="0"/>
                    <w:contextualSpacing/>
                    <w:jc w:val="center"/>
                    <w:rPr>
                      <w:color w:val="000000"/>
                      <w:sz w:val="21"/>
                      <w:szCs w:val="21"/>
                    </w:rPr>
                  </w:pPr>
                  <w:r>
                    <w:rPr>
                      <w:rFonts w:hint="eastAsia"/>
                      <w:color w:val="000000"/>
                      <w:sz w:val="21"/>
                      <w:szCs w:val="21"/>
                    </w:rPr>
                    <w:t>液化气废气</w:t>
                  </w:r>
                </w:p>
              </w:tc>
              <w:tc>
                <w:tcPr>
                  <w:tcW w:w="1669" w:type="pct"/>
                  <w:vAlign w:val="center"/>
                </w:tcPr>
                <w:p w14:paraId="68E54F34">
                  <w:pPr>
                    <w:spacing w:line="240" w:lineRule="auto"/>
                    <w:ind w:firstLine="0" w:firstLineChars="0"/>
                    <w:contextualSpacing/>
                    <w:jc w:val="center"/>
                    <w:rPr>
                      <w:color w:val="000000"/>
                      <w:sz w:val="21"/>
                      <w:szCs w:val="21"/>
                    </w:rPr>
                  </w:pPr>
                  <w:r>
                    <w:rPr>
                      <w:rFonts w:hint="eastAsia"/>
                      <w:sz w:val="21"/>
                      <w:szCs w:val="21"/>
                    </w:rPr>
                    <w:t>非甲烷总烃</w:t>
                  </w:r>
                </w:p>
              </w:tc>
            </w:tr>
            <w:tr w14:paraId="18C24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869" w:type="pct"/>
                  <w:vAlign w:val="center"/>
                </w:tcPr>
                <w:p w14:paraId="1F972D79">
                  <w:pPr>
                    <w:spacing w:line="240" w:lineRule="auto"/>
                    <w:ind w:firstLine="0" w:firstLineChars="0"/>
                    <w:contextualSpacing/>
                    <w:jc w:val="center"/>
                    <w:rPr>
                      <w:color w:val="000000"/>
                      <w:sz w:val="21"/>
                      <w:szCs w:val="21"/>
                    </w:rPr>
                  </w:pPr>
                  <w:r>
                    <w:rPr>
                      <w:rFonts w:hint="eastAsia"/>
                      <w:color w:val="000000"/>
                      <w:sz w:val="21"/>
                      <w:szCs w:val="21"/>
                    </w:rPr>
                    <w:t>废水</w:t>
                  </w:r>
                </w:p>
              </w:tc>
              <w:tc>
                <w:tcPr>
                  <w:tcW w:w="1238" w:type="pct"/>
                  <w:vAlign w:val="center"/>
                </w:tcPr>
                <w:p w14:paraId="05B84D28">
                  <w:pPr>
                    <w:spacing w:line="240" w:lineRule="auto"/>
                    <w:ind w:firstLine="0" w:firstLineChars="0"/>
                    <w:contextualSpacing/>
                    <w:jc w:val="center"/>
                    <w:rPr>
                      <w:color w:val="000000"/>
                      <w:sz w:val="21"/>
                      <w:szCs w:val="21"/>
                    </w:rPr>
                  </w:pPr>
                  <w:r>
                    <w:rPr>
                      <w:rFonts w:hint="eastAsia"/>
                      <w:color w:val="000000"/>
                      <w:sz w:val="21"/>
                      <w:szCs w:val="21"/>
                    </w:rPr>
                    <w:t>办公生活</w:t>
                  </w:r>
                </w:p>
              </w:tc>
              <w:tc>
                <w:tcPr>
                  <w:tcW w:w="1224" w:type="pct"/>
                  <w:vAlign w:val="center"/>
                </w:tcPr>
                <w:p w14:paraId="0A74B4FA">
                  <w:pPr>
                    <w:spacing w:line="240" w:lineRule="auto"/>
                    <w:ind w:firstLine="0" w:firstLineChars="0"/>
                    <w:contextualSpacing/>
                    <w:jc w:val="center"/>
                    <w:rPr>
                      <w:color w:val="000000"/>
                      <w:sz w:val="21"/>
                      <w:szCs w:val="21"/>
                    </w:rPr>
                  </w:pPr>
                  <w:r>
                    <w:rPr>
                      <w:rFonts w:hint="eastAsia"/>
                      <w:color w:val="000000"/>
                      <w:sz w:val="21"/>
                      <w:szCs w:val="21"/>
                    </w:rPr>
                    <w:t>生活污水</w:t>
                  </w:r>
                </w:p>
              </w:tc>
              <w:tc>
                <w:tcPr>
                  <w:tcW w:w="1669" w:type="pct"/>
                  <w:vAlign w:val="center"/>
                </w:tcPr>
                <w:p w14:paraId="3A4F8C33">
                  <w:pPr>
                    <w:spacing w:line="240" w:lineRule="auto"/>
                    <w:ind w:firstLine="0" w:firstLineChars="0"/>
                    <w:contextualSpacing/>
                    <w:jc w:val="center"/>
                    <w:rPr>
                      <w:snapToGrid w:val="0"/>
                      <w:kern w:val="0"/>
                      <w:sz w:val="21"/>
                      <w:szCs w:val="21"/>
                    </w:rPr>
                  </w:pPr>
                  <w:r>
                    <w:rPr>
                      <w:rFonts w:hint="eastAsia"/>
                      <w:snapToGrid w:val="0"/>
                      <w:kern w:val="0"/>
                      <w:sz w:val="21"/>
                      <w:szCs w:val="21"/>
                    </w:rPr>
                    <w:t>pH、COD、BOD</w:t>
                  </w:r>
                  <w:r>
                    <w:rPr>
                      <w:rFonts w:hint="eastAsia"/>
                      <w:snapToGrid w:val="0"/>
                      <w:kern w:val="0"/>
                      <w:sz w:val="21"/>
                      <w:szCs w:val="21"/>
                      <w:vertAlign w:val="subscript"/>
                    </w:rPr>
                    <w:t>5</w:t>
                  </w:r>
                  <w:r>
                    <w:rPr>
                      <w:rFonts w:hint="eastAsia"/>
                      <w:snapToGrid w:val="0"/>
                      <w:kern w:val="0"/>
                      <w:sz w:val="21"/>
                      <w:szCs w:val="21"/>
                    </w:rPr>
                    <w:t>、SS、氨氮、总氮、总磷等</w:t>
                  </w:r>
                </w:p>
              </w:tc>
            </w:tr>
            <w:tr w14:paraId="086CA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69" w:type="pct"/>
                  <w:vMerge w:val="restart"/>
                  <w:vAlign w:val="center"/>
                </w:tcPr>
                <w:p w14:paraId="7159CD9B">
                  <w:pPr>
                    <w:spacing w:line="240" w:lineRule="auto"/>
                    <w:ind w:firstLine="0" w:firstLineChars="0"/>
                    <w:contextualSpacing/>
                    <w:jc w:val="center"/>
                    <w:rPr>
                      <w:color w:val="000000"/>
                      <w:sz w:val="21"/>
                      <w:szCs w:val="21"/>
                    </w:rPr>
                  </w:pPr>
                  <w:r>
                    <w:rPr>
                      <w:rFonts w:hint="eastAsia"/>
                      <w:color w:val="000000"/>
                      <w:sz w:val="21"/>
                      <w:szCs w:val="21"/>
                    </w:rPr>
                    <w:t>固体废物</w:t>
                  </w:r>
                </w:p>
              </w:tc>
              <w:tc>
                <w:tcPr>
                  <w:tcW w:w="1238" w:type="pct"/>
                  <w:vAlign w:val="center"/>
                </w:tcPr>
                <w:p w14:paraId="1D319D69">
                  <w:pPr>
                    <w:spacing w:line="240" w:lineRule="auto"/>
                    <w:ind w:firstLine="0" w:firstLineChars="0"/>
                    <w:contextualSpacing/>
                    <w:jc w:val="center"/>
                    <w:rPr>
                      <w:color w:val="000000"/>
                      <w:sz w:val="21"/>
                      <w:szCs w:val="21"/>
                    </w:rPr>
                  </w:pPr>
                  <w:r>
                    <w:rPr>
                      <w:rFonts w:hint="eastAsia"/>
                      <w:color w:val="000000"/>
                      <w:sz w:val="21"/>
                      <w:szCs w:val="21"/>
                    </w:rPr>
                    <w:t>办公生活</w:t>
                  </w:r>
                </w:p>
              </w:tc>
              <w:tc>
                <w:tcPr>
                  <w:tcW w:w="1224" w:type="pct"/>
                  <w:vAlign w:val="center"/>
                </w:tcPr>
                <w:p w14:paraId="1370806A">
                  <w:pPr>
                    <w:spacing w:line="240" w:lineRule="auto"/>
                    <w:ind w:firstLine="0" w:firstLineChars="0"/>
                    <w:contextualSpacing/>
                    <w:jc w:val="center"/>
                    <w:rPr>
                      <w:color w:val="000000"/>
                      <w:sz w:val="21"/>
                      <w:szCs w:val="21"/>
                    </w:rPr>
                  </w:pPr>
                  <w:r>
                    <w:rPr>
                      <w:rFonts w:hint="eastAsia"/>
                      <w:color w:val="000000"/>
                      <w:sz w:val="21"/>
                      <w:szCs w:val="21"/>
                    </w:rPr>
                    <w:t>生活垃圾</w:t>
                  </w:r>
                </w:p>
              </w:tc>
              <w:tc>
                <w:tcPr>
                  <w:tcW w:w="1669" w:type="pct"/>
                  <w:vAlign w:val="center"/>
                </w:tcPr>
                <w:p w14:paraId="5DFB2FFB">
                  <w:pPr>
                    <w:spacing w:line="240" w:lineRule="auto"/>
                    <w:ind w:firstLine="0" w:firstLineChars="0"/>
                    <w:contextualSpacing/>
                    <w:jc w:val="center"/>
                    <w:rPr>
                      <w:color w:val="000000"/>
                      <w:sz w:val="21"/>
                      <w:szCs w:val="21"/>
                    </w:rPr>
                  </w:pPr>
                  <w:r>
                    <w:rPr>
                      <w:rFonts w:hint="eastAsia"/>
                      <w:color w:val="000000"/>
                      <w:sz w:val="21"/>
                      <w:szCs w:val="21"/>
                    </w:rPr>
                    <w:t>生活垃圾</w:t>
                  </w:r>
                </w:p>
              </w:tc>
            </w:tr>
            <w:tr w14:paraId="6C416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869" w:type="pct"/>
                  <w:vMerge w:val="continue"/>
                  <w:vAlign w:val="center"/>
                </w:tcPr>
                <w:p w14:paraId="4BA963CB">
                  <w:pPr>
                    <w:spacing w:line="240" w:lineRule="auto"/>
                    <w:ind w:firstLine="0" w:firstLineChars="0"/>
                    <w:contextualSpacing/>
                    <w:jc w:val="center"/>
                    <w:rPr>
                      <w:color w:val="000000"/>
                      <w:sz w:val="21"/>
                      <w:szCs w:val="21"/>
                    </w:rPr>
                  </w:pPr>
                </w:p>
              </w:tc>
              <w:tc>
                <w:tcPr>
                  <w:tcW w:w="1238" w:type="pct"/>
                  <w:vAlign w:val="center"/>
                </w:tcPr>
                <w:p w14:paraId="3C663FE2">
                  <w:pPr>
                    <w:spacing w:line="240" w:lineRule="auto"/>
                    <w:ind w:firstLine="0" w:firstLineChars="0"/>
                    <w:contextualSpacing/>
                    <w:jc w:val="center"/>
                    <w:rPr>
                      <w:color w:val="000000"/>
                      <w:sz w:val="21"/>
                      <w:szCs w:val="21"/>
                    </w:rPr>
                  </w:pPr>
                  <w:bookmarkStart w:id="17" w:name="OLE_LINK16"/>
                  <w:r>
                    <w:rPr>
                      <w:rFonts w:hint="eastAsia"/>
                      <w:color w:val="000000"/>
                      <w:sz w:val="21"/>
                      <w:szCs w:val="21"/>
                    </w:rPr>
                    <w:t>残液</w:t>
                  </w:r>
                  <w:bookmarkEnd w:id="17"/>
                  <w:r>
                    <w:rPr>
                      <w:rFonts w:hint="eastAsia"/>
                      <w:color w:val="000000"/>
                      <w:sz w:val="21"/>
                      <w:szCs w:val="21"/>
                    </w:rPr>
                    <w:t>回收</w:t>
                  </w:r>
                </w:p>
              </w:tc>
              <w:tc>
                <w:tcPr>
                  <w:tcW w:w="1224" w:type="pct"/>
                  <w:vAlign w:val="center"/>
                </w:tcPr>
                <w:p w14:paraId="39AD9279">
                  <w:pPr>
                    <w:spacing w:line="240" w:lineRule="auto"/>
                    <w:ind w:firstLine="0" w:firstLineChars="0"/>
                    <w:contextualSpacing/>
                    <w:jc w:val="center"/>
                    <w:rPr>
                      <w:color w:val="000000"/>
                      <w:sz w:val="21"/>
                      <w:szCs w:val="21"/>
                    </w:rPr>
                  </w:pPr>
                  <w:r>
                    <w:rPr>
                      <w:rFonts w:hint="eastAsia"/>
                      <w:color w:val="000000"/>
                      <w:sz w:val="21"/>
                      <w:szCs w:val="21"/>
                    </w:rPr>
                    <w:t>残液</w:t>
                  </w:r>
                </w:p>
              </w:tc>
              <w:tc>
                <w:tcPr>
                  <w:tcW w:w="1669" w:type="pct"/>
                  <w:vAlign w:val="center"/>
                </w:tcPr>
                <w:p w14:paraId="52D90FD6">
                  <w:pPr>
                    <w:spacing w:line="240" w:lineRule="auto"/>
                    <w:ind w:firstLine="0" w:firstLineChars="0"/>
                    <w:contextualSpacing/>
                    <w:jc w:val="center"/>
                    <w:rPr>
                      <w:color w:val="000000"/>
                      <w:sz w:val="21"/>
                      <w:szCs w:val="21"/>
                    </w:rPr>
                  </w:pPr>
                  <w:r>
                    <w:rPr>
                      <w:rFonts w:hint="eastAsia"/>
                      <w:color w:val="000000"/>
                      <w:sz w:val="21"/>
                      <w:szCs w:val="21"/>
                    </w:rPr>
                    <w:t>危险废物</w:t>
                  </w:r>
                </w:p>
              </w:tc>
            </w:tr>
            <w:tr w14:paraId="1ADF3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69" w:type="pct"/>
                  <w:vAlign w:val="center"/>
                </w:tcPr>
                <w:p w14:paraId="23912366">
                  <w:pPr>
                    <w:spacing w:line="240" w:lineRule="auto"/>
                    <w:ind w:firstLine="0" w:firstLineChars="0"/>
                    <w:contextualSpacing/>
                    <w:jc w:val="center"/>
                    <w:rPr>
                      <w:color w:val="000000"/>
                      <w:sz w:val="21"/>
                      <w:szCs w:val="21"/>
                    </w:rPr>
                  </w:pPr>
                  <w:r>
                    <w:rPr>
                      <w:rFonts w:hint="eastAsia"/>
                      <w:color w:val="000000"/>
                      <w:sz w:val="21"/>
                      <w:szCs w:val="21"/>
                    </w:rPr>
                    <w:t>噪声</w:t>
                  </w:r>
                </w:p>
              </w:tc>
              <w:tc>
                <w:tcPr>
                  <w:tcW w:w="1238" w:type="pct"/>
                  <w:vAlign w:val="center"/>
                </w:tcPr>
                <w:p w14:paraId="1207B3D5">
                  <w:pPr>
                    <w:spacing w:line="240" w:lineRule="auto"/>
                    <w:ind w:firstLine="0" w:firstLineChars="0"/>
                    <w:contextualSpacing/>
                    <w:jc w:val="center"/>
                    <w:rPr>
                      <w:color w:val="000000"/>
                      <w:sz w:val="21"/>
                      <w:szCs w:val="21"/>
                    </w:rPr>
                  </w:pPr>
                  <w:r>
                    <w:rPr>
                      <w:rFonts w:hint="eastAsia"/>
                      <w:color w:val="000000"/>
                      <w:sz w:val="21"/>
                      <w:szCs w:val="21"/>
                    </w:rPr>
                    <w:t>压缩机、充装泵</w:t>
                  </w:r>
                </w:p>
              </w:tc>
              <w:tc>
                <w:tcPr>
                  <w:tcW w:w="1224" w:type="pct"/>
                  <w:vAlign w:val="center"/>
                </w:tcPr>
                <w:p w14:paraId="4C8AB98F">
                  <w:pPr>
                    <w:spacing w:line="240" w:lineRule="auto"/>
                    <w:ind w:firstLine="0" w:firstLineChars="0"/>
                    <w:contextualSpacing/>
                    <w:jc w:val="center"/>
                    <w:rPr>
                      <w:color w:val="000000"/>
                      <w:sz w:val="21"/>
                      <w:szCs w:val="21"/>
                    </w:rPr>
                  </w:pPr>
                  <w:r>
                    <w:rPr>
                      <w:rFonts w:hint="eastAsia"/>
                      <w:sz w:val="21"/>
                      <w:szCs w:val="21"/>
                    </w:rPr>
                    <w:t>设备噪声</w:t>
                  </w:r>
                </w:p>
              </w:tc>
              <w:tc>
                <w:tcPr>
                  <w:tcW w:w="1669" w:type="pct"/>
                  <w:vAlign w:val="center"/>
                </w:tcPr>
                <w:p w14:paraId="00FD9239">
                  <w:pPr>
                    <w:spacing w:line="240" w:lineRule="auto"/>
                    <w:ind w:firstLine="0" w:firstLineChars="0"/>
                    <w:contextualSpacing/>
                    <w:jc w:val="center"/>
                    <w:rPr>
                      <w:sz w:val="21"/>
                      <w:szCs w:val="21"/>
                    </w:rPr>
                  </w:pPr>
                  <w:r>
                    <w:rPr>
                      <w:rFonts w:hint="eastAsia"/>
                      <w:sz w:val="21"/>
                      <w:szCs w:val="21"/>
                    </w:rPr>
                    <w:t>噪声</w:t>
                  </w:r>
                </w:p>
              </w:tc>
            </w:tr>
          </w:tbl>
          <w:p w14:paraId="015CF636">
            <w:pPr>
              <w:ind w:firstLine="480"/>
              <w:rPr>
                <w:rFonts w:cs="Times New Roman"/>
              </w:rPr>
            </w:pPr>
          </w:p>
        </w:tc>
      </w:tr>
    </w:tbl>
    <w:p w14:paraId="44264D4B">
      <w:pPr>
        <w:ind w:firstLine="0" w:firstLineChars="0"/>
        <w:sectPr>
          <w:headerReference r:id="rId11" w:type="default"/>
          <w:footerReference r:id="rId12" w:type="default"/>
          <w:pgSz w:w="11906" w:h="16838"/>
          <w:pgMar w:top="1418" w:right="1418" w:bottom="1418" w:left="1418" w:header="851" w:footer="992" w:gutter="0"/>
          <w:pgNumType w:start="1"/>
          <w:cols w:space="425" w:num="1"/>
          <w:docGrid w:type="lines" w:linePitch="326" w:charSpace="0"/>
        </w:sectPr>
      </w:pPr>
    </w:p>
    <w:tbl>
      <w:tblPr>
        <w:tblStyle w:val="25"/>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10"/>
        <w:gridCol w:w="8547"/>
      </w:tblGrid>
      <w:tr w14:paraId="38409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10" w:type="dxa"/>
            <w:vAlign w:val="center"/>
          </w:tcPr>
          <w:p w14:paraId="0C701CFA">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与项目有关的原有环境污染问题</w:t>
            </w:r>
          </w:p>
        </w:tc>
        <w:tc>
          <w:tcPr>
            <w:tcW w:w="8547" w:type="dxa"/>
          </w:tcPr>
          <w:p w14:paraId="4414576C">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1、现有工程履行环评手续</w:t>
            </w:r>
          </w:p>
          <w:p w14:paraId="5B6A9157">
            <w:pPr>
              <w:ind w:firstLine="480"/>
            </w:pPr>
            <w:r>
              <w:rPr>
                <w:rFonts w:hint="eastAsia"/>
                <w:color w:val="000000" w:themeColor="text1"/>
                <w14:textFill>
                  <w14:solidFill>
                    <w14:schemeClr w14:val="tx1"/>
                  </w14:solidFill>
                </w14:textFill>
              </w:rPr>
              <w:t>和静环能工业气体有限公司位于</w:t>
            </w:r>
            <w:r>
              <w:rPr>
                <w:rFonts w:hint="eastAsia"/>
              </w:rPr>
              <w:t>和静工业园区新兴产业区</w:t>
            </w:r>
            <w:r>
              <w:rPr>
                <w:rFonts w:hint="eastAsia"/>
                <w:color w:val="000000" w:themeColor="text1"/>
                <w14:textFill>
                  <w14:solidFill>
                    <w14:schemeClr w14:val="tx1"/>
                  </w14:solidFill>
                </w14:textFill>
              </w:rPr>
              <w:t>。2011年4月，巴州和静环能工业气体有限公司委托巴州绿环环境科技技术研究所编写了《和静环能工业气体有限公司工业气体制备项目（氧气充装及乙炔气体制造）环境影响报告表》；并于2011年5月16日取得《和静环能工业气体有限公司工业气体制备项目（氧气充装及乙炔气体制造）环境影响报告表的批复》（巴环控函〔2011〕296号）。该项目建设完成后，该公司委托新疆中天聚能环境科技有限公司负责编制《和静环能工业气体有限公司工业气体制备项目（氧气充装及乙炔气体制造）》的竣工环境保护验收监测工作，并于202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年5月12日通过验收</w:t>
            </w:r>
            <w:r>
              <w:rPr>
                <w:rFonts w:hint="eastAsia"/>
                <w:bCs/>
              </w:rPr>
              <w:t>。</w:t>
            </w:r>
            <w:r>
              <w:rPr>
                <w:rFonts w:hint="eastAsia"/>
                <w:color w:val="000000" w:themeColor="text1"/>
                <w14:textFill>
                  <w14:solidFill>
                    <w14:schemeClr w14:val="tx1"/>
                  </w14:solidFill>
                </w14:textFill>
              </w:rPr>
              <w:t>公司持有的固定污染源排污登记回执有效期限为：自202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年8月2日起至202</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日止（登记编号：</w:t>
            </w:r>
            <w:r>
              <w:rPr>
                <w:color w:val="000000" w:themeColor="text1"/>
                <w14:textFill>
                  <w14:solidFill>
                    <w14:schemeClr w14:val="tx1"/>
                  </w14:solidFill>
                </w14:textFill>
              </w:rPr>
              <w:t>916528275725122713001X</w:t>
            </w:r>
            <w:r>
              <w:rPr>
                <w:rFonts w:hint="eastAsia"/>
                <w:color w:val="000000" w:themeColor="text1"/>
                <w14:textFill>
                  <w14:solidFill>
                    <w14:schemeClr w14:val="tx1"/>
                  </w14:solidFill>
                </w14:textFill>
              </w:rPr>
              <w:t>）</w:t>
            </w:r>
            <w:r>
              <w:rPr>
                <w:rFonts w:hint="eastAsia"/>
              </w:rPr>
              <w:t>。</w:t>
            </w:r>
          </w:p>
          <w:p w14:paraId="22569EE8">
            <w:pPr>
              <w:pStyle w:val="3"/>
              <w:rPr>
                <w:rFonts w:cs="Times New Roman"/>
                <w:szCs w:val="24"/>
              </w:rPr>
            </w:pPr>
            <w:r>
              <w:rPr>
                <w:rFonts w:hint="eastAsia" w:cs="Times New Roman"/>
                <w:szCs w:val="24"/>
              </w:rPr>
              <w:t>2、</w:t>
            </w:r>
            <w:r>
              <w:rPr>
                <w:rFonts w:cs="Times New Roman"/>
                <w:szCs w:val="24"/>
              </w:rPr>
              <w:t>现有</w:t>
            </w:r>
            <w:r>
              <w:rPr>
                <w:rFonts w:hint="eastAsia" w:cs="Times New Roman"/>
                <w:szCs w:val="24"/>
              </w:rPr>
              <w:t>项目</w:t>
            </w:r>
            <w:r>
              <w:rPr>
                <w:rFonts w:cs="Times New Roman"/>
                <w:szCs w:val="24"/>
              </w:rPr>
              <w:t>产污环节及污染物排放情况</w:t>
            </w:r>
          </w:p>
          <w:p w14:paraId="701AFE20">
            <w:pPr>
              <w:pStyle w:val="68"/>
              <w:ind w:firstLine="500"/>
              <w:rPr>
                <w:rFonts w:ascii="Times New Roman" w:hAnsi="Times New Roman"/>
                <w:sz w:val="24"/>
                <w:szCs w:val="24"/>
              </w:rPr>
            </w:pPr>
            <w:r>
              <w:rPr>
                <w:sz w:val="24"/>
                <w:szCs w:val="24"/>
              </w:rPr>
              <w:t>本项目为</w:t>
            </w:r>
            <w:r>
              <w:rPr>
                <w:rFonts w:hint="eastAsia"/>
                <w:sz w:val="24"/>
                <w:szCs w:val="24"/>
              </w:rPr>
              <w:t>改扩建</w:t>
            </w:r>
            <w:r>
              <w:rPr>
                <w:sz w:val="24"/>
                <w:szCs w:val="24"/>
              </w:rPr>
              <w:t>项目，根据</w:t>
            </w:r>
            <w:r>
              <w:rPr>
                <w:color w:val="000000"/>
                <w:sz w:val="24"/>
                <w:szCs w:val="24"/>
              </w:rPr>
              <w:t>《</w:t>
            </w:r>
            <w:r>
              <w:rPr>
                <w:rFonts w:hint="eastAsia"/>
                <w:color w:val="000000" w:themeColor="text1"/>
                <w:sz w:val="24"/>
                <w:szCs w:val="24"/>
                <w14:textFill>
                  <w14:solidFill>
                    <w14:schemeClr w14:val="tx1"/>
                  </w14:solidFill>
                </w14:textFill>
              </w:rPr>
              <w:t>和静环能工业气体有限公司工业气体制备项目（氧气</w:t>
            </w:r>
            <w:r>
              <w:rPr>
                <w:rFonts w:hint="eastAsia" w:ascii="Times New Roman" w:hAnsi="Times New Roman"/>
                <w:sz w:val="24"/>
                <w:szCs w:val="24"/>
              </w:rPr>
              <w:t>充装及乙炔气体制造）</w:t>
            </w:r>
            <w:r>
              <w:rPr>
                <w:rFonts w:ascii="Times New Roman" w:hAnsi="Times New Roman"/>
                <w:sz w:val="24"/>
                <w:szCs w:val="24"/>
              </w:rPr>
              <w:t>》审批意见文件</w:t>
            </w:r>
            <w:r>
              <w:rPr>
                <w:rFonts w:hint="eastAsia" w:ascii="Times New Roman" w:hAnsi="Times New Roman"/>
                <w:sz w:val="24"/>
                <w:szCs w:val="24"/>
              </w:rPr>
              <w:t>及验收意见</w:t>
            </w:r>
            <w:r>
              <w:rPr>
                <w:rFonts w:ascii="Times New Roman" w:hAnsi="Times New Roman"/>
                <w:sz w:val="24"/>
                <w:szCs w:val="24"/>
              </w:rPr>
              <w:t>，与本项目有关的原有污染情况</w:t>
            </w:r>
            <w:r>
              <w:rPr>
                <w:rFonts w:hint="eastAsia" w:ascii="Times New Roman" w:hAnsi="Times New Roman"/>
                <w:sz w:val="24"/>
                <w:szCs w:val="24"/>
              </w:rPr>
              <w:t>如下</w:t>
            </w:r>
            <w:r>
              <w:rPr>
                <w:rFonts w:ascii="Times New Roman" w:hAnsi="Times New Roman"/>
                <w:sz w:val="24"/>
                <w:szCs w:val="24"/>
              </w:rPr>
              <w:t>：</w:t>
            </w:r>
          </w:p>
          <w:p w14:paraId="5693F547">
            <w:pPr>
              <w:pStyle w:val="68"/>
              <w:ind w:firstLine="502"/>
              <w:rPr>
                <w:rFonts w:ascii="Times New Roman" w:hAnsi="Times New Roman"/>
                <w:b/>
                <w:bCs/>
                <w:sz w:val="24"/>
                <w:szCs w:val="24"/>
              </w:rPr>
            </w:pPr>
            <w:r>
              <w:rPr>
                <w:rFonts w:ascii="Times New Roman" w:hAnsi="Times New Roman"/>
                <w:b/>
                <w:bCs/>
                <w:sz w:val="24"/>
                <w:szCs w:val="24"/>
              </w:rPr>
              <w:t>（1）废水</w:t>
            </w:r>
          </w:p>
          <w:p w14:paraId="0535951D">
            <w:pPr>
              <w:pStyle w:val="68"/>
              <w:ind w:firstLine="500"/>
              <w:rPr>
                <w:rFonts w:ascii="Times New Roman" w:hAnsi="Times New Roman"/>
                <w:color w:val="000000" w:themeColor="text1"/>
                <w:sz w:val="24"/>
                <w:szCs w:val="24"/>
                <w14:textFill>
                  <w14:solidFill>
                    <w14:schemeClr w14:val="tx1"/>
                  </w14:solidFill>
                </w14:textFill>
              </w:rPr>
            </w:pPr>
            <w:bookmarkStart w:id="18" w:name="OLE_LINK1"/>
            <w:r>
              <w:rPr>
                <w:rFonts w:ascii="Times New Roman" w:hAnsi="Times New Roman"/>
                <w:sz w:val="24"/>
                <w:szCs w:val="24"/>
              </w:rPr>
              <w:t>本项目废水为生活</w:t>
            </w:r>
            <w:r>
              <w:rPr>
                <w:rFonts w:hint="eastAsia" w:ascii="Times New Roman" w:hAnsi="Times New Roman"/>
                <w:sz w:val="24"/>
                <w:szCs w:val="24"/>
              </w:rPr>
              <w:t>污</w:t>
            </w:r>
            <w:r>
              <w:rPr>
                <w:rFonts w:ascii="Times New Roman" w:hAnsi="Times New Roman"/>
                <w:sz w:val="24"/>
                <w:szCs w:val="24"/>
              </w:rPr>
              <w:t>水，产生量约1.55m</w:t>
            </w:r>
            <w:r>
              <w:rPr>
                <w:rFonts w:ascii="Times New Roman" w:hAnsi="Times New Roman"/>
                <w:sz w:val="24"/>
                <w:szCs w:val="24"/>
                <w:vertAlign w:val="superscript"/>
              </w:rPr>
              <w:t>3</w:t>
            </w:r>
            <w:r>
              <w:rPr>
                <w:rFonts w:ascii="Times New Roman" w:hAnsi="Times New Roman"/>
                <w:sz w:val="24"/>
                <w:szCs w:val="24"/>
              </w:rPr>
              <w:t>/d（418m</w:t>
            </w:r>
            <w:r>
              <w:rPr>
                <w:rFonts w:ascii="Times New Roman" w:hAnsi="Times New Roman"/>
                <w:sz w:val="24"/>
                <w:szCs w:val="24"/>
                <w:vertAlign w:val="superscript"/>
              </w:rPr>
              <w:t>3</w:t>
            </w:r>
            <w:r>
              <w:rPr>
                <w:rFonts w:ascii="Times New Roman" w:hAnsi="Times New Roman"/>
                <w:sz w:val="24"/>
                <w:szCs w:val="24"/>
              </w:rPr>
              <w:t>/a），主要污染因子为C</w:t>
            </w:r>
            <w:r>
              <w:rPr>
                <w:rFonts w:ascii="Times New Roman" w:hAnsi="Times New Roman"/>
                <w:color w:val="000000" w:themeColor="text1"/>
                <w:sz w:val="24"/>
                <w:szCs w:val="24"/>
                <w14:textFill>
                  <w14:solidFill>
                    <w14:schemeClr w14:val="tx1"/>
                  </w14:solidFill>
                </w14:textFill>
              </w:rPr>
              <w:t>OD、SS等，生活污水直接排入化粪池后定期由吸污车清运</w:t>
            </w:r>
            <w:bookmarkEnd w:id="18"/>
            <w:r>
              <w:rPr>
                <w:rFonts w:ascii="Times New Roman" w:hAnsi="Times New Roman"/>
                <w:color w:val="000000" w:themeColor="text1"/>
                <w:sz w:val="24"/>
                <w:szCs w:val="24"/>
                <w14:textFill>
                  <w14:solidFill>
                    <w14:schemeClr w14:val="tx1"/>
                  </w14:solidFill>
                </w14:textFill>
              </w:rPr>
              <w:t>。</w:t>
            </w:r>
          </w:p>
          <w:p w14:paraId="73A637B9">
            <w:pPr>
              <w:pStyle w:val="68"/>
              <w:ind w:firstLine="502"/>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（2）废气</w:t>
            </w:r>
          </w:p>
          <w:p w14:paraId="4AB4AB45">
            <w:pPr>
              <w:pStyle w:val="68"/>
              <w:ind w:firstLine="500"/>
              <w:rPr>
                <w:rFonts w:ascii="Times New Roman" w:hAnsi="Times New Roman"/>
                <w:sz w:val="24"/>
                <w:szCs w:val="24"/>
              </w:rPr>
            </w:pPr>
            <w:r>
              <w:rPr>
                <w:color w:val="000000" w:themeColor="text1"/>
                <w:sz w:val="24"/>
                <w:szCs w:val="24"/>
                <w14:textFill>
                  <w14:solidFill>
                    <w14:schemeClr w14:val="tx1"/>
                  </w14:solidFill>
                </w14:textFill>
              </w:rPr>
              <w:t>该项目废气主要为乙炔卸装、充装工艺过程中产生的有机废气，主要污染因子为非</w:t>
            </w:r>
            <w:r>
              <w:rPr>
                <w:rFonts w:ascii="Times New Roman" w:hAnsi="Times New Roman"/>
                <w:sz w:val="24"/>
                <w:szCs w:val="24"/>
              </w:rPr>
              <w:t>甲烷总烃，项目采取设备密闭及规范操作、严格管理等措施控制无组织废气的排放。</w:t>
            </w:r>
          </w:p>
          <w:p w14:paraId="101B41AC">
            <w:pPr>
              <w:pStyle w:val="68"/>
              <w:ind w:firstLine="500"/>
              <w:rPr>
                <w:rFonts w:ascii="Times New Roman" w:hAnsi="Times New Roman"/>
                <w:sz w:val="24"/>
                <w:szCs w:val="24"/>
              </w:rPr>
            </w:pPr>
            <w:r>
              <w:rPr>
                <w:rFonts w:ascii="Times New Roman" w:hAnsi="Times New Roman"/>
                <w:sz w:val="24"/>
                <w:szCs w:val="24"/>
              </w:rPr>
              <w:t>经监测，本项目厂界无组织废气所测非甲烷总烃均最大排放浓度为1.20mg/m</w:t>
            </w:r>
            <w:r>
              <w:rPr>
                <w:rFonts w:ascii="Times New Roman" w:hAnsi="Times New Roman"/>
                <w:sz w:val="24"/>
                <w:szCs w:val="24"/>
                <w:vertAlign w:val="superscript"/>
              </w:rPr>
              <w:t>3</w:t>
            </w:r>
            <w:r>
              <w:rPr>
                <w:rFonts w:ascii="Times New Roman" w:hAnsi="Times New Roman"/>
                <w:sz w:val="24"/>
                <w:szCs w:val="24"/>
              </w:rPr>
              <w:t>，满足《大气污染综合排放标准》（GB16297-1996）表2排放限值要求。</w:t>
            </w:r>
            <w:bookmarkStart w:id="19" w:name="_Toc18915012"/>
            <w:bookmarkStart w:id="20" w:name="_Toc19724965"/>
          </w:p>
          <w:p w14:paraId="00B32187">
            <w:pPr>
              <w:pStyle w:val="68"/>
              <w:ind w:firstLine="500"/>
              <w:rPr>
                <w:rFonts w:ascii="Times New Roman" w:hAnsi="Times New Roman"/>
                <w:sz w:val="24"/>
                <w:szCs w:val="24"/>
              </w:rPr>
            </w:pPr>
            <w:r>
              <w:rPr>
                <w:rFonts w:ascii="Times New Roman" w:hAnsi="Times New Roman"/>
                <w:sz w:val="24"/>
                <w:szCs w:val="24"/>
              </w:rPr>
              <w:t>（3）噪声</w:t>
            </w:r>
            <w:bookmarkEnd w:id="19"/>
            <w:bookmarkEnd w:id="20"/>
          </w:p>
          <w:p w14:paraId="7319FACD">
            <w:pPr>
              <w:pStyle w:val="68"/>
              <w:ind w:firstLine="500"/>
              <w:rPr>
                <w:color w:val="000000"/>
                <w:sz w:val="24"/>
                <w:szCs w:val="24"/>
              </w:rPr>
            </w:pPr>
            <w:r>
              <w:rPr>
                <w:rFonts w:ascii="Times New Roman" w:hAnsi="Times New Roman"/>
                <w:sz w:val="24"/>
                <w:szCs w:val="24"/>
              </w:rPr>
              <w:t>本项目</w:t>
            </w:r>
            <w:r>
              <w:rPr>
                <w:color w:val="000000"/>
                <w:sz w:val="24"/>
                <w:szCs w:val="24"/>
              </w:rPr>
              <w:t>噪声主要为乙炔生产及充装工序的各类生产设备产生的机械噪声，采取基础减振、厂房隔音等措施后排入周围声环境。</w:t>
            </w:r>
          </w:p>
          <w:p w14:paraId="46B7849B">
            <w:pPr>
              <w:pStyle w:val="68"/>
              <w:ind w:firstLine="500"/>
              <w:rPr>
                <w:rFonts w:ascii="Times New Roman" w:hAnsi="Times New Roman"/>
                <w:sz w:val="24"/>
                <w:szCs w:val="24"/>
              </w:rPr>
            </w:pPr>
            <w:r>
              <w:rPr>
                <w:color w:val="000000"/>
                <w:sz w:val="24"/>
                <w:szCs w:val="24"/>
              </w:rPr>
              <w:t>本项</w:t>
            </w:r>
            <w:r>
              <w:rPr>
                <w:rFonts w:ascii="Times New Roman" w:hAnsi="Times New Roman"/>
                <w:sz w:val="24"/>
                <w:szCs w:val="24"/>
              </w:rPr>
              <w:t>目厂界昼间噪声值均满足《工业企业厂界环境噪声排放标准》（GB12348-2008）中3类标准要求。</w:t>
            </w:r>
          </w:p>
          <w:p w14:paraId="0967168A">
            <w:pPr>
              <w:pStyle w:val="68"/>
              <w:ind w:firstLine="502"/>
              <w:rPr>
                <w:rFonts w:ascii="Times New Roman" w:hAnsi="Times New Roman"/>
                <w:b/>
                <w:bCs/>
                <w:sz w:val="24"/>
                <w:szCs w:val="24"/>
              </w:rPr>
            </w:pPr>
            <w:bookmarkStart w:id="21" w:name="_Toc18915013"/>
            <w:bookmarkStart w:id="22" w:name="_Toc19724966"/>
            <w:r>
              <w:rPr>
                <w:rFonts w:ascii="Times New Roman" w:hAnsi="Times New Roman"/>
                <w:b/>
                <w:bCs/>
                <w:sz w:val="24"/>
                <w:szCs w:val="24"/>
              </w:rPr>
              <w:t>（4）固体废物</w:t>
            </w:r>
            <w:bookmarkEnd w:id="21"/>
            <w:bookmarkEnd w:id="22"/>
          </w:p>
          <w:p w14:paraId="52D852A5">
            <w:pPr>
              <w:pStyle w:val="68"/>
              <w:ind w:firstLine="500"/>
              <w:rPr>
                <w:rFonts w:ascii="Times New Roman" w:hAnsi="Times New Roman"/>
                <w:sz w:val="24"/>
                <w:szCs w:val="24"/>
              </w:rPr>
            </w:pPr>
            <w:r>
              <w:rPr>
                <w:rFonts w:ascii="Times New Roman" w:hAnsi="Times New Roman"/>
                <w:sz w:val="24"/>
                <w:szCs w:val="24"/>
              </w:rPr>
              <w:t>该项目固体废弃物主要有为电石渣及生活垃圾。</w:t>
            </w:r>
          </w:p>
          <w:p w14:paraId="4FE76BB7">
            <w:pPr>
              <w:pStyle w:val="68"/>
              <w:ind w:firstLine="500"/>
              <w:rPr>
                <w:rFonts w:ascii="Times New Roman" w:hAnsi="Times New Roman"/>
                <w:sz w:val="24"/>
                <w:szCs w:val="24"/>
              </w:rPr>
            </w:pPr>
            <w:r>
              <w:rPr>
                <w:rFonts w:ascii="Times New Roman" w:hAnsi="Times New Roman"/>
                <w:sz w:val="24"/>
                <w:szCs w:val="24"/>
              </w:rPr>
              <w:t>电石渣年产生量约406t，全部作为建筑材料外售；生活垃圾年产生量约4.7t，由园区环卫部门统一清运；危险废物主要是乙炔生产中在中和塔洗涤除杂过程中产生的废酸，</w:t>
            </w:r>
            <w:r>
              <w:rPr>
                <w:rFonts w:ascii="Times New Roman" w:hAnsi="Times New Roman"/>
                <w:bCs/>
              </w:rPr>
              <w:t>废物类别为HW34废酸，废物代码为</w:t>
            </w:r>
            <w:r>
              <w:rPr>
                <w:rFonts w:ascii="Times New Roman" w:hAnsi="Times New Roman"/>
                <w:sz w:val="24"/>
                <w:szCs w:val="24"/>
              </w:rPr>
              <w:t>900-349-34，年产生量约0.03t，全部交由有资质的危废处理单位处置。</w:t>
            </w:r>
          </w:p>
          <w:p w14:paraId="7C1C3B45">
            <w:pPr>
              <w:pStyle w:val="68"/>
              <w:ind w:firstLine="482"/>
              <w:rPr>
                <w:rFonts w:ascii="Times New Roman" w:hAnsi="Times New Roman"/>
                <w:b/>
                <w:bCs/>
                <w:spacing w:val="0"/>
                <w:kern w:val="2"/>
                <w:sz w:val="24"/>
                <w:szCs w:val="24"/>
              </w:rPr>
            </w:pPr>
            <w:r>
              <w:rPr>
                <w:rFonts w:hint="eastAsia" w:ascii="Times New Roman" w:hAnsi="Times New Roman"/>
                <w:b/>
                <w:bCs/>
                <w:spacing w:val="0"/>
                <w:kern w:val="2"/>
                <w:sz w:val="24"/>
                <w:szCs w:val="24"/>
              </w:rPr>
              <w:t>3、现有存在问题及解决方案</w:t>
            </w:r>
          </w:p>
          <w:p w14:paraId="621AC691">
            <w:pPr>
              <w:pStyle w:val="68"/>
              <w:ind w:firstLine="500"/>
              <w:rPr>
                <w:rFonts w:ascii="Times New Roman" w:hAnsi="Times New Roman"/>
                <w:sz w:val="24"/>
                <w:szCs w:val="24"/>
              </w:rPr>
            </w:pPr>
            <w:r>
              <w:rPr>
                <w:sz w:val="24"/>
                <w:szCs w:val="24"/>
              </w:rPr>
              <w:t>经</w:t>
            </w:r>
            <w:r>
              <w:rPr>
                <w:rFonts w:hint="eastAsia"/>
                <w:sz w:val="24"/>
                <w:szCs w:val="24"/>
              </w:rPr>
              <w:t>现场勘查</w:t>
            </w:r>
            <w:r>
              <w:rPr>
                <w:sz w:val="24"/>
                <w:szCs w:val="24"/>
              </w:rPr>
              <w:t>，当前未发现问题</w:t>
            </w:r>
            <w:r>
              <w:rPr>
                <w:rFonts w:ascii="Times New Roman" w:hAnsi="Times New Roman"/>
                <w:sz w:val="24"/>
                <w:szCs w:val="24"/>
              </w:rPr>
              <w:t>。</w:t>
            </w:r>
          </w:p>
        </w:tc>
      </w:tr>
    </w:tbl>
    <w:p w14:paraId="20D2B17C">
      <w:pPr>
        <w:ind w:firstLine="480"/>
        <w:rPr>
          <w:color w:val="000000" w:themeColor="text1"/>
          <w14:textFill>
            <w14:solidFill>
              <w14:schemeClr w14:val="tx1"/>
            </w14:solidFill>
          </w14:textFill>
        </w:rPr>
        <w:sectPr>
          <w:footerReference r:id="rId13" w:type="default"/>
          <w:pgSz w:w="11906" w:h="16838"/>
          <w:pgMar w:top="1418" w:right="1418" w:bottom="1418" w:left="1418" w:header="851" w:footer="992" w:gutter="0"/>
          <w:pgNumType w:start="19"/>
          <w:cols w:space="425" w:num="1"/>
          <w:docGrid w:type="lines" w:linePitch="326" w:charSpace="0"/>
        </w:sectPr>
      </w:pPr>
    </w:p>
    <w:p w14:paraId="4DEFADA6">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三、区域环境质量现状、环境保护目标及评价标准</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6"/>
        <w:gridCol w:w="8460"/>
      </w:tblGrid>
      <w:tr w14:paraId="3F3E8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7" w:hRule="atLeast"/>
          <w:jc w:val="center"/>
        </w:trPr>
        <w:tc>
          <w:tcPr>
            <w:tcW w:w="445" w:type="pct"/>
            <w:vAlign w:val="center"/>
          </w:tcPr>
          <w:p w14:paraId="7EE59DB5">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区域</w:t>
            </w:r>
          </w:p>
          <w:p w14:paraId="49E011E1">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14:paraId="341AB896">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质量</w:t>
            </w:r>
          </w:p>
          <w:p w14:paraId="00280FCA">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现状</w:t>
            </w:r>
          </w:p>
        </w:tc>
        <w:tc>
          <w:tcPr>
            <w:tcW w:w="4555" w:type="pct"/>
            <w:vAlign w:val="center"/>
          </w:tcPr>
          <w:p w14:paraId="1BF25BD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3、环境空气质量评价</w:t>
            </w:r>
          </w:p>
          <w:p w14:paraId="3BB98446">
            <w:pPr>
              <w:keepNext/>
              <w:keepLines/>
              <w:spacing w:before="120" w:after="60" w:line="240" w:lineRule="auto"/>
              <w:ind w:firstLine="0" w:firstLineChars="0"/>
              <w:textAlignment w:val="auto"/>
              <w:outlineLvl w:val="1"/>
              <w:rPr>
                <w:rFonts w:cs="Times New Roman"/>
                <w:b/>
                <w:bCs/>
                <w:color w:val="000000" w:themeColor="text1"/>
                <w:szCs w:val="32"/>
                <w14:textFill>
                  <w14:solidFill>
                    <w14:schemeClr w14:val="tx1"/>
                  </w14:solidFill>
                </w14:textFill>
              </w:rPr>
            </w:pPr>
            <w:r>
              <w:rPr>
                <w:rFonts w:hint="eastAsia" w:cs="Times New Roman"/>
                <w:b/>
                <w:bCs/>
                <w:color w:val="000000" w:themeColor="text1"/>
                <w:szCs w:val="32"/>
                <w14:textFill>
                  <w14:solidFill>
                    <w14:schemeClr w14:val="tx1"/>
                  </w14:solidFill>
                </w14:textFill>
              </w:rPr>
              <w:t>3.1基本污染物环境质量现状评价</w:t>
            </w:r>
          </w:p>
          <w:p w14:paraId="7DFEC77E">
            <w:pPr>
              <w:ind w:firstLine="480"/>
              <w:rPr>
                <w:rFonts w:cs="Times New Roman"/>
                <w:szCs w:val="24"/>
              </w:rPr>
            </w:pPr>
            <w:r>
              <w:rPr>
                <w:rFonts w:cs="Times New Roman"/>
              </w:rPr>
              <w:t>根据《</w:t>
            </w:r>
            <w:r>
              <w:rPr>
                <w:rFonts w:hint="eastAsia" w:cs="Times New Roman"/>
              </w:rPr>
              <w:t>巴音郭楞蒙古自治州2024年生态环境状况公报</w:t>
            </w:r>
            <w:r>
              <w:rPr>
                <w:rFonts w:cs="Times New Roman"/>
              </w:rPr>
              <w:t>》，</w:t>
            </w:r>
            <w:r>
              <w:rPr>
                <w:rFonts w:hint="eastAsia" w:cs="Times New Roman"/>
              </w:rPr>
              <w:t>2024年，全州空气质量综合指数为5.22，同比下降7.9%，空气质量明显好于2023年。全州平均优良天数比例为62%，同比增加15.7%，PM</w:t>
            </w:r>
            <w:r>
              <w:rPr>
                <w:rFonts w:hint="eastAsia" w:cs="Times New Roman"/>
                <w:vertAlign w:val="subscript"/>
              </w:rPr>
              <w:t>10</w:t>
            </w:r>
            <w:r>
              <w:rPr>
                <w:rFonts w:hint="eastAsia" w:cs="Times New Roman"/>
              </w:rPr>
              <w:t>为首要污染物，未出现PM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-8H、SO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、CO为首要污染物的超标天</w:t>
            </w:r>
            <w:r>
              <w:rPr>
                <w:rFonts w:cs="Times New Roman"/>
              </w:rPr>
              <w:t>。</w:t>
            </w:r>
          </w:p>
          <w:p w14:paraId="32383A3D">
            <w:pPr>
              <w:ind w:firstLine="480"/>
              <w:rPr>
                <w:rFonts w:cs="Times New Roman"/>
              </w:rPr>
            </w:pPr>
            <w:r>
              <w:rPr>
                <w:rFonts w:cs="Times New Roman"/>
              </w:rPr>
              <w:t>根据《</w:t>
            </w:r>
            <w:r>
              <w:rPr>
                <w:rFonts w:hint="eastAsia" w:cs="Times New Roman"/>
              </w:rPr>
              <w:t>巴音郭楞蒙古自治州2024年生态环境状况公报</w:t>
            </w:r>
            <w:r>
              <w:rPr>
                <w:rFonts w:cs="Times New Roman"/>
              </w:rPr>
              <w:t>》结论，项目所在区域</w:t>
            </w:r>
            <w:r>
              <w:rPr>
                <w:rFonts w:hint="eastAsia" w:cs="Times New Roman"/>
              </w:rPr>
              <w:t>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-8H、SO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、CO平</w:t>
            </w:r>
            <w:r>
              <w:rPr>
                <w:rFonts w:cs="Times New Roman"/>
              </w:rPr>
              <w:t>均浓度均满足《环境空气质量标准》（GB3095-2012）的二级标准要求；</w:t>
            </w:r>
            <w:r>
              <w:rPr>
                <w:rFonts w:cs="Times New Roman"/>
                <w:kern w:val="0"/>
              </w:rPr>
              <w:t>受沙尘天气影响PM</w:t>
            </w:r>
            <w:r>
              <w:rPr>
                <w:rFonts w:cs="Times New Roman"/>
                <w:kern w:val="0"/>
                <w:vertAlign w:val="subscript"/>
              </w:rPr>
              <w:t>10</w:t>
            </w:r>
            <w:r>
              <w:rPr>
                <w:rFonts w:cs="Times New Roman"/>
                <w:kern w:val="0"/>
              </w:rPr>
              <w:t>年均值浓度超过《环境空气质量标准</w:t>
            </w:r>
            <w:r>
              <w:rPr>
                <w:rFonts w:cs="Times New Roman"/>
              </w:rPr>
              <w:t>》（GB3095-2012）的二级标准要求，本项目所在区域为非达标区域</w:t>
            </w:r>
            <w:r>
              <w:rPr>
                <w:rFonts w:hint="eastAsia" w:cs="Times New Roman"/>
              </w:rPr>
              <w:t>。</w:t>
            </w:r>
          </w:p>
          <w:p w14:paraId="2E7F435A">
            <w:pPr>
              <w:ind w:firstLine="0"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3.2地表水环境质量现状</w:t>
            </w:r>
          </w:p>
          <w:p w14:paraId="634798A1">
            <w:pPr>
              <w:ind w:firstLine="480"/>
              <w:rPr>
                <w:szCs w:val="24"/>
              </w:rPr>
            </w:pPr>
            <w:bookmarkStart w:id="23" w:name="_Hlk97245670"/>
            <w:r>
              <w:rPr>
                <w:rFonts w:cs="Times New Roman"/>
                <w:color w:val="000000"/>
              </w:rPr>
              <w:t>根据《巴音郭楞蒙古自治州2024年生态环境状况公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r>
              <w:rPr>
                <w:szCs w:val="24"/>
              </w:rPr>
              <w:t>。</w:t>
            </w:r>
          </w:p>
          <w:p w14:paraId="4CB73686">
            <w:pPr>
              <w:ind w:firstLine="480"/>
              <w:rPr>
                <w:color w:val="000000" w:themeColor="text1"/>
                <w14:textFill>
                  <w14:solidFill>
                    <w14:schemeClr w14:val="tx1"/>
                  </w14:solidFill>
                </w14:textFill>
              </w:rPr>
            </w:pPr>
            <w:r>
              <w:rPr>
                <w:rFonts w:cs="Times New Roman"/>
                <w:color w:val="000000"/>
              </w:rPr>
              <w:t>与本项目最近的地表水体为</w:t>
            </w:r>
            <w:r>
              <w:rPr>
                <w:rFonts w:hint="eastAsia"/>
              </w:rPr>
              <w:t>开都河</w:t>
            </w:r>
            <w:r>
              <w:rPr>
                <w:rFonts w:hint="eastAsia"/>
                <w:bCs/>
              </w:rPr>
              <w:t>，</w:t>
            </w:r>
            <w:r>
              <w:rPr>
                <w:rFonts w:cs="Times New Roman"/>
                <w:color w:val="000000"/>
              </w:rPr>
              <w:t>根据《巴音郭楞蒙古自治州2024年生态环境状况公报》</w:t>
            </w:r>
            <w:r>
              <w:rPr>
                <w:rFonts w:hint="eastAsia"/>
                <w:color w:val="000000" w:themeColor="text1"/>
                <w14:textFill>
                  <w14:solidFill>
                    <w14:schemeClr w14:val="tx1"/>
                  </w14:solidFill>
                </w14:textFill>
              </w:rPr>
              <w:t>。开</w:t>
            </w:r>
            <w:r>
              <w:rPr>
                <w:rFonts w:hint="eastAsia"/>
              </w:rPr>
              <w:t>都河</w:t>
            </w:r>
            <w:r>
              <w:rPr>
                <w:rFonts w:cs="Times New Roman"/>
                <w:color w:val="000000"/>
              </w:rPr>
              <w:t>水环境质量可达到《地表水环境质量标准》（GB3838-2002）Ⅰ类水质标准</w:t>
            </w:r>
          </w:p>
          <w:bookmarkEnd w:id="23"/>
          <w:p w14:paraId="2BB38AF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3.3声环境质量现状</w:t>
            </w:r>
          </w:p>
          <w:p w14:paraId="21E63EB5">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本项目位于</w:t>
            </w:r>
            <w:r>
              <w:rPr>
                <w:rFonts w:hint="eastAsia"/>
              </w:rPr>
              <w:t>和静</w:t>
            </w:r>
            <w:r>
              <w:rPr>
                <w:rFonts w:hint="eastAsia" w:cs="Times New Roman"/>
                <w:color w:val="000000" w:themeColor="text1"/>
                <w:szCs w:val="24"/>
                <w14:textFill>
                  <w14:solidFill>
                    <w14:schemeClr w14:val="tx1"/>
                  </w14:solidFill>
                </w14:textFill>
              </w:rPr>
              <w:t>工业园区</w:t>
            </w:r>
            <w:r>
              <w:rPr>
                <w:rFonts w:hint="eastAsia"/>
                <w:color w:val="000000"/>
              </w:rPr>
              <w:t>新兴产业片区</w:t>
            </w:r>
            <w:r>
              <w:rPr>
                <w:rFonts w:hint="eastAsia" w:cs="Times New Roman"/>
                <w:color w:val="000000" w:themeColor="text1"/>
                <w14:textFill>
                  <w14:solidFill>
                    <w14:schemeClr w14:val="tx1"/>
                  </w14:solidFill>
                </w14:textFill>
              </w:rPr>
              <w:t>，声环境现状执行《声环境质量标准》（GB3096-2008）3类区标准，即昼间65dB（A），夜间55dB（A）。</w:t>
            </w:r>
          </w:p>
          <w:p w14:paraId="19006299">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根据《建设项目环境影响报告表编制技术指南（污染影响类）》，项目厂界外周边50米范围内无声环境保护目标，可不开展声环境质量现状监测。</w:t>
            </w:r>
          </w:p>
          <w:p w14:paraId="3ED34DF1">
            <w:pPr>
              <w:pStyle w:val="4"/>
            </w:pPr>
            <w:r>
              <w:rPr>
                <w:rFonts w:hint="eastAsia"/>
              </w:rPr>
              <w:t>3.4地下水、土壤环境质量状况</w:t>
            </w:r>
          </w:p>
          <w:p w14:paraId="4B61DF88">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试行）》中规定“原则上不开展环境质量现状调查。建设项目存在土壤、地下水环境污染途径的，应结合污染源、保护目标分布情况开展现状调查以留作背景值。”</w:t>
            </w:r>
            <w:r>
              <w:rPr>
                <w:rFonts w:hint="eastAsia" w:cs="Times New Roman"/>
                <w:color w:val="000000" w:themeColor="text1"/>
                <w14:textFill>
                  <w14:solidFill>
                    <w14:schemeClr w14:val="tx1"/>
                  </w14:solidFill>
                </w14:textFill>
              </w:rPr>
              <w:t>根据现场勘查，</w:t>
            </w:r>
            <w:r>
              <w:rPr>
                <w:rFonts w:hint="eastAsia"/>
                <w:color w:val="000000" w:themeColor="text1"/>
                <w14:textFill>
                  <w14:solidFill>
                    <w14:schemeClr w14:val="tx1"/>
                  </w14:solidFill>
                </w14:textFill>
              </w:rPr>
              <w:t>本项目位于</w:t>
            </w:r>
            <w:r>
              <w:rPr>
                <w:rFonts w:hint="eastAsia"/>
              </w:rPr>
              <w:t>和静工业园区新兴产业区</w:t>
            </w:r>
            <w:r>
              <w:rPr>
                <w:rFonts w:hint="eastAsia" w:cs="Times New Roman"/>
                <w:color w:val="000000" w:themeColor="text1"/>
                <w:szCs w:val="24"/>
                <w14:textFill>
                  <w14:solidFill>
                    <w14:schemeClr w14:val="tx1"/>
                  </w14:solidFill>
                </w14:textFill>
              </w:rPr>
              <w:t>，</w:t>
            </w:r>
            <w:r>
              <w:rPr>
                <w:rFonts w:hint="eastAsia" w:cs="Times New Roman"/>
                <w:color w:val="000000" w:themeColor="text1"/>
                <w14:textFill>
                  <w14:solidFill>
                    <w14:schemeClr w14:val="tx1"/>
                  </w14:solidFill>
                </w14:textFill>
              </w:rPr>
              <w:t>项目所在厂区地面均已硬化。仓储的物质均不属于有毒有害物质，基本不存在土壤、地下水环境污染途径。因此，本评价不开展土壤、地下水环境质量现状调查。</w:t>
            </w:r>
          </w:p>
          <w:p w14:paraId="04C93B1A">
            <w:pPr>
              <w:pStyle w:val="4"/>
            </w:pPr>
            <w:r>
              <w:rPr>
                <w:rFonts w:hint="eastAsia"/>
              </w:rPr>
              <w:t>3.5生态环境现状</w:t>
            </w:r>
          </w:p>
          <w:p w14:paraId="36ED0DFE">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根据《建设项目环境影响报告表编制技术指南（污染影响类）（试行）》中规定“产业园区外建设项目新增用地且用地范围内含有生态环境保护目标时，应进行生态现状调查。”本项目位于</w:t>
            </w:r>
            <w:r>
              <w:rPr>
                <w:rFonts w:hint="eastAsia"/>
              </w:rPr>
              <w:t>和静工业园区新兴产业区</w:t>
            </w:r>
            <w:r>
              <w:rPr>
                <w:rFonts w:hint="eastAsia"/>
                <w:color w:val="000000" w:themeColor="text1"/>
                <w14:textFill>
                  <w14:solidFill>
                    <w14:schemeClr w14:val="tx1"/>
                  </w14:solidFill>
                </w14:textFill>
              </w:rPr>
              <w:t>，占地范围内不涉及生态保护红线、饮用水水源保护区、风景名胜区、文物古迹等生态敏感区，区域内无珍稀濒危野生动植物存在，无生态环境保护目标存在，因此，本环评不对生态环境现状进行评价。</w:t>
            </w:r>
          </w:p>
        </w:tc>
      </w:tr>
      <w:tr w14:paraId="43C50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7" w:hRule="atLeast"/>
          <w:jc w:val="center"/>
        </w:trPr>
        <w:tc>
          <w:tcPr>
            <w:tcW w:w="445" w:type="pct"/>
            <w:vAlign w:val="center"/>
          </w:tcPr>
          <w:p w14:paraId="5E248250">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14:paraId="39A823A2">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保护</w:t>
            </w:r>
          </w:p>
          <w:p w14:paraId="026BDF43">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目标</w:t>
            </w:r>
          </w:p>
        </w:tc>
        <w:tc>
          <w:tcPr>
            <w:tcW w:w="4555" w:type="pct"/>
          </w:tcPr>
          <w:p w14:paraId="7F60C5E8">
            <w:pPr>
              <w:ind w:firstLine="0" w:firstLineChars="0"/>
              <w:rPr>
                <w:b/>
                <w:bCs/>
              </w:rPr>
            </w:pPr>
            <w:r>
              <w:rPr>
                <w:rFonts w:hint="eastAsia"/>
                <w:b/>
                <w:bCs/>
              </w:rPr>
              <w:t>1、大气环境</w:t>
            </w:r>
          </w:p>
          <w:p w14:paraId="3E955ACE">
            <w:pPr>
              <w:ind w:firstLine="480"/>
            </w:pPr>
            <w:r>
              <w:rPr>
                <w:rFonts w:hint="eastAsia"/>
              </w:rPr>
              <w:t>本项目场界外</w:t>
            </w:r>
            <w:r>
              <w:t>500m</w:t>
            </w:r>
            <w:r>
              <w:rPr>
                <w:rFonts w:hint="eastAsia"/>
              </w:rPr>
              <w:t>范围内无自然保护区、风景名胜区、居住区、文化区和农村地区中人群较集中的区域等大气环境保护目标。</w:t>
            </w:r>
          </w:p>
          <w:p w14:paraId="02C9759E">
            <w:pPr>
              <w:ind w:firstLine="0" w:firstLineChars="0"/>
              <w:rPr>
                <w:b/>
                <w:bCs/>
              </w:rPr>
            </w:pPr>
            <w:r>
              <w:rPr>
                <w:rFonts w:hint="eastAsia"/>
                <w:b/>
                <w:bCs/>
              </w:rPr>
              <w:t>2、声环境</w:t>
            </w:r>
          </w:p>
          <w:p w14:paraId="05B1EDA4">
            <w:pPr>
              <w:ind w:firstLine="480"/>
            </w:pPr>
            <w:r>
              <w:rPr>
                <w:rFonts w:hint="eastAsia"/>
              </w:rPr>
              <w:t>根据《环境影响评价技术导则 声环境》（HJ2.4-2021），声环境敏感目标指医院、学校、机关、科研单位、住宅、自然保护区等对噪声敏感的建筑物或区域。本项目场界外50m范围内无声环境保护目标。</w:t>
            </w:r>
          </w:p>
          <w:p w14:paraId="15F66BBF">
            <w:pPr>
              <w:ind w:firstLine="0" w:firstLineChars="0"/>
              <w:rPr>
                <w:b/>
                <w:bCs/>
              </w:rPr>
            </w:pPr>
            <w:r>
              <w:rPr>
                <w:rFonts w:hint="eastAsia"/>
                <w:b/>
                <w:bCs/>
              </w:rPr>
              <w:t>3、地下水环境</w:t>
            </w:r>
          </w:p>
          <w:p w14:paraId="29904D94">
            <w:pPr>
              <w:ind w:firstLine="480"/>
            </w:pPr>
            <w:r>
              <w:rPr>
                <w:rFonts w:hint="eastAsia"/>
              </w:rPr>
              <w:t>本项目厂界外500m范围内无地下水集中式饮用水水源和热水、矿泉水、温泉等特殊地下水资源。</w:t>
            </w:r>
          </w:p>
          <w:p w14:paraId="1FFCF122">
            <w:pPr>
              <w:ind w:firstLine="0" w:firstLineChars="0"/>
              <w:rPr>
                <w:b/>
                <w:bCs/>
              </w:rPr>
            </w:pPr>
            <w:r>
              <w:rPr>
                <w:rFonts w:hint="eastAsia"/>
                <w:b/>
                <w:bCs/>
              </w:rPr>
              <w:t>4、生态环境</w:t>
            </w:r>
          </w:p>
          <w:p w14:paraId="45BB76B0">
            <w:pPr>
              <w:ind w:firstLine="480"/>
              <w:rPr>
                <w:color w:val="000000" w:themeColor="text1"/>
                <w14:textFill>
                  <w14:solidFill>
                    <w14:schemeClr w14:val="tx1"/>
                  </w14:solidFill>
                </w14:textFill>
              </w:rPr>
            </w:pPr>
            <w:r>
              <w:rPr>
                <w:rFonts w:hint="eastAsia"/>
              </w:rPr>
              <w:t>本项目位于和静工业园区新兴产业区，用地范围内及周边不涉及生态环境保护目标。</w:t>
            </w:r>
          </w:p>
        </w:tc>
      </w:tr>
      <w:tr w14:paraId="5E496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445" w:type="pct"/>
            <w:tcMar>
              <w:left w:w="28" w:type="dxa"/>
              <w:right w:w="28" w:type="dxa"/>
            </w:tcMar>
            <w:vAlign w:val="center"/>
          </w:tcPr>
          <w:p w14:paraId="7949A4CA">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污染</w:t>
            </w:r>
          </w:p>
          <w:p w14:paraId="1943E07B">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物排</w:t>
            </w:r>
          </w:p>
          <w:p w14:paraId="5C079557">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放控</w:t>
            </w:r>
          </w:p>
          <w:p w14:paraId="29F90F76">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制标</w:t>
            </w:r>
          </w:p>
          <w:p w14:paraId="52D2E813">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准</w:t>
            </w:r>
          </w:p>
        </w:tc>
        <w:tc>
          <w:tcPr>
            <w:tcW w:w="4555" w:type="pct"/>
          </w:tcPr>
          <w:p w14:paraId="001E0250">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1、大气污染物排放标准</w:t>
            </w:r>
          </w:p>
          <w:p w14:paraId="5B067903">
            <w:pPr>
              <w:adjustRightInd w:val="0"/>
              <w:snapToGrid w:val="0"/>
              <w:ind w:firstLine="480"/>
            </w:pPr>
            <w:r>
              <w:rPr>
                <w:rFonts w:hint="eastAsia"/>
              </w:rPr>
              <w:t>运营期厂界非甲烷总烃</w:t>
            </w:r>
            <w:r>
              <w:rPr>
                <w:rFonts w:hint="eastAsia" w:cs="Times New Roman"/>
              </w:rPr>
              <w:t>执行</w:t>
            </w:r>
            <w:r>
              <w:t>《大气污染物</w:t>
            </w:r>
            <w:r>
              <w:rPr>
                <w:rFonts w:hint="eastAsia"/>
              </w:rPr>
              <w:t>综合</w:t>
            </w:r>
            <w:r>
              <w:t>排放标准》（GB</w:t>
            </w:r>
            <w:r>
              <w:rPr>
                <w:rFonts w:hint="eastAsia"/>
              </w:rPr>
              <w:t>16297</w:t>
            </w:r>
            <w:r>
              <w:t>-</w:t>
            </w:r>
            <w:r>
              <w:rPr>
                <w:rFonts w:hint="eastAsia"/>
              </w:rPr>
              <w:t>1996</w:t>
            </w:r>
            <w:r>
              <w:t>）</w:t>
            </w:r>
            <w:r>
              <w:rPr>
                <w:rFonts w:hint="eastAsia"/>
                <w:color w:val="000000" w:themeColor="text1"/>
                <w14:textFill>
                  <w14:solidFill>
                    <w14:schemeClr w14:val="tx1"/>
                  </w14:solidFill>
                </w14:textFill>
              </w:rPr>
              <w:t>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r>
              <w:t>。</w:t>
            </w:r>
            <w:r>
              <w:rPr>
                <w:rFonts w:hint="eastAsia"/>
              </w:rPr>
              <w:t>详见表3-1。</w:t>
            </w:r>
          </w:p>
          <w:p w14:paraId="225D4429">
            <w:pPr>
              <w:pStyle w:val="37"/>
              <w:spacing w:before="163"/>
            </w:pPr>
            <w:r>
              <w:rPr>
                <w:rFonts w:hint="eastAsia"/>
              </w:rPr>
              <w:t>表3</w:t>
            </w:r>
            <w:r>
              <w:t>-</w:t>
            </w:r>
            <w:r>
              <w:rPr>
                <w:rFonts w:hint="eastAsia"/>
              </w:rPr>
              <w:t>1</w:t>
            </w:r>
            <w:r>
              <w:t xml:space="preserve">  大气污染物无组织排放限值</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2040"/>
              <w:gridCol w:w="1641"/>
              <w:gridCol w:w="3176"/>
            </w:tblGrid>
            <w:tr w14:paraId="5EC1F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pct"/>
                  <w:vAlign w:val="center"/>
                </w:tcPr>
                <w:p w14:paraId="6F0C9D4D">
                  <w:pPr>
                    <w:pStyle w:val="32"/>
                  </w:pPr>
                  <w:r>
                    <w:rPr>
                      <w:rFonts w:hint="eastAsia"/>
                    </w:rPr>
                    <w:t>污染物名称</w:t>
                  </w:r>
                </w:p>
              </w:tc>
              <w:tc>
                <w:tcPr>
                  <w:tcW w:w="2241" w:type="pct"/>
                  <w:gridSpan w:val="2"/>
                  <w:vAlign w:val="center"/>
                </w:tcPr>
                <w:p w14:paraId="51FB8CF5">
                  <w:pPr>
                    <w:pStyle w:val="32"/>
                  </w:pPr>
                  <w:r>
                    <w:rPr>
                      <w:rFonts w:hint="eastAsia"/>
                    </w:rPr>
                    <w:t>无组织排放监控浓度</w:t>
                  </w:r>
                </w:p>
              </w:tc>
              <w:tc>
                <w:tcPr>
                  <w:tcW w:w="1933" w:type="pct"/>
                  <w:vAlign w:val="center"/>
                </w:tcPr>
                <w:p w14:paraId="3A5B61C1">
                  <w:pPr>
                    <w:pStyle w:val="32"/>
                  </w:pPr>
                  <w:r>
                    <w:rPr>
                      <w:rFonts w:hint="eastAsia"/>
                    </w:rPr>
                    <w:t>标准来源</w:t>
                  </w:r>
                </w:p>
              </w:tc>
            </w:tr>
            <w:tr w14:paraId="2B691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26" w:type="pct"/>
                  <w:vMerge w:val="restart"/>
                  <w:vAlign w:val="center"/>
                </w:tcPr>
                <w:p w14:paraId="536B42A6">
                  <w:pPr>
                    <w:pStyle w:val="32"/>
                  </w:pPr>
                  <w:r>
                    <w:rPr>
                      <w:rFonts w:hint="eastAsia"/>
                    </w:rPr>
                    <w:t>非甲烷总烃</w:t>
                  </w:r>
                </w:p>
              </w:tc>
              <w:tc>
                <w:tcPr>
                  <w:tcW w:w="1242" w:type="pct"/>
                  <w:vAlign w:val="center"/>
                </w:tcPr>
                <w:p w14:paraId="54E8BDCF">
                  <w:pPr>
                    <w:pStyle w:val="32"/>
                  </w:pPr>
                  <w:r>
                    <w:rPr>
                      <w:rFonts w:hint="eastAsia"/>
                    </w:rPr>
                    <w:t>监控点</w:t>
                  </w:r>
                </w:p>
              </w:tc>
              <w:tc>
                <w:tcPr>
                  <w:tcW w:w="998" w:type="pct"/>
                  <w:vAlign w:val="center"/>
                </w:tcPr>
                <w:p w14:paraId="7FC6906D">
                  <w:pPr>
                    <w:pStyle w:val="32"/>
                  </w:pPr>
                  <w:r>
                    <w:rPr>
                      <w:rFonts w:hint="eastAsia"/>
                    </w:rPr>
                    <w:t>浓度</w:t>
                  </w:r>
                  <w:r>
                    <w:t>mg/m</w:t>
                  </w:r>
                  <w:r>
                    <w:rPr>
                      <w:vertAlign w:val="superscript"/>
                    </w:rPr>
                    <w:t>3</w:t>
                  </w:r>
                </w:p>
              </w:tc>
              <w:tc>
                <w:tcPr>
                  <w:tcW w:w="1933" w:type="pct"/>
                  <w:vMerge w:val="restart"/>
                  <w:vAlign w:val="center"/>
                </w:tcPr>
                <w:p w14:paraId="7F9FAAD1">
                  <w:pPr>
                    <w:pStyle w:val="32"/>
                  </w:pPr>
                  <w:r>
                    <w:t>《大气污染物</w:t>
                  </w:r>
                  <w:r>
                    <w:rPr>
                      <w:rFonts w:hint="eastAsia"/>
                    </w:rPr>
                    <w:t>综合</w:t>
                  </w:r>
                  <w:r>
                    <w:t>排放标准》（GB</w:t>
                  </w:r>
                  <w:r>
                    <w:rPr>
                      <w:rFonts w:hint="eastAsia"/>
                    </w:rPr>
                    <w:t>16297</w:t>
                  </w:r>
                  <w:r>
                    <w:t>-</w:t>
                  </w:r>
                  <w:r>
                    <w:rPr>
                      <w:rFonts w:hint="eastAsia"/>
                    </w:rPr>
                    <w:t>1996</w:t>
                  </w:r>
                  <w:r>
                    <w:t>）</w:t>
                  </w:r>
                  <w:r>
                    <w:rPr>
                      <w:rFonts w:hint="eastAsia"/>
                      <w:color w:val="000000" w:themeColor="text1"/>
                      <w14:textFill>
                        <w14:solidFill>
                          <w14:schemeClr w14:val="tx1"/>
                        </w14:solidFill>
                      </w14:textFill>
                    </w:rPr>
                    <w:t>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p>
              </w:tc>
            </w:tr>
            <w:tr w14:paraId="030A4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6" w:type="pct"/>
                  <w:vMerge w:val="continue"/>
                  <w:vAlign w:val="center"/>
                </w:tcPr>
                <w:p w14:paraId="78FC8A52">
                  <w:pPr>
                    <w:pStyle w:val="32"/>
                  </w:pPr>
                </w:p>
              </w:tc>
              <w:tc>
                <w:tcPr>
                  <w:tcW w:w="1242" w:type="pct"/>
                  <w:vAlign w:val="center"/>
                </w:tcPr>
                <w:p w14:paraId="0B5351D8">
                  <w:pPr>
                    <w:pStyle w:val="32"/>
                  </w:pPr>
                  <w:r>
                    <w:rPr>
                      <w:rFonts w:hint="eastAsia"/>
                    </w:rPr>
                    <w:t>周界外浓度最高点</w:t>
                  </w:r>
                </w:p>
              </w:tc>
              <w:tc>
                <w:tcPr>
                  <w:tcW w:w="998" w:type="pct"/>
                  <w:vAlign w:val="center"/>
                </w:tcPr>
                <w:p w14:paraId="16778E3C">
                  <w:pPr>
                    <w:pStyle w:val="32"/>
                  </w:pPr>
                  <w:r>
                    <w:t>4.0</w:t>
                  </w:r>
                </w:p>
              </w:tc>
              <w:tc>
                <w:tcPr>
                  <w:tcW w:w="1933" w:type="pct"/>
                  <w:vMerge w:val="continue"/>
                  <w:vAlign w:val="center"/>
                </w:tcPr>
                <w:p w14:paraId="03984135">
                  <w:pPr>
                    <w:pStyle w:val="32"/>
                  </w:pPr>
                </w:p>
              </w:tc>
            </w:tr>
          </w:tbl>
          <w:p w14:paraId="3BF5AFB1">
            <w:pPr>
              <w:adjustRightInd w:val="0"/>
              <w:snapToGrid w:val="0"/>
              <w:ind w:firstLine="480"/>
            </w:pPr>
            <w:r>
              <w:rPr>
                <w:rFonts w:hint="eastAsia" w:cs="Times New Roman"/>
              </w:rPr>
              <w:t>厂区内</w:t>
            </w:r>
            <w:r>
              <w:rPr>
                <w:rFonts w:hint="eastAsia"/>
              </w:rPr>
              <w:t>VOC</w:t>
            </w:r>
            <w:r>
              <w:rPr>
                <w:rFonts w:hint="eastAsia"/>
                <w:vertAlign w:val="subscript"/>
              </w:rPr>
              <w:t>S</w:t>
            </w:r>
            <w:r>
              <w:rPr>
                <w:rFonts w:hint="eastAsia" w:cs="Times New Roman"/>
              </w:rPr>
              <w:t>排放执行</w:t>
            </w:r>
            <w:r>
              <w:t>《</w:t>
            </w:r>
            <w:r>
              <w:rPr>
                <w:rFonts w:hint="eastAsia"/>
              </w:rPr>
              <w:t>挥发性有机物无组织排放控制</w:t>
            </w:r>
            <w:r>
              <w:t>标准》（GB</w:t>
            </w:r>
            <w:r>
              <w:rPr>
                <w:rFonts w:hint="eastAsia"/>
              </w:rPr>
              <w:t>37822</w:t>
            </w:r>
            <w:r>
              <w:t>-</w:t>
            </w:r>
            <w:r>
              <w:rPr>
                <w:rFonts w:hint="eastAsia"/>
              </w:rPr>
              <w:t>2019</w:t>
            </w:r>
            <w:r>
              <w:t>）</w:t>
            </w:r>
            <w:r>
              <w:rPr>
                <w:rFonts w:hint="eastAsia"/>
              </w:rPr>
              <w:t>表A.1厂内VOC</w:t>
            </w:r>
            <w:r>
              <w:rPr>
                <w:rFonts w:hint="eastAsia"/>
                <w:vertAlign w:val="subscript"/>
              </w:rPr>
              <w:t>S</w:t>
            </w:r>
            <w:r>
              <w:rPr>
                <w:rFonts w:hint="eastAsia"/>
              </w:rPr>
              <w:t>无组织排放限值，详见表3-2。</w:t>
            </w:r>
          </w:p>
          <w:p w14:paraId="5B61EF8B">
            <w:pPr>
              <w:pStyle w:val="37"/>
              <w:spacing w:before="163"/>
              <w:ind w:firstLine="422"/>
              <w:rPr>
                <w:rFonts w:ascii="宋体" w:hAnsi="宋体" w:cs="宋体"/>
                <w:szCs w:val="21"/>
              </w:rPr>
            </w:pPr>
            <w:r>
              <w:rPr>
                <w:rFonts w:hint="eastAsia" w:ascii="宋体" w:hAnsi="宋体" w:cs="宋体"/>
                <w:szCs w:val="21"/>
              </w:rPr>
              <w:t>表</w:t>
            </w:r>
            <w:r>
              <w:rPr>
                <w:rFonts w:cs="Times New Roman"/>
                <w:szCs w:val="21"/>
              </w:rPr>
              <w:t>3-</w:t>
            </w:r>
            <w:r>
              <w:rPr>
                <w:rFonts w:hint="eastAsia" w:cs="Times New Roman"/>
                <w:szCs w:val="21"/>
              </w:rPr>
              <w:t xml:space="preserve">2  </w:t>
            </w:r>
            <w:r>
              <w:rPr>
                <w:rFonts w:hint="eastAsia" w:ascii="宋体" w:hAnsi="宋体" w:cs="宋体"/>
                <w:szCs w:val="21"/>
              </w:rPr>
              <w:t>厂区内</w:t>
            </w:r>
            <w:r>
              <w:rPr>
                <w:rFonts w:cs="Times New Roman"/>
                <w:szCs w:val="21"/>
              </w:rPr>
              <w:t>VOC</w:t>
            </w:r>
            <w:r>
              <w:rPr>
                <w:rFonts w:cs="Times New Roman"/>
                <w:szCs w:val="21"/>
                <w:vertAlign w:val="subscript"/>
              </w:rPr>
              <w:t>S</w:t>
            </w:r>
            <w:r>
              <w:rPr>
                <w:rFonts w:hint="eastAsia" w:ascii="宋体" w:hAnsi="宋体" w:cs="宋体"/>
                <w:szCs w:val="21"/>
              </w:rPr>
              <w:t>无组织排放限值</w:t>
            </w:r>
            <w:r>
              <w:rPr>
                <w:szCs w:val="21"/>
              </w:rPr>
              <w:t>（</w:t>
            </w:r>
            <w:r>
              <w:rPr>
                <w:rFonts w:hint="eastAsia"/>
                <w:szCs w:val="21"/>
              </w:rPr>
              <w:t>mg</w:t>
            </w:r>
            <w:r>
              <w:rPr>
                <w:szCs w:val="21"/>
              </w:rPr>
              <w:t>/m³）</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135"/>
              <w:gridCol w:w="3237"/>
              <w:gridCol w:w="2527"/>
            </w:tblGrid>
            <w:tr w14:paraId="2BC63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0" w:type="dxa"/>
                  <w:vAlign w:val="center"/>
                </w:tcPr>
                <w:p w14:paraId="572F9AF6">
                  <w:pPr>
                    <w:pStyle w:val="84"/>
                  </w:pPr>
                  <w:r>
                    <w:rPr>
                      <w:rFonts w:hint="eastAsia"/>
                    </w:rPr>
                    <w:t>污染物名称</w:t>
                  </w:r>
                </w:p>
              </w:tc>
              <w:tc>
                <w:tcPr>
                  <w:tcW w:w="1155" w:type="dxa"/>
                  <w:vAlign w:val="center"/>
                </w:tcPr>
                <w:p w14:paraId="5858A5AF">
                  <w:pPr>
                    <w:pStyle w:val="84"/>
                  </w:pPr>
                  <w:r>
                    <w:rPr>
                      <w:rFonts w:hint="eastAsia"/>
                    </w:rPr>
                    <w:t>排放限值</w:t>
                  </w:r>
                </w:p>
              </w:tc>
              <w:tc>
                <w:tcPr>
                  <w:tcW w:w="3315" w:type="dxa"/>
                  <w:vAlign w:val="center"/>
                </w:tcPr>
                <w:p w14:paraId="5BD90E01">
                  <w:pPr>
                    <w:pStyle w:val="84"/>
                  </w:pPr>
                  <w:r>
                    <w:rPr>
                      <w:rFonts w:hint="eastAsia"/>
                    </w:rPr>
                    <w:t>限值含义</w:t>
                  </w:r>
                </w:p>
              </w:tc>
              <w:tc>
                <w:tcPr>
                  <w:tcW w:w="2585" w:type="dxa"/>
                  <w:vAlign w:val="center"/>
                </w:tcPr>
                <w:p w14:paraId="30FB17A1">
                  <w:pPr>
                    <w:pStyle w:val="84"/>
                  </w:pPr>
                  <w:r>
                    <w:rPr>
                      <w:rFonts w:hint="eastAsia"/>
                    </w:rPr>
                    <w:t>无组织排放监控位置</w:t>
                  </w:r>
                </w:p>
              </w:tc>
            </w:tr>
            <w:tr w14:paraId="003A0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vMerge w:val="restart"/>
                  <w:vAlign w:val="center"/>
                </w:tcPr>
                <w:p w14:paraId="6E633B9F">
                  <w:pPr>
                    <w:pStyle w:val="84"/>
                  </w:pPr>
                  <w:r>
                    <w:rPr>
                      <w:rFonts w:hint="eastAsia"/>
                    </w:rPr>
                    <w:t>非甲烷总烃</w:t>
                  </w:r>
                </w:p>
              </w:tc>
              <w:tc>
                <w:tcPr>
                  <w:tcW w:w="1155" w:type="dxa"/>
                  <w:vAlign w:val="center"/>
                </w:tcPr>
                <w:p w14:paraId="6FF33E77">
                  <w:pPr>
                    <w:pStyle w:val="84"/>
                  </w:pPr>
                  <w:r>
                    <w:rPr>
                      <w:rFonts w:hint="eastAsia"/>
                    </w:rPr>
                    <w:t>10</w:t>
                  </w:r>
                </w:p>
              </w:tc>
              <w:tc>
                <w:tcPr>
                  <w:tcW w:w="3315" w:type="dxa"/>
                  <w:vAlign w:val="center"/>
                </w:tcPr>
                <w:p w14:paraId="61B0573C">
                  <w:pPr>
                    <w:pStyle w:val="84"/>
                  </w:pPr>
                  <w:r>
                    <w:rPr>
                      <w:rFonts w:hint="eastAsia"/>
                    </w:rPr>
                    <w:t>监控点处1h平均浓度值</w:t>
                  </w:r>
                </w:p>
              </w:tc>
              <w:tc>
                <w:tcPr>
                  <w:tcW w:w="2585" w:type="dxa"/>
                  <w:vMerge w:val="restart"/>
                  <w:vAlign w:val="center"/>
                </w:tcPr>
                <w:p w14:paraId="450F8A50">
                  <w:pPr>
                    <w:pStyle w:val="84"/>
                  </w:pPr>
                  <w:r>
                    <w:rPr>
                      <w:rFonts w:hint="eastAsia"/>
                    </w:rPr>
                    <w:t>在厂房外设置监控点</w:t>
                  </w:r>
                </w:p>
              </w:tc>
            </w:tr>
            <w:tr w14:paraId="0C982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vMerge w:val="continue"/>
                  <w:vAlign w:val="center"/>
                </w:tcPr>
                <w:p w14:paraId="4C1F9B4E">
                  <w:pPr>
                    <w:pStyle w:val="84"/>
                    <w:ind w:firstLine="422"/>
                  </w:pPr>
                </w:p>
              </w:tc>
              <w:tc>
                <w:tcPr>
                  <w:tcW w:w="1155" w:type="dxa"/>
                  <w:vAlign w:val="center"/>
                </w:tcPr>
                <w:p w14:paraId="7395D0DB">
                  <w:pPr>
                    <w:pStyle w:val="84"/>
                  </w:pPr>
                  <w:r>
                    <w:rPr>
                      <w:rFonts w:hint="eastAsia"/>
                    </w:rPr>
                    <w:t>30</w:t>
                  </w:r>
                </w:p>
              </w:tc>
              <w:tc>
                <w:tcPr>
                  <w:tcW w:w="3315" w:type="dxa"/>
                  <w:vAlign w:val="center"/>
                </w:tcPr>
                <w:p w14:paraId="557A61C3">
                  <w:pPr>
                    <w:pStyle w:val="84"/>
                  </w:pPr>
                  <w:r>
                    <w:rPr>
                      <w:rFonts w:hint="eastAsia"/>
                    </w:rPr>
                    <w:t>监控点处任意一次浓度值</w:t>
                  </w:r>
                </w:p>
              </w:tc>
              <w:tc>
                <w:tcPr>
                  <w:tcW w:w="2585" w:type="dxa"/>
                  <w:vMerge w:val="continue"/>
                  <w:vAlign w:val="center"/>
                </w:tcPr>
                <w:p w14:paraId="53054796">
                  <w:pPr>
                    <w:pStyle w:val="84"/>
                    <w:ind w:firstLine="422"/>
                  </w:pPr>
                </w:p>
              </w:tc>
            </w:tr>
          </w:tbl>
          <w:p w14:paraId="43F0E64D">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2、废水排放标准</w:t>
            </w:r>
          </w:p>
          <w:p w14:paraId="0BBFE41A">
            <w:pPr>
              <w:ind w:firstLine="480"/>
            </w:pPr>
            <w:r>
              <w:rPr>
                <w:rFonts w:hint="eastAsia"/>
              </w:rPr>
              <w:t>生活污水经化粪池（1</w:t>
            </w:r>
            <w:r>
              <w:t>0</w:t>
            </w:r>
            <w:r>
              <w:rPr>
                <w:rFonts w:hint="eastAsia"/>
              </w:rPr>
              <w:t>m</w:t>
            </w:r>
            <w:r>
              <w:rPr>
                <w:rFonts w:hint="eastAsia"/>
                <w:vertAlign w:val="superscript"/>
              </w:rPr>
              <w:t>3</w:t>
            </w:r>
            <w:r>
              <w:rPr>
                <w:rFonts w:hint="eastAsia"/>
              </w:rPr>
              <w:t>）预处理后由吸污车拉运至和静县污水处理厂处理</w:t>
            </w:r>
            <w:r>
              <w:t>。</w:t>
            </w:r>
          </w:p>
          <w:p w14:paraId="5B9E81E6">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3、噪声排放标准</w:t>
            </w:r>
          </w:p>
          <w:p w14:paraId="6AEA473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运营期噪声执行《工业企业厂界环境噪声排放标准》（GB12348-2008）中3类标准，标准值见表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-3。</w:t>
            </w:r>
          </w:p>
          <w:p w14:paraId="19C6092F">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工业企业厂界环境噪声排放标准 等效声级Leq（dB</w:t>
            </w:r>
            <w:r>
              <w:rPr>
                <w:color w:val="000000" w:themeColor="text1"/>
                <w14:textFill>
                  <w14:solidFill>
                    <w14:schemeClr w14:val="tx1"/>
                  </w14:solidFill>
                </w14:textFill>
              </w:rPr>
              <w:t>）</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84"/>
              <w:gridCol w:w="3591"/>
              <w:gridCol w:w="2739"/>
            </w:tblGrid>
            <w:tr w14:paraId="14E02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1147" w:type="pct"/>
                  <w:tcBorders>
                    <w:tl2br w:val="nil"/>
                    <w:tr2bl w:val="nil"/>
                  </w:tcBorders>
                  <w:vAlign w:val="center"/>
                </w:tcPr>
                <w:p w14:paraId="5D5B0246">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类别</w:t>
                  </w:r>
                </w:p>
              </w:tc>
              <w:tc>
                <w:tcPr>
                  <w:tcW w:w="2186" w:type="pct"/>
                  <w:tcBorders>
                    <w:tl2br w:val="nil"/>
                    <w:tr2bl w:val="nil"/>
                  </w:tcBorders>
                  <w:vAlign w:val="center"/>
                </w:tcPr>
                <w:p w14:paraId="07732C19">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1667" w:type="pct"/>
                  <w:tcBorders>
                    <w:tl2br w:val="nil"/>
                    <w:tr2bl w:val="nil"/>
                  </w:tcBorders>
                  <w:vAlign w:val="center"/>
                </w:tcPr>
                <w:p w14:paraId="686F6770">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14:paraId="77F85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1147" w:type="pct"/>
                  <w:tcBorders>
                    <w:tl2br w:val="nil"/>
                    <w:tr2bl w:val="nil"/>
                  </w:tcBorders>
                  <w:vAlign w:val="center"/>
                </w:tcPr>
                <w:p w14:paraId="7581A289">
                  <w:pPr>
                    <w:spacing w:line="240" w:lineRule="auto"/>
                    <w:ind w:firstLine="0" w:firstLineChars="0"/>
                    <w:contextualSpacing/>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类</w:t>
                  </w:r>
                </w:p>
              </w:tc>
              <w:tc>
                <w:tcPr>
                  <w:tcW w:w="2186" w:type="pct"/>
                  <w:tcBorders>
                    <w:tl2br w:val="nil"/>
                    <w:tr2bl w:val="nil"/>
                  </w:tcBorders>
                  <w:vAlign w:val="center"/>
                </w:tcPr>
                <w:p w14:paraId="09455922">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65</w:t>
                  </w:r>
                </w:p>
              </w:tc>
              <w:tc>
                <w:tcPr>
                  <w:tcW w:w="1667" w:type="pct"/>
                  <w:tcBorders>
                    <w:tl2br w:val="nil"/>
                    <w:tr2bl w:val="nil"/>
                  </w:tcBorders>
                  <w:vAlign w:val="center"/>
                </w:tcPr>
                <w:p w14:paraId="44792E77">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55</w:t>
                  </w:r>
                </w:p>
              </w:tc>
            </w:tr>
          </w:tbl>
          <w:p w14:paraId="0E671F6E">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4、固体废物</w:t>
            </w:r>
          </w:p>
          <w:p w14:paraId="252D84B9">
            <w:pPr>
              <w:ind w:firstLine="480"/>
              <w:rPr>
                <w:color w:val="000000" w:themeColor="text1"/>
                <w14:textFill>
                  <w14:solidFill>
                    <w14:schemeClr w14:val="tx1"/>
                  </w14:solidFill>
                </w14:textFill>
              </w:rPr>
            </w:pPr>
            <w:r>
              <w:rPr>
                <w:rFonts w:hint="eastAsia"/>
              </w:rPr>
              <w:t>危险废物执行《危险废物贮存污染控制标准》（GB18597-2023）。</w:t>
            </w:r>
          </w:p>
        </w:tc>
      </w:tr>
      <w:tr w14:paraId="63801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0" w:hRule="atLeast"/>
          <w:jc w:val="center"/>
        </w:trPr>
        <w:tc>
          <w:tcPr>
            <w:tcW w:w="445" w:type="pct"/>
            <w:vAlign w:val="center"/>
          </w:tcPr>
          <w:p w14:paraId="40AD0422">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总量</w:t>
            </w:r>
          </w:p>
          <w:p w14:paraId="48846943">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控制</w:t>
            </w:r>
          </w:p>
          <w:p w14:paraId="1AC7122C">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指标</w:t>
            </w:r>
          </w:p>
        </w:tc>
        <w:tc>
          <w:tcPr>
            <w:tcW w:w="4555" w:type="pct"/>
          </w:tcPr>
          <w:p w14:paraId="6210EBDD">
            <w:pPr>
              <w:widowControl/>
              <w:ind w:firstLine="480"/>
              <w:rPr>
                <w:rFonts w:cs="Times New Roman"/>
                <w:color w:val="000000" w:themeColor="text1"/>
                <w:sz w:val="25"/>
                <w:szCs w:val="25"/>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根据《“十四五”污染减排综合工作方案编制技术指南》，国家实施总量控制的污染物指标有大气污染物：</w:t>
            </w:r>
            <w:r>
              <w:rPr>
                <w:color w:val="000000" w:themeColor="text1"/>
                <w:kern w:val="0"/>
                <w:lang w:bidi="ar"/>
                <w14:textFill>
                  <w14:solidFill>
                    <w14:schemeClr w14:val="tx1"/>
                  </w14:solidFill>
                </w14:textFill>
              </w:rPr>
              <w:t>NOx</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VOCs</w:t>
            </w:r>
            <w:r>
              <w:rPr>
                <w:rFonts w:hint="eastAsia" w:ascii="宋体" w:hAnsi="宋体" w:cs="宋体"/>
                <w:color w:val="000000" w:themeColor="text1"/>
                <w:kern w:val="0"/>
                <w:lang w:bidi="ar"/>
                <w14:textFill>
                  <w14:solidFill>
                    <w14:schemeClr w14:val="tx1"/>
                  </w14:solidFill>
                </w14:textFill>
              </w:rPr>
              <w:t>；水污染物：</w:t>
            </w:r>
            <w:r>
              <w:rPr>
                <w:color w:val="000000" w:themeColor="text1"/>
                <w:kern w:val="0"/>
                <w:lang w:bidi="ar"/>
                <w14:textFill>
                  <w14:solidFill>
                    <w14:schemeClr w14:val="tx1"/>
                  </w14:solidFill>
                </w14:textFill>
              </w:rPr>
              <w:t>COD</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NH</w:t>
            </w:r>
            <w:r>
              <w:rPr>
                <w:rFonts w:hint="eastAsia"/>
                <w:color w:val="000000" w:themeColor="text1"/>
                <w:kern w:val="0"/>
                <w:vertAlign w:val="subscript"/>
                <w:lang w:bidi="ar"/>
                <w14:textFill>
                  <w14:solidFill>
                    <w14:schemeClr w14:val="tx1"/>
                  </w14:solidFill>
                </w14:textFill>
              </w:rPr>
              <w:t>3</w:t>
            </w:r>
            <w:r>
              <w:rPr>
                <w:color w:val="000000" w:themeColor="text1"/>
                <w:kern w:val="0"/>
                <w:lang w:bidi="ar"/>
                <w14:textFill>
                  <w14:solidFill>
                    <w14:schemeClr w14:val="tx1"/>
                  </w14:solidFill>
                </w14:textFill>
              </w:rPr>
              <w:t>-N</w:t>
            </w:r>
            <w:r>
              <w:rPr>
                <w:rFonts w:cs="Times New Roman"/>
                <w:color w:val="000000" w:themeColor="text1"/>
                <w:sz w:val="25"/>
                <w:szCs w:val="25"/>
                <w14:textFill>
                  <w14:solidFill>
                    <w14:schemeClr w14:val="tx1"/>
                  </w14:solidFill>
                </w14:textFill>
              </w:rPr>
              <w:t>。</w:t>
            </w:r>
          </w:p>
          <w:p w14:paraId="3E355ADF">
            <w:pPr>
              <w:ind w:firstLine="500"/>
              <w:rPr>
                <w:rFonts w:cs="Times New Roman"/>
                <w:color w:val="000000" w:themeColor="text1"/>
                <w:sz w:val="25"/>
                <w:szCs w:val="25"/>
                <w14:textFill>
                  <w14:solidFill>
                    <w14:schemeClr w14:val="tx1"/>
                  </w14:solidFill>
                </w14:textFill>
              </w:rPr>
            </w:pPr>
            <w:r>
              <w:rPr>
                <w:rFonts w:hint="eastAsia" w:cs="Times New Roman"/>
                <w:color w:val="000000" w:themeColor="text1"/>
                <w:sz w:val="25"/>
                <w:szCs w:val="25"/>
                <w14:textFill>
                  <w14:solidFill>
                    <w14:schemeClr w14:val="tx1"/>
                  </w14:solidFill>
                </w14:textFill>
              </w:rPr>
              <w:t>根据本报告项目分析可知，本项目运营期外排废气主要为液化气废气排放量很小且非连续性排放。同时，项目场地开阔，自然通风条件良好，随着空气流动很快被稀释。因此，本报告建议不设置废气污染物总量控制指标。</w:t>
            </w:r>
          </w:p>
          <w:p w14:paraId="1FEBF1D5">
            <w:pPr>
              <w:ind w:firstLine="480"/>
              <w:rPr>
                <w:color w:val="000000" w:themeColor="text1"/>
                <w14:textFill>
                  <w14:solidFill>
                    <w14:schemeClr w14:val="tx1"/>
                  </w14:solidFill>
                </w14:textFill>
              </w:rPr>
            </w:pPr>
            <w:r>
              <w:rPr>
                <w:rFonts w:hint="eastAsia"/>
              </w:rPr>
              <w:t>项目运营期生活污水经化粪池预处理后由吸污车拉运至和静县污水处理厂处理</w:t>
            </w:r>
            <w:r>
              <w:rPr>
                <w:rFonts w:hint="eastAsia"/>
                <w:color w:val="000000" w:themeColor="text1"/>
                <w14:textFill>
                  <w14:solidFill>
                    <w14:schemeClr w14:val="tx1"/>
                  </w14:solidFill>
                </w14:textFill>
              </w:rPr>
              <w:t>。不需要申请总量。</w:t>
            </w:r>
          </w:p>
          <w:p w14:paraId="39A94388">
            <w:pPr>
              <w:ind w:firstLine="480"/>
              <w:rPr>
                <w:color w:val="000000" w:themeColor="text1"/>
                <w14:textFill>
                  <w14:solidFill>
                    <w14:schemeClr w14:val="tx1"/>
                  </w14:solidFill>
                </w14:textFill>
              </w:rPr>
            </w:pPr>
          </w:p>
          <w:p w14:paraId="2D90995D">
            <w:pPr>
              <w:adjustRightInd w:val="0"/>
              <w:snapToGrid w:val="0"/>
              <w:spacing w:line="500" w:lineRule="exact"/>
              <w:ind w:firstLine="500"/>
              <w:rPr>
                <w:rFonts w:cs="Times New Roman"/>
                <w:color w:val="000000" w:themeColor="text1"/>
                <w:sz w:val="25"/>
                <w:szCs w:val="25"/>
                <w14:textFill>
                  <w14:solidFill>
                    <w14:schemeClr w14:val="tx1"/>
                  </w14:solidFill>
                </w14:textFill>
              </w:rPr>
            </w:pPr>
          </w:p>
          <w:p w14:paraId="1F586046">
            <w:pPr>
              <w:ind w:firstLine="480"/>
              <w:rPr>
                <w:color w:val="000000" w:themeColor="text1"/>
                <w14:textFill>
                  <w14:solidFill>
                    <w14:schemeClr w14:val="tx1"/>
                  </w14:solidFill>
                </w14:textFill>
              </w:rPr>
            </w:pPr>
          </w:p>
          <w:p w14:paraId="1C722EF4">
            <w:pPr>
              <w:pStyle w:val="24"/>
              <w:ind w:firstLine="0" w:firstLineChars="0"/>
            </w:pPr>
          </w:p>
          <w:p w14:paraId="010907B9">
            <w:pPr>
              <w:pStyle w:val="24"/>
              <w:ind w:firstLine="0" w:firstLineChars="0"/>
            </w:pPr>
          </w:p>
          <w:p w14:paraId="07013994">
            <w:pPr>
              <w:pStyle w:val="24"/>
              <w:ind w:firstLine="0" w:firstLineChars="0"/>
            </w:pPr>
          </w:p>
          <w:p w14:paraId="457906C1">
            <w:pPr>
              <w:pStyle w:val="24"/>
              <w:ind w:firstLine="0" w:firstLineChars="0"/>
            </w:pPr>
          </w:p>
          <w:p w14:paraId="34857C68">
            <w:pPr>
              <w:pStyle w:val="24"/>
              <w:ind w:firstLine="0" w:firstLineChars="0"/>
            </w:pPr>
          </w:p>
          <w:p w14:paraId="3A54F788">
            <w:pPr>
              <w:pStyle w:val="24"/>
              <w:ind w:firstLine="0" w:firstLineChars="0"/>
            </w:pPr>
          </w:p>
          <w:p w14:paraId="439121B4">
            <w:pPr>
              <w:pStyle w:val="24"/>
              <w:ind w:firstLine="0" w:firstLineChars="0"/>
            </w:pPr>
          </w:p>
          <w:p w14:paraId="76E73A5A">
            <w:pPr>
              <w:pStyle w:val="24"/>
              <w:ind w:firstLine="0" w:firstLineChars="0"/>
            </w:pPr>
          </w:p>
          <w:p w14:paraId="5DD9007C">
            <w:pPr>
              <w:pStyle w:val="24"/>
              <w:ind w:firstLine="0" w:firstLineChars="0"/>
            </w:pPr>
          </w:p>
          <w:p w14:paraId="2C18F4BD">
            <w:pPr>
              <w:pStyle w:val="24"/>
              <w:ind w:firstLine="0" w:firstLineChars="0"/>
            </w:pPr>
          </w:p>
        </w:tc>
      </w:tr>
    </w:tbl>
    <w:p w14:paraId="4342F930">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主要环境影响和保护措施</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
        <w:gridCol w:w="8922"/>
      </w:tblGrid>
      <w:tr w14:paraId="12DB0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8" w:hRule="atLeast"/>
          <w:jc w:val="center"/>
        </w:trPr>
        <w:tc>
          <w:tcPr>
            <w:tcW w:w="419" w:type="pct"/>
            <w:tcMar>
              <w:left w:w="28" w:type="dxa"/>
              <w:right w:w="28" w:type="dxa"/>
            </w:tcMar>
            <w:vAlign w:val="center"/>
          </w:tcPr>
          <w:p w14:paraId="7B5E7170">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施工</w:t>
            </w:r>
          </w:p>
          <w:p w14:paraId="7132CF12">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期环</w:t>
            </w:r>
          </w:p>
          <w:p w14:paraId="453EC945">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境保</w:t>
            </w:r>
          </w:p>
          <w:p w14:paraId="14BC2CEB">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护措</w:t>
            </w:r>
          </w:p>
          <w:p w14:paraId="1213E67A">
            <w:pPr>
              <w:widowControl/>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szCs w:val="24"/>
              </w:rPr>
              <w:t>施</w:t>
            </w:r>
          </w:p>
        </w:tc>
        <w:tc>
          <w:tcPr>
            <w:tcW w:w="4581" w:type="pct"/>
          </w:tcPr>
          <w:p w14:paraId="427807F6">
            <w:pPr>
              <w:ind w:firstLine="0" w:firstLineChars="0"/>
              <w:rPr>
                <w:b/>
                <w:bCs/>
                <w:snapToGrid w:val="0"/>
                <w:kern w:val="0"/>
              </w:rPr>
            </w:pPr>
            <w:r>
              <w:rPr>
                <w:rFonts w:hint="eastAsia"/>
                <w:b/>
                <w:bCs/>
                <w:snapToGrid w:val="0"/>
                <w:kern w:val="0"/>
              </w:rPr>
              <w:t>4</w:t>
            </w:r>
            <w:r>
              <w:rPr>
                <w:b/>
                <w:bCs/>
                <w:snapToGrid w:val="0"/>
                <w:kern w:val="0"/>
              </w:rPr>
              <w:t>.1</w:t>
            </w:r>
            <w:r>
              <w:rPr>
                <w:rFonts w:hint="eastAsia"/>
                <w:b/>
                <w:bCs/>
                <w:snapToGrid w:val="0"/>
                <w:kern w:val="0"/>
              </w:rPr>
              <w:t>施工期环境保护措施</w:t>
            </w:r>
          </w:p>
          <w:p w14:paraId="7BAC0F7C">
            <w:pPr>
              <w:ind w:firstLine="480"/>
            </w:pPr>
            <w:r>
              <w:rPr>
                <w:rFonts w:hint="eastAsia"/>
                <w:snapToGrid w:val="0"/>
                <w:kern w:val="0"/>
              </w:rPr>
              <w:t>项目</w:t>
            </w:r>
            <w:r>
              <w:rPr>
                <w:rFonts w:hint="eastAsia" w:cs="Times New Roman"/>
                <w:bCs/>
                <w:szCs w:val="24"/>
              </w:rPr>
              <w:t>埋地储罐区、充装车间、工业气体瓶库</w:t>
            </w:r>
            <w:r>
              <w:rPr>
                <w:rFonts w:hint="eastAsia"/>
                <w:snapToGrid w:val="0"/>
                <w:kern w:val="0"/>
              </w:rPr>
              <w:t>等工程已建设完成，施工期已结束，根据建设单位提供资料与调查分析，项目施工期间严格落实环境保护措施，施工期未遗留环境问题，未出现环境保护投诉问题，也未对环境造成重大影响。</w:t>
            </w:r>
          </w:p>
        </w:tc>
      </w:tr>
      <w:tr w14:paraId="16E2F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04" w:hRule="atLeast"/>
          <w:jc w:val="center"/>
        </w:trPr>
        <w:tc>
          <w:tcPr>
            <w:tcW w:w="419" w:type="pct"/>
            <w:tcMar>
              <w:left w:w="28" w:type="dxa"/>
              <w:right w:w="28" w:type="dxa"/>
            </w:tcMar>
            <w:vAlign w:val="center"/>
          </w:tcPr>
          <w:p w14:paraId="7828CD5F">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运营</w:t>
            </w:r>
          </w:p>
          <w:p w14:paraId="505BBBEF">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期环</w:t>
            </w:r>
          </w:p>
          <w:p w14:paraId="6A459491">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境影</w:t>
            </w:r>
          </w:p>
          <w:p w14:paraId="0A61693A">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响和</w:t>
            </w:r>
          </w:p>
          <w:p w14:paraId="560E94C9">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保护</w:t>
            </w:r>
          </w:p>
          <w:p w14:paraId="086EBE23">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措施</w:t>
            </w:r>
          </w:p>
        </w:tc>
        <w:tc>
          <w:tcPr>
            <w:tcW w:w="4581" w:type="pct"/>
          </w:tcPr>
          <w:p w14:paraId="1B80F366">
            <w:pPr>
              <w:pStyle w:val="3"/>
            </w:pPr>
            <w:r>
              <w:rPr>
                <w:rFonts w:hint="eastAsia"/>
              </w:rPr>
              <w:t>4</w:t>
            </w:r>
            <w:r>
              <w:t>.2</w:t>
            </w:r>
            <w:r>
              <w:rPr>
                <w:rFonts w:hint="eastAsia"/>
              </w:rPr>
              <w:t>运营期环境影响和保护措施</w:t>
            </w:r>
          </w:p>
          <w:p w14:paraId="3D0649C0">
            <w:pPr>
              <w:pStyle w:val="3"/>
            </w:pPr>
            <w:r>
              <w:t>4.2.1</w:t>
            </w:r>
            <w:r>
              <w:rPr>
                <w:rFonts w:hint="eastAsia"/>
              </w:rPr>
              <w:t>大气环境影响分析及保护措施</w:t>
            </w:r>
          </w:p>
          <w:p w14:paraId="35481F58">
            <w:pPr>
              <w:ind w:firstLine="0" w:firstLineChars="0"/>
              <w:rPr>
                <w:b/>
                <w:bCs/>
              </w:rPr>
            </w:pPr>
            <w:r>
              <w:rPr>
                <w:rFonts w:hint="eastAsia"/>
                <w:b/>
                <w:bCs/>
              </w:rPr>
              <w:t>4</w:t>
            </w:r>
            <w:r>
              <w:rPr>
                <w:b/>
                <w:bCs/>
              </w:rPr>
              <w:t>.2.1.1</w:t>
            </w:r>
            <w:r>
              <w:rPr>
                <w:rFonts w:hint="eastAsia"/>
                <w:b/>
                <w:bCs/>
              </w:rPr>
              <w:t>废气源强分析</w:t>
            </w:r>
          </w:p>
          <w:p w14:paraId="0524D365">
            <w:pPr>
              <w:ind w:firstLine="480"/>
              <w:rPr>
                <w:rFonts w:cs="Times New Roman"/>
                <w:bCs/>
                <w:szCs w:val="24"/>
              </w:rPr>
            </w:pPr>
            <w:r>
              <w:rPr>
                <w:rFonts w:hint="eastAsia" w:cs="Times New Roman"/>
                <w:bCs/>
                <w:szCs w:val="24"/>
              </w:rPr>
              <w:t>本项目所用储罐均为全压力式卧式储罐，设计压力为1.77MPa，属于压力容器。由于其在密闭高压状态下运行，不设呼吸阀，不涉及“大呼吸”和“小呼吸”现象。</w:t>
            </w:r>
          </w:p>
          <w:p w14:paraId="056E1EB0">
            <w:pPr>
              <w:ind w:firstLine="480"/>
              <w:rPr>
                <w:rFonts w:cs="Times New Roman"/>
                <w:bCs/>
                <w:szCs w:val="24"/>
              </w:rPr>
            </w:pPr>
            <w:r>
              <w:rPr>
                <w:rFonts w:hint="eastAsia" w:cs="Times New Roman"/>
                <w:bCs/>
                <w:szCs w:val="24"/>
              </w:rPr>
              <w:t xml:space="preserve"> 气瓶库储存乙炔、氧气、二氧化碳钢瓶，仅用于外售，不涉及充装作业，因此不产生大气污染物排放。</w:t>
            </w:r>
          </w:p>
          <w:p w14:paraId="5B985F1A">
            <w:pPr>
              <w:ind w:firstLine="480"/>
              <w:rPr>
                <w:rFonts w:cs="Times New Roman"/>
                <w:bCs/>
                <w:szCs w:val="24"/>
              </w:rPr>
            </w:pPr>
            <w:r>
              <w:rPr>
                <w:rFonts w:hint="eastAsia" w:cs="Times New Roman"/>
                <w:bCs/>
                <w:szCs w:val="24"/>
              </w:rPr>
              <w:t>运营期主要的大气污染物来自槽车装卸料和液化气灌装过程。</w:t>
            </w:r>
          </w:p>
          <w:p w14:paraId="06E4CE17">
            <w:pPr>
              <w:ind w:firstLine="480"/>
              <w:rPr>
                <w:rFonts w:cs="Times New Roman"/>
                <w:bCs/>
                <w:szCs w:val="24"/>
              </w:rPr>
            </w:pPr>
            <w:r>
              <w:rPr>
                <w:rFonts w:hint="eastAsia" w:cs="Times New Roman"/>
                <w:bCs/>
                <w:szCs w:val="24"/>
              </w:rPr>
              <w:t>在液化气卸车和灌装输气过程中，管道采用密闭连接，一般不会发生泄漏，但在管道连接与断开瞬间会有少量气体逸出，主要污染物为非甲烷总烃。</w:t>
            </w:r>
          </w:p>
          <w:p w14:paraId="12C2FC5C">
            <w:pPr>
              <w:ind w:firstLine="480"/>
              <w:rPr>
                <w:rFonts w:cs="Times New Roman"/>
                <w:bCs/>
                <w:szCs w:val="24"/>
              </w:rPr>
            </w:pPr>
            <w:r>
              <w:rPr>
                <w:rFonts w:hint="eastAsia" w:cs="Times New Roman"/>
                <w:bCs/>
                <w:szCs w:val="24"/>
              </w:rPr>
              <w:t>槽车卸液和气体充装过程目前缺乏可靠的实测数据，本次环评通过类比同类型项目，确定充装过程气体逸散系数为0.01%，具体见下表。</w:t>
            </w:r>
          </w:p>
          <w:p w14:paraId="5D580B25">
            <w:pPr>
              <w:spacing w:before="163" w:beforeLines="50" w:line="240" w:lineRule="auto"/>
              <w:ind w:firstLine="0" w:firstLineChars="0"/>
              <w:jc w:val="center"/>
              <w:rPr>
                <w:b/>
                <w:color w:val="000000"/>
                <w:sz w:val="21"/>
              </w:rPr>
            </w:pPr>
            <w:r>
              <w:rPr>
                <w:rFonts w:hint="eastAsia"/>
                <w:b/>
                <w:color w:val="000000"/>
                <w:sz w:val="21"/>
              </w:rPr>
              <w:t>表4</w:t>
            </w:r>
            <w:r>
              <w:rPr>
                <w:b/>
                <w:color w:val="000000"/>
                <w:sz w:val="21"/>
              </w:rPr>
              <w:t xml:space="preserve">-1  </w:t>
            </w:r>
            <w:r>
              <w:rPr>
                <w:rFonts w:hint="eastAsia"/>
                <w:b/>
                <w:color w:val="000000"/>
                <w:sz w:val="21"/>
              </w:rPr>
              <w:t>充装过程气体逸散系数类比分析表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66"/>
              <w:gridCol w:w="2610"/>
            </w:tblGrid>
            <w:tr w14:paraId="705C7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3496" w:type="pct"/>
                  <w:vAlign w:val="center"/>
                </w:tcPr>
                <w:p w14:paraId="15B06D5A">
                  <w:pPr>
                    <w:spacing w:line="240" w:lineRule="auto"/>
                    <w:ind w:firstLine="0" w:firstLineChars="0"/>
                    <w:contextualSpacing/>
                    <w:jc w:val="center"/>
                    <w:rPr>
                      <w:color w:val="000000"/>
                      <w:sz w:val="21"/>
                    </w:rPr>
                  </w:pPr>
                  <w:r>
                    <w:rPr>
                      <w:rFonts w:hint="eastAsia"/>
                      <w:color w:val="000000"/>
                      <w:sz w:val="21"/>
                    </w:rPr>
                    <w:t>项目名称</w:t>
                  </w:r>
                </w:p>
              </w:tc>
              <w:tc>
                <w:tcPr>
                  <w:tcW w:w="1504" w:type="pct"/>
                  <w:vAlign w:val="center"/>
                </w:tcPr>
                <w:p w14:paraId="2C5FC02E">
                  <w:pPr>
                    <w:spacing w:line="240" w:lineRule="auto"/>
                    <w:ind w:firstLine="0" w:firstLineChars="0"/>
                    <w:contextualSpacing/>
                    <w:jc w:val="center"/>
                    <w:rPr>
                      <w:color w:val="000000"/>
                      <w:sz w:val="21"/>
                    </w:rPr>
                  </w:pPr>
                  <w:r>
                    <w:rPr>
                      <w:rFonts w:hint="eastAsia"/>
                      <w:color w:val="000000"/>
                      <w:sz w:val="21"/>
                    </w:rPr>
                    <w:t>充装过程气体逸散系数</w:t>
                  </w:r>
                </w:p>
              </w:tc>
            </w:tr>
            <w:tr w14:paraId="24962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3496" w:type="pct"/>
                  <w:vAlign w:val="center"/>
                </w:tcPr>
                <w:p w14:paraId="2761598B">
                  <w:pPr>
                    <w:spacing w:line="240" w:lineRule="auto"/>
                    <w:ind w:firstLine="0" w:firstLineChars="0"/>
                    <w:contextualSpacing/>
                    <w:jc w:val="center"/>
                    <w:rPr>
                      <w:color w:val="000000"/>
                      <w:sz w:val="21"/>
                    </w:rPr>
                  </w:pPr>
                  <w:r>
                    <w:rPr>
                      <w:rFonts w:hint="eastAsia"/>
                      <w:color w:val="000000"/>
                      <w:sz w:val="21"/>
                    </w:rPr>
                    <w:t>《奎屯山海云天商贸有限公司工业气体充装项目环境影响报告书》</w:t>
                  </w:r>
                </w:p>
              </w:tc>
              <w:tc>
                <w:tcPr>
                  <w:tcW w:w="1504" w:type="pct"/>
                  <w:vAlign w:val="center"/>
                </w:tcPr>
                <w:p w14:paraId="5CB4F133">
                  <w:pPr>
                    <w:spacing w:line="240" w:lineRule="auto"/>
                    <w:ind w:firstLine="0" w:firstLineChars="0"/>
                    <w:contextualSpacing/>
                    <w:jc w:val="center"/>
                    <w:rPr>
                      <w:color w:val="000000"/>
                      <w:sz w:val="21"/>
                    </w:rPr>
                  </w:pPr>
                  <w:r>
                    <w:rPr>
                      <w:rFonts w:hint="eastAsia"/>
                      <w:color w:val="000000"/>
                      <w:sz w:val="21"/>
                    </w:rPr>
                    <w:t>0.008%</w:t>
                  </w:r>
                </w:p>
              </w:tc>
            </w:tr>
            <w:tr w14:paraId="0628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96" w:type="pct"/>
                  <w:vAlign w:val="center"/>
                </w:tcPr>
                <w:p w14:paraId="30048FDC">
                  <w:pPr>
                    <w:spacing w:line="240" w:lineRule="auto"/>
                    <w:ind w:firstLine="0" w:firstLineChars="0"/>
                    <w:contextualSpacing/>
                    <w:jc w:val="center"/>
                    <w:rPr>
                      <w:color w:val="000000"/>
                      <w:sz w:val="21"/>
                    </w:rPr>
                  </w:pPr>
                  <w:r>
                    <w:rPr>
                      <w:rFonts w:hint="eastAsia"/>
                      <w:color w:val="000000"/>
                      <w:sz w:val="21"/>
                    </w:rPr>
                    <w:t>《合肥正帆电子材料有限公司三期年产1260万立方氢气及30万瓶罐装特种气体项目环境影响报告书》</w:t>
                  </w:r>
                </w:p>
              </w:tc>
              <w:tc>
                <w:tcPr>
                  <w:tcW w:w="1504" w:type="pct"/>
                  <w:vAlign w:val="center"/>
                </w:tcPr>
                <w:p w14:paraId="3A0FAB36">
                  <w:pPr>
                    <w:spacing w:line="240" w:lineRule="auto"/>
                    <w:ind w:firstLine="0" w:firstLineChars="0"/>
                    <w:contextualSpacing/>
                    <w:jc w:val="center"/>
                    <w:rPr>
                      <w:color w:val="000000"/>
                      <w:sz w:val="21"/>
                    </w:rPr>
                  </w:pPr>
                  <w:r>
                    <w:rPr>
                      <w:rFonts w:hint="eastAsia"/>
                      <w:color w:val="000000"/>
                      <w:sz w:val="21"/>
                    </w:rPr>
                    <w:t>0.01%</w:t>
                  </w:r>
                </w:p>
              </w:tc>
            </w:tr>
            <w:tr w14:paraId="4CFF8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96" w:type="pct"/>
                  <w:vAlign w:val="center"/>
                </w:tcPr>
                <w:p w14:paraId="492BF443">
                  <w:pPr>
                    <w:spacing w:line="240" w:lineRule="auto"/>
                    <w:ind w:firstLine="0" w:firstLineChars="0"/>
                    <w:contextualSpacing/>
                    <w:jc w:val="center"/>
                    <w:rPr>
                      <w:color w:val="000000"/>
                      <w:sz w:val="21"/>
                    </w:rPr>
                  </w:pPr>
                  <w:r>
                    <w:rPr>
                      <w:rFonts w:hint="eastAsia"/>
                      <w:color w:val="000000"/>
                      <w:sz w:val="21"/>
                    </w:rPr>
                    <w:t>《雅安市盛安气体有限责任公司石棉县液化石油气、丙烷及压缩气体充装站建设项目环境影响报告表》</w:t>
                  </w:r>
                </w:p>
              </w:tc>
              <w:tc>
                <w:tcPr>
                  <w:tcW w:w="1504" w:type="pct"/>
                  <w:vAlign w:val="center"/>
                </w:tcPr>
                <w:p w14:paraId="36469644">
                  <w:pPr>
                    <w:spacing w:line="240" w:lineRule="auto"/>
                    <w:ind w:firstLine="0" w:firstLineChars="0"/>
                    <w:contextualSpacing/>
                    <w:jc w:val="center"/>
                    <w:rPr>
                      <w:color w:val="000000"/>
                      <w:sz w:val="21"/>
                    </w:rPr>
                  </w:pPr>
                  <w:r>
                    <w:rPr>
                      <w:rFonts w:hint="eastAsia"/>
                      <w:color w:val="000000"/>
                      <w:sz w:val="21"/>
                    </w:rPr>
                    <w:t>0.01%</w:t>
                  </w:r>
                </w:p>
              </w:tc>
            </w:tr>
            <w:tr w14:paraId="1B922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96" w:type="pct"/>
                  <w:vAlign w:val="center"/>
                </w:tcPr>
                <w:p w14:paraId="01C73271">
                  <w:pPr>
                    <w:spacing w:line="240" w:lineRule="auto"/>
                    <w:ind w:firstLine="0" w:firstLineChars="0"/>
                    <w:contextualSpacing/>
                    <w:jc w:val="center"/>
                    <w:rPr>
                      <w:color w:val="000000"/>
                      <w:sz w:val="21"/>
                    </w:rPr>
                  </w:pPr>
                  <w:r>
                    <w:rPr>
                      <w:rFonts w:hint="eastAsia"/>
                      <w:color w:val="000000"/>
                      <w:sz w:val="21"/>
                    </w:rPr>
                    <w:t>本项目取值</w:t>
                  </w:r>
                </w:p>
              </w:tc>
              <w:tc>
                <w:tcPr>
                  <w:tcW w:w="1504" w:type="pct"/>
                  <w:vAlign w:val="center"/>
                </w:tcPr>
                <w:p w14:paraId="51E6BA9E">
                  <w:pPr>
                    <w:spacing w:line="240" w:lineRule="auto"/>
                    <w:ind w:firstLine="0" w:firstLineChars="0"/>
                    <w:contextualSpacing/>
                    <w:jc w:val="center"/>
                    <w:rPr>
                      <w:color w:val="000000"/>
                      <w:sz w:val="21"/>
                    </w:rPr>
                  </w:pPr>
                  <w:r>
                    <w:rPr>
                      <w:rFonts w:hint="eastAsia"/>
                      <w:color w:val="000000"/>
                      <w:sz w:val="21"/>
                    </w:rPr>
                    <w:t>0.01%</w:t>
                  </w:r>
                </w:p>
              </w:tc>
            </w:tr>
          </w:tbl>
          <w:p w14:paraId="51070901">
            <w:pPr>
              <w:ind w:firstLine="480"/>
            </w:pPr>
            <w:r>
              <w:rPr>
                <w:rFonts w:cs="Times New Roman"/>
                <w:bCs/>
                <w:szCs w:val="24"/>
              </w:rPr>
              <w:t>项</w:t>
            </w:r>
            <w:r>
              <w:rPr>
                <w:rFonts w:cs="Times New Roman"/>
              </w:rPr>
              <w:t>目年销售丁烷和丙烷共2000t，经计算本项目卸液及充装过程产生的有机废气量为2000×0.01%=0.2t/a</w:t>
            </w:r>
            <w:r>
              <w:rPr>
                <w:rFonts w:hint="eastAsia"/>
              </w:rPr>
              <w:t>，即0</w:t>
            </w:r>
            <w:r>
              <w:t>.069</w:t>
            </w:r>
            <w:r>
              <w:rPr>
                <w:rFonts w:hint="eastAsia"/>
              </w:rPr>
              <w:t>kg</w:t>
            </w:r>
            <w:r>
              <w:t>/</w:t>
            </w:r>
            <w:r>
              <w:rPr>
                <w:rFonts w:hint="eastAsia"/>
              </w:rPr>
              <w:t>h，以非甲烷总烃（</w:t>
            </w:r>
            <w:r>
              <w:t>NMHC</w:t>
            </w:r>
            <w:r>
              <w:rPr>
                <w:rFonts w:hint="eastAsia"/>
              </w:rPr>
              <w:t>）计。</w:t>
            </w:r>
          </w:p>
          <w:p w14:paraId="15F14A13">
            <w:pPr>
              <w:ind w:firstLine="480"/>
              <w:rPr>
                <w:rFonts w:cs="Times New Roman"/>
                <w:bCs/>
                <w:szCs w:val="24"/>
              </w:rPr>
            </w:pPr>
            <w:r>
              <w:rPr>
                <w:rFonts w:hint="eastAsia"/>
              </w:rPr>
              <w:t>由于</w:t>
            </w:r>
            <w:r>
              <w:rPr>
                <w:rFonts w:hint="eastAsia" w:cs="Times New Roman"/>
                <w:bCs/>
                <w:szCs w:val="24"/>
              </w:rPr>
              <w:t>充装过程中，管道连接断开瞬间只有少量的气体逸出，项目区自然通风条件良好，产生的气体经无组织排放瞬时挥发，随着空气流动很快被稀释。因此，通过尽量控制减少气体溢出量以及加强项目区自然通风，充装过程中产生的异味不会对周围环境产生影响。</w:t>
            </w:r>
          </w:p>
          <w:p w14:paraId="64B38528">
            <w:pPr>
              <w:ind w:firstLine="0" w:firstLineChars="0"/>
              <w:rPr>
                <w:b/>
                <w:bCs/>
              </w:rPr>
            </w:pPr>
            <w:r>
              <w:rPr>
                <w:rFonts w:hint="eastAsia"/>
                <w:b/>
                <w:bCs/>
              </w:rPr>
              <w:t>4.2.1.</w:t>
            </w:r>
            <w:r>
              <w:rPr>
                <w:b/>
                <w:bCs/>
              </w:rPr>
              <w:t>2</w:t>
            </w:r>
            <w:r>
              <w:rPr>
                <w:rFonts w:hint="eastAsia"/>
                <w:b/>
                <w:bCs/>
              </w:rPr>
              <w:t>大气污染防治措施</w:t>
            </w:r>
          </w:p>
          <w:p w14:paraId="56082998">
            <w:pPr>
              <w:ind w:firstLine="480"/>
            </w:pPr>
            <w:r>
              <w:rPr>
                <w:rFonts w:hint="eastAsia"/>
              </w:rPr>
              <w:t>（1）采用密闭充装。</w:t>
            </w:r>
          </w:p>
          <w:p w14:paraId="123092CC">
            <w:pPr>
              <w:ind w:firstLine="480"/>
            </w:pPr>
            <w:r>
              <w:rPr>
                <w:rFonts w:hint="eastAsia"/>
              </w:rPr>
              <w:t>（2）车间设置通风排气换气设施。</w:t>
            </w:r>
          </w:p>
          <w:p w14:paraId="6C7C6922">
            <w:pPr>
              <w:ind w:firstLine="480"/>
            </w:pPr>
            <w:r>
              <w:rPr>
                <w:rFonts w:hint="eastAsia"/>
              </w:rPr>
              <w:t>（3）充装车间和气体瓶库内安装可燃气体泄漏报警器。</w:t>
            </w:r>
          </w:p>
          <w:p w14:paraId="7BDA3310">
            <w:pPr>
              <w:ind w:firstLine="0" w:firstLineChars="0"/>
              <w:rPr>
                <w:b/>
                <w:bCs/>
              </w:rPr>
            </w:pPr>
            <w:r>
              <w:rPr>
                <w:rFonts w:hint="eastAsia"/>
                <w:b/>
                <w:bCs/>
              </w:rPr>
              <w:t>4.2.1.</w:t>
            </w:r>
            <w:r>
              <w:rPr>
                <w:b/>
                <w:bCs/>
              </w:rPr>
              <w:t>3</w:t>
            </w:r>
            <w:r>
              <w:rPr>
                <w:rFonts w:hint="eastAsia"/>
                <w:b/>
                <w:bCs/>
              </w:rPr>
              <w:t>大气污染防治措施可行性分析</w:t>
            </w:r>
          </w:p>
          <w:p w14:paraId="7CE5D46F">
            <w:pPr>
              <w:ind w:firstLine="480"/>
            </w:pPr>
            <w:r>
              <w:rPr>
                <w:rFonts w:hint="eastAsia"/>
              </w:rPr>
              <w:t>项目丙烷、丁烷设计采用密封性能优良的地埋储罐进行储存，该措施能有效抑制VOCs的挥发，防止其对大气环境造成显著影响。在充装过程中，通过设备与场所的密闭措施、使用先进工艺以及设置检漏报警装置，能够显著减少泄漏气体的产生。以上措施符合《重点行业挥发性有机物综合治理方案》要求，通过以上措施本项目厂界挥发性有机物（以非甲烷总烃计）浓度可以达到《挥发性有机物无组织排放控制标准》（GB37822-2019）限值。因此，本项目大气污染防治措施可行。</w:t>
            </w:r>
          </w:p>
          <w:p w14:paraId="1813AE9F">
            <w:pPr>
              <w:spacing w:line="440" w:lineRule="exact"/>
              <w:ind w:firstLine="0" w:firstLineChars="0"/>
              <w:jc w:val="left"/>
              <w:rPr>
                <w:b/>
                <w:bCs/>
              </w:rPr>
            </w:pPr>
            <w:r>
              <w:rPr>
                <w:b/>
                <w:bCs/>
              </w:rPr>
              <w:t>4.2.2废水</w:t>
            </w:r>
          </w:p>
          <w:p w14:paraId="461ECCD3">
            <w:pPr>
              <w:ind w:firstLine="480"/>
            </w:pPr>
            <w:r>
              <w:rPr>
                <w:rFonts w:hint="eastAsia"/>
              </w:rPr>
              <w:t>本项目产生的废水主要为生活污水。生活污水经化粪池预处理后由吸污车拉运至和静县污水处理厂处理。</w:t>
            </w:r>
          </w:p>
          <w:p w14:paraId="26A483EF">
            <w:pPr>
              <w:ind w:firstLine="480"/>
            </w:pPr>
            <w:r>
              <w:rPr>
                <w:rFonts w:hint="eastAsia"/>
                <w:color w:val="000000" w:themeColor="text1"/>
                <w14:textFill>
                  <w14:solidFill>
                    <w14:schemeClr w14:val="tx1"/>
                  </w14:solidFill>
                </w14:textFill>
              </w:rPr>
              <w:t>本项目运营期工作人员1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人，年工作3</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天，</w:t>
            </w:r>
            <w:r>
              <w:rPr>
                <w:rFonts w:hint="eastAsia"/>
              </w:rPr>
              <w:t>人员用水量按</w:t>
            </w:r>
            <w:r>
              <w:t>100</w:t>
            </w:r>
            <w:r>
              <w:rPr>
                <w:rFonts w:hint="eastAsia"/>
              </w:rPr>
              <w:t>L/人·d计，生活用水量为</w:t>
            </w:r>
            <w:r>
              <w:t>1.2</w:t>
            </w:r>
            <w:r>
              <w:rPr>
                <w:rFonts w:hint="eastAsia"/>
              </w:rPr>
              <w:t>m</w:t>
            </w:r>
            <w:r>
              <w:rPr>
                <w:rFonts w:hint="eastAsia"/>
                <w:vertAlign w:val="superscript"/>
              </w:rPr>
              <w:t>3</w:t>
            </w:r>
            <w:r>
              <w:rPr>
                <w:rFonts w:hint="eastAsia"/>
              </w:rPr>
              <w:t>/d，</w:t>
            </w:r>
            <w:r>
              <w:t>432</w:t>
            </w:r>
            <w:r>
              <w:rPr>
                <w:rFonts w:hint="eastAsia"/>
              </w:rPr>
              <w:t>m</w:t>
            </w:r>
            <w:r>
              <w:rPr>
                <w:rFonts w:hint="eastAsia"/>
                <w:vertAlign w:val="superscript"/>
              </w:rPr>
              <w:t>3</w:t>
            </w:r>
            <w:r>
              <w:rPr>
                <w:rFonts w:hint="eastAsia"/>
              </w:rPr>
              <w:t>/a。污水产生量按照产生系数0.8计，则生活污水排放量为</w:t>
            </w:r>
            <w:r>
              <w:t>0.96</w:t>
            </w:r>
            <w:r>
              <w:rPr>
                <w:rFonts w:hint="eastAsia"/>
              </w:rPr>
              <w:t>m</w:t>
            </w:r>
            <w:r>
              <w:rPr>
                <w:rFonts w:hint="eastAsia"/>
                <w:vertAlign w:val="superscript"/>
              </w:rPr>
              <w:t>3</w:t>
            </w:r>
            <w:r>
              <w:rPr>
                <w:rFonts w:hint="eastAsia"/>
              </w:rPr>
              <w:t>/d，</w:t>
            </w:r>
            <w:r>
              <w:t>345.6</w:t>
            </w:r>
            <w:r>
              <w:rPr>
                <w:rFonts w:hint="eastAsia"/>
              </w:rPr>
              <w:t>m</w:t>
            </w:r>
            <w:r>
              <w:rPr>
                <w:rFonts w:hint="eastAsia"/>
                <w:vertAlign w:val="superscript"/>
              </w:rPr>
              <w:t>3</w:t>
            </w:r>
            <w:r>
              <w:rPr>
                <w:rFonts w:hint="eastAsia"/>
              </w:rPr>
              <w:t>/a。</w:t>
            </w:r>
          </w:p>
          <w:p w14:paraId="10663408">
            <w:pPr>
              <w:spacing w:line="240" w:lineRule="auto"/>
              <w:ind w:firstLine="0" w:firstLineChars="0"/>
              <w:jc w:val="center"/>
              <w:rPr>
                <w:rFonts w:eastAsia="Times New Roman" w:cs="Times New Roman"/>
                <w:b/>
                <w:bCs/>
                <w:sz w:val="21"/>
                <w:szCs w:val="21"/>
              </w:rPr>
            </w:pPr>
            <w:r>
              <w:rPr>
                <w:rFonts w:eastAsia="Times New Roman" w:cs="Times New Roman"/>
                <w:b/>
                <w:bCs/>
                <w:sz w:val="21"/>
                <w:szCs w:val="21"/>
              </w:rPr>
              <w:t>表4-2</w:t>
            </w:r>
            <w:r>
              <w:rPr>
                <w:rFonts w:cs="Times New Roman"/>
                <w:b/>
                <w:bCs/>
                <w:sz w:val="21"/>
                <w:szCs w:val="21"/>
              </w:rPr>
              <w:t xml:space="preserve"> </w:t>
            </w:r>
            <w:r>
              <w:rPr>
                <w:rFonts w:eastAsia="Times New Roman" w:cs="Times New Roman"/>
                <w:b/>
                <w:bCs/>
                <w:sz w:val="21"/>
                <w:szCs w:val="21"/>
              </w:rPr>
              <w:t xml:space="preserve"> 项目生活</w:t>
            </w:r>
            <w:r>
              <w:rPr>
                <w:rFonts w:hint="eastAsia" w:ascii="宋体" w:hAnsi="宋体" w:cs="宋体"/>
                <w:b/>
                <w:bCs/>
                <w:sz w:val="21"/>
                <w:szCs w:val="21"/>
              </w:rPr>
              <w:t>污</w:t>
            </w:r>
            <w:r>
              <w:rPr>
                <w:rFonts w:eastAsia="Times New Roman" w:cs="Times New Roman"/>
                <w:b/>
                <w:bCs/>
                <w:sz w:val="21"/>
                <w:szCs w:val="21"/>
              </w:rPr>
              <w:t>水产生及排放情况表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876"/>
              <w:gridCol w:w="1112"/>
              <w:gridCol w:w="1010"/>
              <w:gridCol w:w="1482"/>
              <w:gridCol w:w="864"/>
              <w:gridCol w:w="1164"/>
              <w:gridCol w:w="904"/>
              <w:gridCol w:w="710"/>
            </w:tblGrid>
            <w:tr w14:paraId="42DD3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 w:type="pct"/>
                  <w:vMerge w:val="restart"/>
                  <w:tcBorders>
                    <w:tl2br w:val="nil"/>
                    <w:tr2bl w:val="nil"/>
                  </w:tcBorders>
                  <w:vAlign w:val="center"/>
                </w:tcPr>
                <w:p w14:paraId="3BE6BFF8">
                  <w:pPr>
                    <w:pStyle w:val="80"/>
                  </w:pPr>
                  <w:r>
                    <w:t>污染源</w:t>
                  </w:r>
                </w:p>
              </w:tc>
              <w:tc>
                <w:tcPr>
                  <w:tcW w:w="505" w:type="pct"/>
                  <w:vMerge w:val="restart"/>
                  <w:tcBorders>
                    <w:tl2br w:val="nil"/>
                    <w:tr2bl w:val="nil"/>
                  </w:tcBorders>
                  <w:vAlign w:val="center"/>
                </w:tcPr>
                <w:p w14:paraId="1E5F5541">
                  <w:pPr>
                    <w:pStyle w:val="80"/>
                  </w:pPr>
                  <w:r>
                    <w:t>污染物</w:t>
                  </w:r>
                </w:p>
              </w:tc>
              <w:tc>
                <w:tcPr>
                  <w:tcW w:w="1223" w:type="pct"/>
                  <w:gridSpan w:val="2"/>
                  <w:tcBorders>
                    <w:tl2br w:val="nil"/>
                    <w:tr2bl w:val="nil"/>
                  </w:tcBorders>
                  <w:vAlign w:val="center"/>
                </w:tcPr>
                <w:p w14:paraId="4A564F04">
                  <w:pPr>
                    <w:pStyle w:val="80"/>
                  </w:pPr>
                  <w:r>
                    <w:t>进水</w:t>
                  </w:r>
                </w:p>
              </w:tc>
              <w:tc>
                <w:tcPr>
                  <w:tcW w:w="854" w:type="pct"/>
                  <w:vMerge w:val="restart"/>
                  <w:tcBorders>
                    <w:tl2br w:val="nil"/>
                    <w:tr2bl w:val="nil"/>
                  </w:tcBorders>
                  <w:vAlign w:val="center"/>
                </w:tcPr>
                <w:p w14:paraId="6C223354">
                  <w:pPr>
                    <w:pStyle w:val="80"/>
                  </w:pPr>
                  <w:r>
                    <w:t>治理措施</w:t>
                  </w:r>
                </w:p>
              </w:tc>
              <w:tc>
                <w:tcPr>
                  <w:tcW w:w="498" w:type="pct"/>
                  <w:vMerge w:val="restart"/>
                  <w:tcBorders>
                    <w:tl2br w:val="nil"/>
                    <w:tr2bl w:val="nil"/>
                  </w:tcBorders>
                  <w:vAlign w:val="center"/>
                </w:tcPr>
                <w:p w14:paraId="7718066A">
                  <w:pPr>
                    <w:pStyle w:val="80"/>
                  </w:pPr>
                  <w:r>
                    <w:t>去除</w:t>
                  </w:r>
                </w:p>
                <w:p w14:paraId="6FBAF5BC">
                  <w:pPr>
                    <w:pStyle w:val="80"/>
                  </w:pPr>
                  <w:r>
                    <w:t>效率（%）</w:t>
                  </w:r>
                </w:p>
              </w:tc>
              <w:tc>
                <w:tcPr>
                  <w:tcW w:w="1192" w:type="pct"/>
                  <w:gridSpan w:val="2"/>
                  <w:tcBorders>
                    <w:tl2br w:val="nil"/>
                    <w:tr2bl w:val="nil"/>
                  </w:tcBorders>
                  <w:vAlign w:val="center"/>
                </w:tcPr>
                <w:p w14:paraId="7272166B">
                  <w:pPr>
                    <w:pStyle w:val="80"/>
                  </w:pPr>
                  <w:r>
                    <w:t>排放</w:t>
                  </w:r>
                </w:p>
              </w:tc>
              <w:tc>
                <w:tcPr>
                  <w:tcW w:w="409" w:type="pct"/>
                  <w:vMerge w:val="restart"/>
                  <w:tcBorders>
                    <w:tl2br w:val="nil"/>
                    <w:tr2bl w:val="nil"/>
                  </w:tcBorders>
                  <w:vAlign w:val="center"/>
                </w:tcPr>
                <w:p w14:paraId="1DD30115">
                  <w:pPr>
                    <w:pStyle w:val="80"/>
                  </w:pPr>
                  <w:r>
                    <w:rPr>
                      <w:rFonts w:hint="eastAsia"/>
                    </w:rPr>
                    <w:t>是否为可行技术</w:t>
                  </w:r>
                </w:p>
              </w:tc>
            </w:tr>
            <w:tr w14:paraId="747DB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9" w:type="pct"/>
                  <w:vMerge w:val="continue"/>
                  <w:tcBorders>
                    <w:tl2br w:val="nil"/>
                    <w:tr2bl w:val="nil"/>
                  </w:tcBorders>
                  <w:vAlign w:val="center"/>
                </w:tcPr>
                <w:p w14:paraId="3CECEA69">
                  <w:pPr>
                    <w:pStyle w:val="80"/>
                  </w:pPr>
                </w:p>
              </w:tc>
              <w:tc>
                <w:tcPr>
                  <w:tcW w:w="505" w:type="pct"/>
                  <w:vMerge w:val="continue"/>
                  <w:tcBorders>
                    <w:tl2br w:val="nil"/>
                    <w:tr2bl w:val="nil"/>
                  </w:tcBorders>
                  <w:vAlign w:val="center"/>
                </w:tcPr>
                <w:p w14:paraId="67E990A3">
                  <w:pPr>
                    <w:pStyle w:val="80"/>
                  </w:pPr>
                </w:p>
              </w:tc>
              <w:tc>
                <w:tcPr>
                  <w:tcW w:w="641" w:type="pct"/>
                  <w:tcBorders>
                    <w:tl2br w:val="nil"/>
                    <w:tr2bl w:val="nil"/>
                  </w:tcBorders>
                  <w:vAlign w:val="center"/>
                </w:tcPr>
                <w:p w14:paraId="065EBCE6">
                  <w:pPr>
                    <w:pStyle w:val="80"/>
                  </w:pPr>
                  <w:r>
                    <w:t>浓度（mg/L）</w:t>
                  </w:r>
                </w:p>
              </w:tc>
              <w:tc>
                <w:tcPr>
                  <w:tcW w:w="582" w:type="pct"/>
                  <w:tcBorders>
                    <w:tl2br w:val="nil"/>
                    <w:tr2bl w:val="nil"/>
                  </w:tcBorders>
                  <w:vAlign w:val="center"/>
                </w:tcPr>
                <w:p w14:paraId="7B816472">
                  <w:pPr>
                    <w:pStyle w:val="80"/>
                  </w:pPr>
                  <w:r>
                    <w:rPr>
                      <w:rFonts w:hint="eastAsia"/>
                    </w:rPr>
                    <w:t>产生</w:t>
                  </w:r>
                  <w:r>
                    <w:t>量（t/a）</w:t>
                  </w:r>
                </w:p>
              </w:tc>
              <w:tc>
                <w:tcPr>
                  <w:tcW w:w="854" w:type="pct"/>
                  <w:vMerge w:val="continue"/>
                  <w:tcBorders>
                    <w:tl2br w:val="nil"/>
                    <w:tr2bl w:val="nil"/>
                  </w:tcBorders>
                  <w:vAlign w:val="center"/>
                </w:tcPr>
                <w:p w14:paraId="2DF75FA7">
                  <w:pPr>
                    <w:pStyle w:val="80"/>
                  </w:pPr>
                </w:p>
              </w:tc>
              <w:tc>
                <w:tcPr>
                  <w:tcW w:w="498" w:type="pct"/>
                  <w:vMerge w:val="continue"/>
                  <w:tcBorders>
                    <w:tl2br w:val="nil"/>
                    <w:tr2bl w:val="nil"/>
                  </w:tcBorders>
                  <w:vAlign w:val="center"/>
                </w:tcPr>
                <w:p w14:paraId="061D556D">
                  <w:pPr>
                    <w:pStyle w:val="80"/>
                  </w:pPr>
                </w:p>
              </w:tc>
              <w:tc>
                <w:tcPr>
                  <w:tcW w:w="671" w:type="pct"/>
                  <w:tcBorders>
                    <w:tl2br w:val="nil"/>
                    <w:tr2bl w:val="nil"/>
                  </w:tcBorders>
                  <w:vAlign w:val="center"/>
                </w:tcPr>
                <w:p w14:paraId="2E62DC37">
                  <w:pPr>
                    <w:pStyle w:val="80"/>
                  </w:pPr>
                  <w:r>
                    <w:t>浓度（mg/L）</w:t>
                  </w:r>
                </w:p>
              </w:tc>
              <w:tc>
                <w:tcPr>
                  <w:tcW w:w="521" w:type="pct"/>
                  <w:tcBorders>
                    <w:tl2br w:val="nil"/>
                    <w:tr2bl w:val="nil"/>
                  </w:tcBorders>
                  <w:vAlign w:val="center"/>
                </w:tcPr>
                <w:p w14:paraId="21A6E480">
                  <w:pPr>
                    <w:pStyle w:val="80"/>
                  </w:pPr>
                  <w:r>
                    <w:rPr>
                      <w:rFonts w:hint="eastAsia"/>
                    </w:rPr>
                    <w:t>排放</w:t>
                  </w:r>
                  <w:r>
                    <w:t>量（t/a）</w:t>
                  </w:r>
                </w:p>
              </w:tc>
              <w:tc>
                <w:tcPr>
                  <w:tcW w:w="409" w:type="pct"/>
                  <w:vMerge w:val="continue"/>
                  <w:tcBorders>
                    <w:tl2br w:val="nil"/>
                    <w:tr2bl w:val="nil"/>
                  </w:tcBorders>
                  <w:vAlign w:val="center"/>
                </w:tcPr>
                <w:p w14:paraId="1A98D706">
                  <w:pPr>
                    <w:pStyle w:val="80"/>
                  </w:pPr>
                </w:p>
              </w:tc>
            </w:tr>
            <w:tr w14:paraId="6FEC2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19" w:type="pct"/>
                  <w:vMerge w:val="restart"/>
                  <w:tcBorders>
                    <w:tl2br w:val="nil"/>
                    <w:tr2bl w:val="nil"/>
                  </w:tcBorders>
                  <w:vAlign w:val="center"/>
                </w:tcPr>
                <w:p w14:paraId="14E769F3">
                  <w:pPr>
                    <w:pStyle w:val="80"/>
                  </w:pPr>
                  <w:r>
                    <w:t>生活污水</w:t>
                  </w:r>
                </w:p>
              </w:tc>
              <w:tc>
                <w:tcPr>
                  <w:tcW w:w="505" w:type="pct"/>
                  <w:tcBorders>
                    <w:tl2br w:val="nil"/>
                    <w:tr2bl w:val="nil"/>
                  </w:tcBorders>
                  <w:vAlign w:val="center"/>
                </w:tcPr>
                <w:p w14:paraId="0CD8430E">
                  <w:pPr>
                    <w:pStyle w:val="80"/>
                  </w:pPr>
                  <w:r>
                    <w:t>废水</w:t>
                  </w:r>
                </w:p>
              </w:tc>
              <w:tc>
                <w:tcPr>
                  <w:tcW w:w="641" w:type="pct"/>
                  <w:tcBorders>
                    <w:tl2br w:val="nil"/>
                    <w:tr2bl w:val="nil"/>
                  </w:tcBorders>
                  <w:vAlign w:val="center"/>
                </w:tcPr>
                <w:p w14:paraId="5F913744">
                  <w:pPr>
                    <w:pStyle w:val="80"/>
                  </w:pPr>
                  <w:r>
                    <w:t>—</w:t>
                  </w:r>
                </w:p>
              </w:tc>
              <w:tc>
                <w:tcPr>
                  <w:tcW w:w="582" w:type="pct"/>
                  <w:tcBorders>
                    <w:tl2br w:val="nil"/>
                    <w:tr2bl w:val="nil"/>
                  </w:tcBorders>
                  <w:vAlign w:val="center"/>
                </w:tcPr>
                <w:p w14:paraId="61021AF8">
                  <w:pPr>
                    <w:pStyle w:val="80"/>
                  </w:pPr>
                  <w:r>
                    <w:rPr>
                      <w:rFonts w:hint="eastAsia"/>
                    </w:rPr>
                    <w:t>345.6</w:t>
                  </w:r>
                </w:p>
              </w:tc>
              <w:tc>
                <w:tcPr>
                  <w:tcW w:w="854" w:type="pct"/>
                  <w:vMerge w:val="restart"/>
                  <w:tcBorders>
                    <w:tl2br w:val="nil"/>
                    <w:tr2bl w:val="nil"/>
                  </w:tcBorders>
                  <w:vAlign w:val="center"/>
                </w:tcPr>
                <w:p w14:paraId="28D1922F">
                  <w:pPr>
                    <w:pStyle w:val="80"/>
                  </w:pPr>
                  <w:r>
                    <w:rPr>
                      <w:rFonts w:hint="eastAsia"/>
                    </w:rPr>
                    <w:t>化粪池预处理后由吸污车拉运至和静县污水处理厂处理</w:t>
                  </w:r>
                </w:p>
              </w:tc>
              <w:tc>
                <w:tcPr>
                  <w:tcW w:w="498" w:type="pct"/>
                  <w:tcBorders>
                    <w:tl2br w:val="nil"/>
                    <w:tr2bl w:val="nil"/>
                  </w:tcBorders>
                  <w:vAlign w:val="center"/>
                </w:tcPr>
                <w:p w14:paraId="0AE1D2BE">
                  <w:pPr>
                    <w:pStyle w:val="80"/>
                  </w:pPr>
                  <w:r>
                    <w:t>--</w:t>
                  </w:r>
                </w:p>
              </w:tc>
              <w:tc>
                <w:tcPr>
                  <w:tcW w:w="671" w:type="pct"/>
                  <w:tcBorders>
                    <w:tl2br w:val="nil"/>
                    <w:tr2bl w:val="nil"/>
                  </w:tcBorders>
                  <w:vAlign w:val="center"/>
                </w:tcPr>
                <w:p w14:paraId="145E894F">
                  <w:pPr>
                    <w:pStyle w:val="80"/>
                  </w:pPr>
                  <w:r>
                    <w:t>—</w:t>
                  </w:r>
                </w:p>
              </w:tc>
              <w:tc>
                <w:tcPr>
                  <w:tcW w:w="521" w:type="pct"/>
                  <w:tcBorders>
                    <w:tl2br w:val="nil"/>
                    <w:tr2bl w:val="nil"/>
                  </w:tcBorders>
                  <w:vAlign w:val="center"/>
                </w:tcPr>
                <w:p w14:paraId="09C65DB7">
                  <w:pPr>
                    <w:pStyle w:val="80"/>
                  </w:pPr>
                  <w:r>
                    <w:rPr>
                      <w:rFonts w:hint="eastAsia"/>
                    </w:rPr>
                    <w:t>345.6</w:t>
                  </w:r>
                </w:p>
              </w:tc>
              <w:tc>
                <w:tcPr>
                  <w:tcW w:w="409" w:type="pct"/>
                  <w:vMerge w:val="restart"/>
                  <w:tcBorders>
                    <w:tl2br w:val="nil"/>
                    <w:tr2bl w:val="nil"/>
                  </w:tcBorders>
                  <w:vAlign w:val="center"/>
                </w:tcPr>
                <w:p w14:paraId="1A05E9EF">
                  <w:pPr>
                    <w:pStyle w:val="80"/>
                  </w:pPr>
                  <w:r>
                    <w:rPr>
                      <w:rFonts w:hint="eastAsia"/>
                    </w:rPr>
                    <w:t>是</w:t>
                  </w:r>
                </w:p>
              </w:tc>
            </w:tr>
            <w:tr w14:paraId="54648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19" w:type="pct"/>
                  <w:vMerge w:val="continue"/>
                  <w:tcBorders>
                    <w:tl2br w:val="nil"/>
                    <w:tr2bl w:val="nil"/>
                  </w:tcBorders>
                  <w:vAlign w:val="center"/>
                </w:tcPr>
                <w:p w14:paraId="52D3B6D1">
                  <w:pPr>
                    <w:pStyle w:val="80"/>
                  </w:pPr>
                </w:p>
              </w:tc>
              <w:tc>
                <w:tcPr>
                  <w:tcW w:w="505" w:type="pct"/>
                  <w:tcBorders>
                    <w:tl2br w:val="nil"/>
                    <w:tr2bl w:val="nil"/>
                  </w:tcBorders>
                  <w:vAlign w:val="center"/>
                </w:tcPr>
                <w:p w14:paraId="1F19432C">
                  <w:pPr>
                    <w:pStyle w:val="80"/>
                  </w:pPr>
                  <w:r>
                    <w:t>COD</w:t>
                  </w:r>
                </w:p>
              </w:tc>
              <w:tc>
                <w:tcPr>
                  <w:tcW w:w="641" w:type="pct"/>
                  <w:tcBorders>
                    <w:tl2br w:val="nil"/>
                    <w:tr2bl w:val="nil"/>
                  </w:tcBorders>
                  <w:vAlign w:val="center"/>
                </w:tcPr>
                <w:p w14:paraId="2732C142">
                  <w:pPr>
                    <w:pStyle w:val="80"/>
                  </w:pPr>
                  <w:r>
                    <w:t>300</w:t>
                  </w:r>
                </w:p>
              </w:tc>
              <w:tc>
                <w:tcPr>
                  <w:tcW w:w="582" w:type="pct"/>
                  <w:tcBorders>
                    <w:tl2br w:val="nil"/>
                    <w:tr2bl w:val="nil"/>
                  </w:tcBorders>
                  <w:vAlign w:val="center"/>
                </w:tcPr>
                <w:p w14:paraId="612CC562">
                  <w:pPr>
                    <w:pStyle w:val="80"/>
                  </w:pPr>
                  <w:r>
                    <w:t>0.</w:t>
                  </w:r>
                  <w:r>
                    <w:rPr>
                      <w:rFonts w:hint="eastAsia"/>
                    </w:rPr>
                    <w:t>104</w:t>
                  </w:r>
                </w:p>
              </w:tc>
              <w:tc>
                <w:tcPr>
                  <w:tcW w:w="854" w:type="pct"/>
                  <w:vMerge w:val="continue"/>
                  <w:tcBorders>
                    <w:tl2br w:val="nil"/>
                    <w:tr2bl w:val="nil"/>
                  </w:tcBorders>
                  <w:vAlign w:val="center"/>
                </w:tcPr>
                <w:p w14:paraId="0D9D3A97">
                  <w:pPr>
                    <w:pStyle w:val="80"/>
                  </w:pPr>
                </w:p>
              </w:tc>
              <w:tc>
                <w:tcPr>
                  <w:tcW w:w="498" w:type="pct"/>
                  <w:tcBorders>
                    <w:tl2br w:val="nil"/>
                    <w:tr2bl w:val="nil"/>
                  </w:tcBorders>
                  <w:vAlign w:val="center"/>
                </w:tcPr>
                <w:p w14:paraId="63DD5B3D">
                  <w:pPr>
                    <w:pStyle w:val="80"/>
                  </w:pPr>
                  <w:r>
                    <w:t>5</w:t>
                  </w:r>
                </w:p>
              </w:tc>
              <w:tc>
                <w:tcPr>
                  <w:tcW w:w="671" w:type="pct"/>
                  <w:tcBorders>
                    <w:tl2br w:val="nil"/>
                    <w:tr2bl w:val="nil"/>
                  </w:tcBorders>
                  <w:vAlign w:val="center"/>
                </w:tcPr>
                <w:p w14:paraId="3E022FB1">
                  <w:pPr>
                    <w:pStyle w:val="80"/>
                  </w:pPr>
                  <w:r>
                    <w:t>285</w:t>
                  </w:r>
                </w:p>
              </w:tc>
              <w:tc>
                <w:tcPr>
                  <w:tcW w:w="521" w:type="pct"/>
                  <w:tcBorders>
                    <w:tl2br w:val="nil"/>
                    <w:tr2bl w:val="nil"/>
                  </w:tcBorders>
                  <w:vAlign w:val="center"/>
                </w:tcPr>
                <w:p w14:paraId="74EC6ECB">
                  <w:pPr>
                    <w:pStyle w:val="80"/>
                  </w:pPr>
                  <w:r>
                    <w:t>0.0</w:t>
                  </w:r>
                  <w:r>
                    <w:rPr>
                      <w:rFonts w:hint="eastAsia"/>
                    </w:rPr>
                    <w:t>98</w:t>
                  </w:r>
                </w:p>
              </w:tc>
              <w:tc>
                <w:tcPr>
                  <w:tcW w:w="409" w:type="pct"/>
                  <w:vMerge w:val="continue"/>
                  <w:tcBorders>
                    <w:tl2br w:val="nil"/>
                    <w:tr2bl w:val="nil"/>
                  </w:tcBorders>
                  <w:vAlign w:val="center"/>
                </w:tcPr>
                <w:p w14:paraId="2D634541">
                  <w:pPr>
                    <w:pStyle w:val="80"/>
                  </w:pPr>
                </w:p>
              </w:tc>
            </w:tr>
            <w:tr w14:paraId="36776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19" w:type="pct"/>
                  <w:vMerge w:val="continue"/>
                  <w:tcBorders>
                    <w:tl2br w:val="nil"/>
                    <w:tr2bl w:val="nil"/>
                  </w:tcBorders>
                  <w:vAlign w:val="center"/>
                </w:tcPr>
                <w:p w14:paraId="30216F8B">
                  <w:pPr>
                    <w:pStyle w:val="80"/>
                  </w:pPr>
                </w:p>
              </w:tc>
              <w:tc>
                <w:tcPr>
                  <w:tcW w:w="505" w:type="pct"/>
                  <w:tcBorders>
                    <w:tl2br w:val="nil"/>
                    <w:tr2bl w:val="nil"/>
                  </w:tcBorders>
                  <w:vAlign w:val="center"/>
                </w:tcPr>
                <w:p w14:paraId="0DC0FFB1">
                  <w:pPr>
                    <w:pStyle w:val="80"/>
                  </w:pPr>
                  <w:r>
                    <w:t>BOD</w:t>
                  </w:r>
                  <w:r>
                    <w:rPr>
                      <w:vertAlign w:val="subscript"/>
                    </w:rPr>
                    <w:t>5</w:t>
                  </w:r>
                </w:p>
              </w:tc>
              <w:tc>
                <w:tcPr>
                  <w:tcW w:w="641" w:type="pct"/>
                  <w:tcBorders>
                    <w:tl2br w:val="nil"/>
                    <w:tr2bl w:val="nil"/>
                  </w:tcBorders>
                  <w:vAlign w:val="center"/>
                </w:tcPr>
                <w:p w14:paraId="401DD4C2">
                  <w:pPr>
                    <w:pStyle w:val="80"/>
                  </w:pPr>
                  <w:r>
                    <w:t>200</w:t>
                  </w:r>
                </w:p>
              </w:tc>
              <w:tc>
                <w:tcPr>
                  <w:tcW w:w="582" w:type="pct"/>
                  <w:tcBorders>
                    <w:tl2br w:val="nil"/>
                    <w:tr2bl w:val="nil"/>
                  </w:tcBorders>
                  <w:vAlign w:val="center"/>
                </w:tcPr>
                <w:p w14:paraId="5377FDCD">
                  <w:pPr>
                    <w:pStyle w:val="80"/>
                  </w:pPr>
                  <w:r>
                    <w:t>0.0</w:t>
                  </w:r>
                  <w:r>
                    <w:rPr>
                      <w:rFonts w:hint="eastAsia"/>
                    </w:rPr>
                    <w:t>69</w:t>
                  </w:r>
                </w:p>
              </w:tc>
              <w:tc>
                <w:tcPr>
                  <w:tcW w:w="854" w:type="pct"/>
                  <w:vMerge w:val="continue"/>
                  <w:tcBorders>
                    <w:tl2br w:val="nil"/>
                    <w:tr2bl w:val="nil"/>
                  </w:tcBorders>
                  <w:vAlign w:val="center"/>
                </w:tcPr>
                <w:p w14:paraId="3D508DD2">
                  <w:pPr>
                    <w:pStyle w:val="80"/>
                  </w:pPr>
                </w:p>
              </w:tc>
              <w:tc>
                <w:tcPr>
                  <w:tcW w:w="498" w:type="pct"/>
                  <w:tcBorders>
                    <w:tl2br w:val="nil"/>
                    <w:tr2bl w:val="nil"/>
                  </w:tcBorders>
                  <w:vAlign w:val="center"/>
                </w:tcPr>
                <w:p w14:paraId="565D7DCA">
                  <w:pPr>
                    <w:pStyle w:val="80"/>
                  </w:pPr>
                  <w:r>
                    <w:t>10</w:t>
                  </w:r>
                </w:p>
              </w:tc>
              <w:tc>
                <w:tcPr>
                  <w:tcW w:w="671" w:type="pct"/>
                  <w:tcBorders>
                    <w:tl2br w:val="nil"/>
                    <w:tr2bl w:val="nil"/>
                  </w:tcBorders>
                  <w:vAlign w:val="center"/>
                </w:tcPr>
                <w:p w14:paraId="5BAF99AE">
                  <w:pPr>
                    <w:pStyle w:val="80"/>
                  </w:pPr>
                  <w:r>
                    <w:t>180</w:t>
                  </w:r>
                </w:p>
              </w:tc>
              <w:tc>
                <w:tcPr>
                  <w:tcW w:w="521" w:type="pct"/>
                  <w:tcBorders>
                    <w:tl2br w:val="nil"/>
                    <w:tr2bl w:val="nil"/>
                  </w:tcBorders>
                  <w:vAlign w:val="center"/>
                </w:tcPr>
                <w:p w14:paraId="7AA7863E">
                  <w:pPr>
                    <w:pStyle w:val="80"/>
                  </w:pPr>
                  <w:r>
                    <w:t>0.0</w:t>
                  </w:r>
                  <w:r>
                    <w:rPr>
                      <w:rFonts w:hint="eastAsia"/>
                    </w:rPr>
                    <w:t>62</w:t>
                  </w:r>
                </w:p>
              </w:tc>
              <w:tc>
                <w:tcPr>
                  <w:tcW w:w="409" w:type="pct"/>
                  <w:vMerge w:val="continue"/>
                  <w:tcBorders>
                    <w:tl2br w:val="nil"/>
                    <w:tr2bl w:val="nil"/>
                  </w:tcBorders>
                  <w:vAlign w:val="center"/>
                </w:tcPr>
                <w:p w14:paraId="07D5F728">
                  <w:pPr>
                    <w:pStyle w:val="80"/>
                  </w:pPr>
                </w:p>
              </w:tc>
            </w:tr>
            <w:tr w14:paraId="178C6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319" w:type="pct"/>
                  <w:vMerge w:val="continue"/>
                  <w:tcBorders>
                    <w:tl2br w:val="nil"/>
                    <w:tr2bl w:val="nil"/>
                  </w:tcBorders>
                  <w:vAlign w:val="center"/>
                </w:tcPr>
                <w:p w14:paraId="1E7B38F4">
                  <w:pPr>
                    <w:pStyle w:val="80"/>
                  </w:pPr>
                </w:p>
              </w:tc>
              <w:tc>
                <w:tcPr>
                  <w:tcW w:w="505" w:type="pct"/>
                  <w:tcBorders>
                    <w:tl2br w:val="nil"/>
                    <w:tr2bl w:val="nil"/>
                  </w:tcBorders>
                  <w:vAlign w:val="center"/>
                </w:tcPr>
                <w:p w14:paraId="7844A6C1">
                  <w:pPr>
                    <w:pStyle w:val="80"/>
                  </w:pPr>
                  <w:r>
                    <w:t>SS</w:t>
                  </w:r>
                </w:p>
              </w:tc>
              <w:tc>
                <w:tcPr>
                  <w:tcW w:w="641" w:type="pct"/>
                  <w:tcBorders>
                    <w:tl2br w:val="nil"/>
                    <w:tr2bl w:val="nil"/>
                  </w:tcBorders>
                  <w:vAlign w:val="center"/>
                </w:tcPr>
                <w:p w14:paraId="7CBE2A34">
                  <w:pPr>
                    <w:pStyle w:val="80"/>
                  </w:pPr>
                  <w:r>
                    <w:t>250</w:t>
                  </w:r>
                </w:p>
              </w:tc>
              <w:tc>
                <w:tcPr>
                  <w:tcW w:w="582" w:type="pct"/>
                  <w:tcBorders>
                    <w:tl2br w:val="nil"/>
                    <w:tr2bl w:val="nil"/>
                  </w:tcBorders>
                  <w:vAlign w:val="center"/>
                </w:tcPr>
                <w:p w14:paraId="266602E8">
                  <w:pPr>
                    <w:pStyle w:val="80"/>
                  </w:pPr>
                  <w:r>
                    <w:t>0.0</w:t>
                  </w:r>
                  <w:r>
                    <w:rPr>
                      <w:rFonts w:hint="eastAsia"/>
                    </w:rPr>
                    <w:t>86</w:t>
                  </w:r>
                </w:p>
              </w:tc>
              <w:tc>
                <w:tcPr>
                  <w:tcW w:w="854" w:type="pct"/>
                  <w:vMerge w:val="continue"/>
                  <w:tcBorders>
                    <w:tl2br w:val="nil"/>
                    <w:tr2bl w:val="nil"/>
                  </w:tcBorders>
                  <w:vAlign w:val="center"/>
                </w:tcPr>
                <w:p w14:paraId="328A350E">
                  <w:pPr>
                    <w:pStyle w:val="80"/>
                  </w:pPr>
                </w:p>
              </w:tc>
              <w:tc>
                <w:tcPr>
                  <w:tcW w:w="498" w:type="pct"/>
                  <w:tcBorders>
                    <w:tl2br w:val="nil"/>
                    <w:tr2bl w:val="nil"/>
                  </w:tcBorders>
                  <w:vAlign w:val="center"/>
                </w:tcPr>
                <w:p w14:paraId="7B222B74">
                  <w:pPr>
                    <w:pStyle w:val="80"/>
                  </w:pPr>
                  <w:r>
                    <w:t>20</w:t>
                  </w:r>
                </w:p>
              </w:tc>
              <w:tc>
                <w:tcPr>
                  <w:tcW w:w="671" w:type="pct"/>
                  <w:tcBorders>
                    <w:tl2br w:val="nil"/>
                    <w:tr2bl w:val="nil"/>
                  </w:tcBorders>
                  <w:vAlign w:val="center"/>
                </w:tcPr>
                <w:p w14:paraId="68EA0B62">
                  <w:pPr>
                    <w:pStyle w:val="80"/>
                  </w:pPr>
                  <w:r>
                    <w:t>200</w:t>
                  </w:r>
                </w:p>
              </w:tc>
              <w:tc>
                <w:tcPr>
                  <w:tcW w:w="521" w:type="pct"/>
                  <w:tcBorders>
                    <w:tl2br w:val="nil"/>
                    <w:tr2bl w:val="nil"/>
                  </w:tcBorders>
                  <w:vAlign w:val="center"/>
                </w:tcPr>
                <w:p w14:paraId="75C38D62">
                  <w:pPr>
                    <w:pStyle w:val="80"/>
                  </w:pPr>
                  <w:r>
                    <w:t>0.0</w:t>
                  </w:r>
                  <w:r>
                    <w:rPr>
                      <w:rFonts w:hint="eastAsia"/>
                    </w:rPr>
                    <w:t>69</w:t>
                  </w:r>
                </w:p>
              </w:tc>
              <w:tc>
                <w:tcPr>
                  <w:tcW w:w="409" w:type="pct"/>
                  <w:vMerge w:val="continue"/>
                  <w:tcBorders>
                    <w:tl2br w:val="nil"/>
                    <w:tr2bl w:val="nil"/>
                  </w:tcBorders>
                  <w:vAlign w:val="center"/>
                </w:tcPr>
                <w:p w14:paraId="6A13E02F">
                  <w:pPr>
                    <w:pStyle w:val="80"/>
                  </w:pPr>
                </w:p>
              </w:tc>
            </w:tr>
            <w:tr w14:paraId="75290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319" w:type="pct"/>
                  <w:vMerge w:val="continue"/>
                  <w:tcBorders>
                    <w:tl2br w:val="nil"/>
                    <w:tr2bl w:val="nil"/>
                  </w:tcBorders>
                  <w:vAlign w:val="center"/>
                </w:tcPr>
                <w:p w14:paraId="0066DB32">
                  <w:pPr>
                    <w:pStyle w:val="80"/>
                  </w:pPr>
                </w:p>
              </w:tc>
              <w:tc>
                <w:tcPr>
                  <w:tcW w:w="505" w:type="pct"/>
                  <w:tcBorders>
                    <w:tl2br w:val="nil"/>
                    <w:tr2bl w:val="nil"/>
                  </w:tcBorders>
                  <w:vAlign w:val="center"/>
                </w:tcPr>
                <w:p w14:paraId="04F3B04F">
                  <w:pPr>
                    <w:pStyle w:val="80"/>
                  </w:pPr>
                  <w:r>
                    <w:t>NH</w:t>
                  </w:r>
                  <w:r>
                    <w:rPr>
                      <w:vertAlign w:val="subscript"/>
                    </w:rPr>
                    <w:t>3</w:t>
                  </w:r>
                  <w:r>
                    <w:t>-N</w:t>
                  </w:r>
                </w:p>
              </w:tc>
              <w:tc>
                <w:tcPr>
                  <w:tcW w:w="641" w:type="pct"/>
                  <w:tcBorders>
                    <w:tl2br w:val="nil"/>
                    <w:tr2bl w:val="nil"/>
                  </w:tcBorders>
                  <w:vAlign w:val="center"/>
                </w:tcPr>
                <w:p w14:paraId="13BF8173">
                  <w:pPr>
                    <w:pStyle w:val="80"/>
                  </w:pPr>
                  <w:r>
                    <w:t>30</w:t>
                  </w:r>
                </w:p>
              </w:tc>
              <w:tc>
                <w:tcPr>
                  <w:tcW w:w="582" w:type="pct"/>
                  <w:tcBorders>
                    <w:tl2br w:val="nil"/>
                    <w:tr2bl w:val="nil"/>
                  </w:tcBorders>
                  <w:vAlign w:val="center"/>
                </w:tcPr>
                <w:p w14:paraId="34D5C3D9">
                  <w:pPr>
                    <w:pStyle w:val="80"/>
                  </w:pPr>
                  <w:r>
                    <w:t>0.0</w:t>
                  </w:r>
                  <w:r>
                    <w:rPr>
                      <w:rFonts w:hint="eastAsia"/>
                    </w:rPr>
                    <w:t>10</w:t>
                  </w:r>
                </w:p>
              </w:tc>
              <w:tc>
                <w:tcPr>
                  <w:tcW w:w="854" w:type="pct"/>
                  <w:vMerge w:val="continue"/>
                  <w:tcBorders>
                    <w:tl2br w:val="nil"/>
                    <w:tr2bl w:val="nil"/>
                  </w:tcBorders>
                  <w:vAlign w:val="center"/>
                </w:tcPr>
                <w:p w14:paraId="07C72FCB">
                  <w:pPr>
                    <w:pStyle w:val="80"/>
                  </w:pPr>
                </w:p>
              </w:tc>
              <w:tc>
                <w:tcPr>
                  <w:tcW w:w="498" w:type="pct"/>
                  <w:tcBorders>
                    <w:tl2br w:val="nil"/>
                    <w:tr2bl w:val="nil"/>
                  </w:tcBorders>
                  <w:vAlign w:val="center"/>
                </w:tcPr>
                <w:p w14:paraId="7F81334E">
                  <w:pPr>
                    <w:pStyle w:val="80"/>
                  </w:pPr>
                  <w:r>
                    <w:t>20</w:t>
                  </w:r>
                </w:p>
              </w:tc>
              <w:tc>
                <w:tcPr>
                  <w:tcW w:w="671" w:type="pct"/>
                  <w:tcBorders>
                    <w:tl2br w:val="nil"/>
                    <w:tr2bl w:val="nil"/>
                  </w:tcBorders>
                  <w:vAlign w:val="center"/>
                </w:tcPr>
                <w:p w14:paraId="1A9A3482">
                  <w:pPr>
                    <w:pStyle w:val="80"/>
                  </w:pPr>
                  <w:r>
                    <w:t>24</w:t>
                  </w:r>
                </w:p>
              </w:tc>
              <w:tc>
                <w:tcPr>
                  <w:tcW w:w="521" w:type="pct"/>
                  <w:tcBorders>
                    <w:tl2br w:val="nil"/>
                    <w:tr2bl w:val="nil"/>
                  </w:tcBorders>
                  <w:vAlign w:val="center"/>
                </w:tcPr>
                <w:p w14:paraId="28DD1028">
                  <w:pPr>
                    <w:pStyle w:val="80"/>
                  </w:pPr>
                  <w:r>
                    <w:t>0.00</w:t>
                  </w:r>
                  <w:r>
                    <w:rPr>
                      <w:rFonts w:hint="eastAsia"/>
                    </w:rPr>
                    <w:t>83</w:t>
                  </w:r>
                </w:p>
              </w:tc>
              <w:tc>
                <w:tcPr>
                  <w:tcW w:w="409" w:type="pct"/>
                  <w:vMerge w:val="continue"/>
                  <w:tcBorders>
                    <w:tl2br w:val="nil"/>
                    <w:tr2bl w:val="nil"/>
                  </w:tcBorders>
                  <w:vAlign w:val="center"/>
                </w:tcPr>
                <w:p w14:paraId="43C19976">
                  <w:pPr>
                    <w:pStyle w:val="80"/>
                  </w:pPr>
                </w:p>
              </w:tc>
            </w:tr>
          </w:tbl>
          <w:p w14:paraId="4DF7DBC5">
            <w:pPr>
              <w:spacing w:line="440" w:lineRule="exact"/>
              <w:ind w:firstLine="0" w:firstLineChars="0"/>
              <w:jc w:val="left"/>
              <w:rPr>
                <w:b/>
                <w:bCs/>
              </w:rPr>
            </w:pPr>
            <w:r>
              <w:rPr>
                <w:rFonts w:hint="eastAsia"/>
                <w:b/>
                <w:bCs/>
              </w:rPr>
              <w:t>4</w:t>
            </w:r>
            <w:r>
              <w:rPr>
                <w:b/>
                <w:bCs/>
              </w:rPr>
              <w:t>.2.2.1</w:t>
            </w:r>
            <w:r>
              <w:rPr>
                <w:rFonts w:hint="eastAsia"/>
                <w:b/>
                <w:bCs/>
              </w:rPr>
              <w:t>依托污水处理厂可行性分析</w:t>
            </w:r>
          </w:p>
          <w:p w14:paraId="1D0CFEC9">
            <w:pPr>
              <w:ind w:firstLine="480"/>
              <w:rPr>
                <w:rFonts w:cs="Times New Roman"/>
              </w:rPr>
            </w:pPr>
            <w:r>
              <w:rPr>
                <w:rFonts w:cs="Times New Roman"/>
              </w:rPr>
              <w:t>本项目产生的废水主要为生活污水，经化粪池收集处理定期拉运至和静县污水处理厂处置。</w:t>
            </w:r>
          </w:p>
          <w:p w14:paraId="6E51E4FC">
            <w:pPr>
              <w:ind w:firstLine="480"/>
              <w:rPr>
                <w:rFonts w:cs="Times New Roman"/>
              </w:rPr>
            </w:pPr>
            <w:r>
              <w:rPr>
                <w:rFonts w:cs="Times New Roman"/>
              </w:rPr>
              <w:t>和静县污水处理厂位于和静县城区东南方向2.3km处，位于和静工业园区东南侧约8km处，中心地理坐标为：E86°25′16.840″，N42°17′25.910″。和静县污水处理厂采用A</w:t>
            </w:r>
            <w:r>
              <w:rPr>
                <w:rFonts w:cs="Times New Roman"/>
                <w:vertAlign w:val="superscript"/>
              </w:rPr>
              <w:t>2</w:t>
            </w:r>
            <w:r>
              <w:rPr>
                <w:rFonts w:cs="Times New Roman"/>
              </w:rPr>
              <w:t>/O+MBR池处理工艺，设计最大处理规模2万m</w:t>
            </w:r>
            <w:r>
              <w:rPr>
                <w:rFonts w:cs="Times New Roman"/>
                <w:vertAlign w:val="superscript"/>
              </w:rPr>
              <w:t>3</w:t>
            </w:r>
            <w:r>
              <w:rPr>
                <w:rFonts w:cs="Times New Roman"/>
              </w:rPr>
              <w:t>/d，出水水质达到《城镇污水处理厂污染物排放标准》（18918-2002）中一级A标准</w:t>
            </w:r>
            <w:r>
              <w:rPr>
                <w:rFonts w:hint="eastAsia" w:cs="Times New Roman"/>
              </w:rPr>
              <w:t>，出水用于绿化及农作物灌溉，实现污水资源化利用</w:t>
            </w:r>
            <w:r>
              <w:rPr>
                <w:rFonts w:cs="Times New Roman"/>
              </w:rPr>
              <w:t>。</w:t>
            </w:r>
          </w:p>
          <w:p w14:paraId="74E5C331">
            <w:pPr>
              <w:ind w:firstLine="480"/>
              <w:rPr>
                <w:rFonts w:cs="Times New Roman"/>
                <w:color w:val="000000"/>
                <w:szCs w:val="24"/>
              </w:rPr>
            </w:pPr>
            <w:r>
              <w:rPr>
                <w:rFonts w:hint="eastAsia" w:cs="Times New Roman"/>
                <w:color w:val="000000"/>
                <w:szCs w:val="24"/>
              </w:rPr>
              <w:t>本项目外排废水量较小，占污水处理厂设计处理规模的比例很低，对污水处理厂的冲击负荷影响可忽略。废水主要为生活污水，水质简单，经化粪池等预处理后，污染物浓度可达污水处理厂接管要求。因此，废水依托</w:t>
            </w:r>
            <w:r>
              <w:rPr>
                <w:rFonts w:cs="Times New Roman"/>
              </w:rPr>
              <w:t>和静县污水处理厂</w:t>
            </w:r>
            <w:r>
              <w:rPr>
                <w:rFonts w:hint="eastAsia" w:cs="Times New Roman"/>
                <w:color w:val="000000"/>
                <w:szCs w:val="24"/>
              </w:rPr>
              <w:t>处理具备可行性</w:t>
            </w:r>
            <w:r>
              <w:rPr>
                <w:rFonts w:hint="eastAsia" w:cs="Times New Roman"/>
              </w:rPr>
              <w:t>。</w:t>
            </w:r>
          </w:p>
          <w:p w14:paraId="43549239">
            <w:pPr>
              <w:spacing w:line="440" w:lineRule="exact"/>
              <w:ind w:firstLine="0" w:firstLineChars="0"/>
              <w:jc w:val="left"/>
              <w:rPr>
                <w:b/>
                <w:bCs/>
              </w:rPr>
            </w:pPr>
            <w:r>
              <w:rPr>
                <w:rFonts w:hint="eastAsia"/>
                <w:b/>
                <w:bCs/>
              </w:rPr>
              <w:t>4</w:t>
            </w:r>
            <w:r>
              <w:rPr>
                <w:b/>
                <w:bCs/>
              </w:rPr>
              <w:t>.2.</w:t>
            </w:r>
            <w:r>
              <w:rPr>
                <w:rFonts w:hint="eastAsia"/>
                <w:b/>
                <w:bCs/>
              </w:rPr>
              <w:t>3噪声环境影响与评价</w:t>
            </w:r>
          </w:p>
          <w:p w14:paraId="79521E41">
            <w:pPr>
              <w:pStyle w:val="4"/>
              <w:ind w:firstLine="480"/>
              <w:rPr>
                <w:b w:val="0"/>
                <w:bCs w:val="0"/>
                <w:szCs w:val="24"/>
                <w:lang w:bidi="ar"/>
              </w:rPr>
            </w:pPr>
            <w:r>
              <w:rPr>
                <w:b w:val="0"/>
                <w:bCs w:val="0"/>
                <w:szCs w:val="24"/>
                <w:lang w:bidi="ar"/>
              </w:rPr>
              <w:t>（1）噪声污染源</w:t>
            </w:r>
          </w:p>
          <w:p w14:paraId="588B529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运行后，主要噪声源为充装泵、压缩机等设备运行产生的噪声。通过设置基础减振、加强设备检修与维护、合理布局以及厂区绿化等措施，可有效降低噪声影响。采用上述方法，能够确保厂界噪声达到相关标准要求。</w:t>
            </w:r>
            <w:r>
              <w:rPr>
                <w:lang w:bidi="ar"/>
              </w:rPr>
              <w:t>噪声源强为75~</w:t>
            </w:r>
            <w:r>
              <w:rPr>
                <w:rFonts w:hint="eastAsia"/>
                <w:lang w:bidi="ar"/>
              </w:rPr>
              <w:t>85</w:t>
            </w:r>
            <w:r>
              <w:rPr>
                <w:spacing w:val="-2"/>
              </w:rPr>
              <w:t>dB</w:t>
            </w:r>
            <w:r>
              <w:rPr>
                <w:rFonts w:hint="eastAsia"/>
                <w:spacing w:val="-2"/>
              </w:rPr>
              <w:t>（A）</w:t>
            </w:r>
            <w:r>
              <w:rPr>
                <w:rFonts w:hint="eastAsia"/>
                <w:color w:val="000000" w:themeColor="text1"/>
                <w14:textFill>
                  <w14:solidFill>
                    <w14:schemeClr w14:val="tx1"/>
                  </w14:solidFill>
                </w14:textFill>
              </w:rPr>
              <w:t>。</w:t>
            </w:r>
          </w:p>
          <w:p w14:paraId="51DA0590">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w:t>
            </w:r>
            <w:r>
              <w:rPr>
                <w:rFonts w:hint="eastAsia" w:cs="Times New Roman"/>
                <w:b/>
                <w:bCs/>
                <w:sz w:val="21"/>
                <w:szCs w:val="21"/>
              </w:rPr>
              <w:t>4</w:t>
            </w:r>
            <w:r>
              <w:rPr>
                <w:rFonts w:cs="Times New Roman"/>
                <w:b/>
                <w:bCs/>
                <w:sz w:val="21"/>
                <w:szCs w:val="21"/>
              </w:rPr>
              <w:t>-3  工业企业噪声源强调查清单（室外声源）</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341"/>
              <w:gridCol w:w="788"/>
              <w:gridCol w:w="1057"/>
              <w:gridCol w:w="1041"/>
              <w:gridCol w:w="2551"/>
              <w:gridCol w:w="1244"/>
            </w:tblGrid>
            <w:tr w14:paraId="23C4D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375" w:type="pct"/>
                  <w:vMerge w:val="restart"/>
                  <w:tcBorders>
                    <w:tl2br w:val="nil"/>
                    <w:tr2bl w:val="nil"/>
                  </w:tcBorders>
                  <w:vAlign w:val="center"/>
                </w:tcPr>
                <w:p w14:paraId="1960C07A">
                  <w:pPr>
                    <w:pStyle w:val="80"/>
                    <w:rPr>
                      <w:lang w:eastAsia="en-US"/>
                    </w:rPr>
                  </w:pPr>
                  <w:bookmarkStart w:id="24" w:name="PT_5"/>
                  <w:r>
                    <w:rPr>
                      <w:lang w:eastAsia="en-US"/>
                    </w:rPr>
                    <w:t>序号</w:t>
                  </w:r>
                </w:p>
              </w:tc>
              <w:tc>
                <w:tcPr>
                  <w:tcW w:w="773" w:type="pct"/>
                  <w:vMerge w:val="restart"/>
                  <w:tcBorders>
                    <w:tl2br w:val="nil"/>
                    <w:tr2bl w:val="nil"/>
                  </w:tcBorders>
                  <w:vAlign w:val="center"/>
                </w:tcPr>
                <w:p w14:paraId="27B4E797">
                  <w:pPr>
                    <w:pStyle w:val="80"/>
                    <w:rPr>
                      <w:lang w:eastAsia="en-US"/>
                    </w:rPr>
                  </w:pPr>
                  <w:r>
                    <w:rPr>
                      <w:lang w:eastAsia="en-US"/>
                    </w:rPr>
                    <w:t>声源名称</w:t>
                  </w:r>
                </w:p>
              </w:tc>
              <w:tc>
                <w:tcPr>
                  <w:tcW w:w="1663" w:type="pct"/>
                  <w:gridSpan w:val="3"/>
                  <w:tcBorders>
                    <w:tl2br w:val="nil"/>
                    <w:tr2bl w:val="nil"/>
                  </w:tcBorders>
                  <w:vAlign w:val="center"/>
                </w:tcPr>
                <w:p w14:paraId="45E26397">
                  <w:pPr>
                    <w:pStyle w:val="80"/>
                    <w:rPr>
                      <w:lang w:eastAsia="en-US"/>
                    </w:rPr>
                  </w:pPr>
                  <w:r>
                    <w:rPr>
                      <w:lang w:eastAsia="en-US"/>
                    </w:rPr>
                    <w:t>空间相对位置/m</w:t>
                  </w:r>
                </w:p>
              </w:tc>
              <w:tc>
                <w:tcPr>
                  <w:tcW w:w="1470" w:type="pct"/>
                  <w:tcBorders>
                    <w:tl2br w:val="nil"/>
                    <w:tr2bl w:val="nil"/>
                  </w:tcBorders>
                  <w:vAlign w:val="center"/>
                </w:tcPr>
                <w:p w14:paraId="035F2752">
                  <w:pPr>
                    <w:pStyle w:val="80"/>
                  </w:pPr>
                  <w:r>
                    <w:t>声源源强（任选一种）</w:t>
                  </w:r>
                </w:p>
              </w:tc>
              <w:tc>
                <w:tcPr>
                  <w:tcW w:w="717" w:type="pct"/>
                  <w:vMerge w:val="restart"/>
                  <w:tcBorders>
                    <w:tl2br w:val="nil"/>
                    <w:tr2bl w:val="nil"/>
                  </w:tcBorders>
                  <w:vAlign w:val="center"/>
                </w:tcPr>
                <w:p w14:paraId="51D6AD70">
                  <w:pPr>
                    <w:pStyle w:val="80"/>
                  </w:pPr>
                  <w:r>
                    <w:t>运行时段</w:t>
                  </w:r>
                </w:p>
              </w:tc>
            </w:tr>
            <w:tr w14:paraId="67977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5" w:type="pct"/>
                  <w:vMerge w:val="continue"/>
                  <w:tcBorders>
                    <w:tl2br w:val="nil"/>
                    <w:tr2bl w:val="nil"/>
                  </w:tcBorders>
                  <w:shd w:val="clear" w:color="auto" w:fill="FFFFFF"/>
                  <w:vAlign w:val="center"/>
                </w:tcPr>
                <w:p w14:paraId="34FA415E">
                  <w:pPr>
                    <w:pStyle w:val="80"/>
                  </w:pPr>
                </w:p>
              </w:tc>
              <w:tc>
                <w:tcPr>
                  <w:tcW w:w="773" w:type="pct"/>
                  <w:vMerge w:val="continue"/>
                  <w:tcBorders>
                    <w:tl2br w:val="nil"/>
                    <w:tr2bl w:val="nil"/>
                  </w:tcBorders>
                  <w:shd w:val="clear" w:color="auto" w:fill="FFFFFF"/>
                  <w:vAlign w:val="center"/>
                </w:tcPr>
                <w:p w14:paraId="4DF67C3B">
                  <w:pPr>
                    <w:pStyle w:val="80"/>
                  </w:pPr>
                </w:p>
              </w:tc>
              <w:tc>
                <w:tcPr>
                  <w:tcW w:w="454" w:type="pct"/>
                  <w:tcBorders>
                    <w:tl2br w:val="nil"/>
                    <w:tr2bl w:val="nil"/>
                  </w:tcBorders>
                  <w:shd w:val="clear" w:color="auto" w:fill="FFFFFF"/>
                  <w:vAlign w:val="center"/>
                </w:tcPr>
                <w:p w14:paraId="6EC5A74E">
                  <w:pPr>
                    <w:pStyle w:val="80"/>
                  </w:pPr>
                  <w:r>
                    <w:t>X</w:t>
                  </w:r>
                </w:p>
              </w:tc>
              <w:tc>
                <w:tcPr>
                  <w:tcW w:w="609" w:type="pct"/>
                  <w:tcBorders>
                    <w:tl2br w:val="nil"/>
                    <w:tr2bl w:val="nil"/>
                  </w:tcBorders>
                  <w:shd w:val="clear" w:color="auto" w:fill="FFFFFF"/>
                  <w:vAlign w:val="center"/>
                </w:tcPr>
                <w:p w14:paraId="67A8F53F">
                  <w:pPr>
                    <w:pStyle w:val="80"/>
                  </w:pPr>
                  <w:r>
                    <w:t>Y</w:t>
                  </w:r>
                </w:p>
              </w:tc>
              <w:tc>
                <w:tcPr>
                  <w:tcW w:w="599" w:type="pct"/>
                  <w:tcBorders>
                    <w:tl2br w:val="nil"/>
                    <w:tr2bl w:val="nil"/>
                  </w:tcBorders>
                  <w:shd w:val="clear" w:color="auto" w:fill="FFFFFF"/>
                  <w:vAlign w:val="center"/>
                </w:tcPr>
                <w:p w14:paraId="3ACE58F0">
                  <w:pPr>
                    <w:pStyle w:val="80"/>
                  </w:pPr>
                  <w:r>
                    <w:t>Z</w:t>
                  </w:r>
                </w:p>
              </w:tc>
              <w:tc>
                <w:tcPr>
                  <w:tcW w:w="1470" w:type="pct"/>
                  <w:tcBorders>
                    <w:tl2br w:val="nil"/>
                    <w:tr2bl w:val="nil"/>
                  </w:tcBorders>
                  <w:shd w:val="clear" w:color="auto" w:fill="FFFFFF"/>
                  <w:vAlign w:val="center"/>
                </w:tcPr>
                <w:p w14:paraId="4E897DFF">
                  <w:pPr>
                    <w:pStyle w:val="80"/>
                  </w:pPr>
                  <w:r>
                    <w:t>声功率级/dB(A)</w:t>
                  </w:r>
                </w:p>
                <w:bookmarkEnd w:id="24"/>
              </w:tc>
              <w:tc>
                <w:tcPr>
                  <w:tcW w:w="717" w:type="pct"/>
                  <w:vMerge w:val="continue"/>
                  <w:tcBorders>
                    <w:tl2br w:val="nil"/>
                    <w:tr2bl w:val="nil"/>
                  </w:tcBorders>
                  <w:shd w:val="clear" w:color="auto" w:fill="FFFFFF"/>
                  <w:vAlign w:val="center"/>
                </w:tcPr>
                <w:p w14:paraId="43F50390">
                  <w:pPr>
                    <w:pStyle w:val="80"/>
                  </w:pPr>
                </w:p>
              </w:tc>
            </w:tr>
            <w:tr w14:paraId="0A219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trPr>
              <w:tc>
                <w:tcPr>
                  <w:tcW w:w="375" w:type="pct"/>
                  <w:tcBorders>
                    <w:tl2br w:val="nil"/>
                    <w:tr2bl w:val="nil"/>
                  </w:tcBorders>
                  <w:shd w:val="clear" w:color="auto" w:fill="FFFFFF"/>
                  <w:vAlign w:val="center"/>
                </w:tcPr>
                <w:p w14:paraId="463BB2BE">
                  <w:pPr>
                    <w:pStyle w:val="80"/>
                  </w:pPr>
                  <w:r>
                    <w:t>1</w:t>
                  </w:r>
                </w:p>
              </w:tc>
              <w:tc>
                <w:tcPr>
                  <w:tcW w:w="773" w:type="pct"/>
                  <w:tcBorders>
                    <w:tl2br w:val="nil"/>
                    <w:tr2bl w:val="nil"/>
                  </w:tcBorders>
                  <w:shd w:val="clear" w:color="auto" w:fill="FFFFFF"/>
                  <w:vAlign w:val="center"/>
                </w:tcPr>
                <w:p w14:paraId="119A6587">
                  <w:pPr>
                    <w:pStyle w:val="80"/>
                  </w:pPr>
                  <w:r>
                    <w:t>充装泵1</w:t>
                  </w:r>
                </w:p>
              </w:tc>
              <w:tc>
                <w:tcPr>
                  <w:tcW w:w="454" w:type="pct"/>
                  <w:tcBorders>
                    <w:tl2br w:val="nil"/>
                    <w:tr2bl w:val="nil"/>
                  </w:tcBorders>
                  <w:shd w:val="clear" w:color="auto" w:fill="FFFFFF"/>
                  <w:vAlign w:val="center"/>
                </w:tcPr>
                <w:p w14:paraId="4E5666B8">
                  <w:pPr>
                    <w:pStyle w:val="80"/>
                  </w:pPr>
                  <w:r>
                    <w:t>-60.7</w:t>
                  </w:r>
                </w:p>
              </w:tc>
              <w:tc>
                <w:tcPr>
                  <w:tcW w:w="609" w:type="pct"/>
                  <w:tcBorders>
                    <w:tl2br w:val="nil"/>
                    <w:tr2bl w:val="nil"/>
                  </w:tcBorders>
                  <w:shd w:val="clear" w:color="auto" w:fill="FFFFFF"/>
                  <w:vAlign w:val="center"/>
                </w:tcPr>
                <w:p w14:paraId="319FA0E2">
                  <w:pPr>
                    <w:pStyle w:val="80"/>
                  </w:pPr>
                  <w:r>
                    <w:t>10.4</w:t>
                  </w:r>
                </w:p>
              </w:tc>
              <w:tc>
                <w:tcPr>
                  <w:tcW w:w="599" w:type="pct"/>
                  <w:tcBorders>
                    <w:tl2br w:val="nil"/>
                    <w:tr2bl w:val="nil"/>
                  </w:tcBorders>
                  <w:shd w:val="clear" w:color="auto" w:fill="FFFFFF"/>
                  <w:vAlign w:val="center"/>
                </w:tcPr>
                <w:p w14:paraId="78882B43">
                  <w:pPr>
                    <w:pStyle w:val="80"/>
                  </w:pPr>
                  <w:r>
                    <w:t>1.2</w:t>
                  </w:r>
                </w:p>
              </w:tc>
              <w:tc>
                <w:tcPr>
                  <w:tcW w:w="1470" w:type="pct"/>
                  <w:tcBorders>
                    <w:tl2br w:val="nil"/>
                    <w:tr2bl w:val="nil"/>
                  </w:tcBorders>
                  <w:shd w:val="clear" w:color="auto" w:fill="FFFFFF"/>
                  <w:vAlign w:val="center"/>
                </w:tcPr>
                <w:p w14:paraId="720C0579">
                  <w:pPr>
                    <w:pStyle w:val="80"/>
                  </w:pPr>
                  <w:r>
                    <w:t>75</w:t>
                  </w:r>
                </w:p>
              </w:tc>
              <w:tc>
                <w:tcPr>
                  <w:tcW w:w="717" w:type="pct"/>
                  <w:tcBorders>
                    <w:tl2br w:val="nil"/>
                    <w:tr2bl w:val="nil"/>
                  </w:tcBorders>
                  <w:shd w:val="clear" w:color="auto" w:fill="FFFFFF"/>
                  <w:vAlign w:val="center"/>
                </w:tcPr>
                <w:p w14:paraId="7CCC8E2B">
                  <w:pPr>
                    <w:pStyle w:val="80"/>
                  </w:pPr>
                  <w:r>
                    <w:t>24.0</w:t>
                  </w:r>
                </w:p>
              </w:tc>
            </w:tr>
            <w:tr w14:paraId="7EFC5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trPr>
              <w:tc>
                <w:tcPr>
                  <w:tcW w:w="375" w:type="pct"/>
                  <w:tcBorders>
                    <w:tl2br w:val="nil"/>
                    <w:tr2bl w:val="nil"/>
                  </w:tcBorders>
                  <w:shd w:val="clear" w:color="auto" w:fill="FFFFFF"/>
                  <w:vAlign w:val="center"/>
                </w:tcPr>
                <w:p w14:paraId="07A1B68C">
                  <w:pPr>
                    <w:pStyle w:val="80"/>
                  </w:pPr>
                  <w:r>
                    <w:t>2</w:t>
                  </w:r>
                </w:p>
              </w:tc>
              <w:tc>
                <w:tcPr>
                  <w:tcW w:w="773" w:type="pct"/>
                  <w:tcBorders>
                    <w:tl2br w:val="nil"/>
                    <w:tr2bl w:val="nil"/>
                  </w:tcBorders>
                  <w:shd w:val="clear" w:color="auto" w:fill="FFFFFF"/>
                  <w:vAlign w:val="center"/>
                </w:tcPr>
                <w:p w14:paraId="2046C208">
                  <w:pPr>
                    <w:pStyle w:val="80"/>
                  </w:pPr>
                  <w:r>
                    <w:t>充装泵2</w:t>
                  </w:r>
                </w:p>
              </w:tc>
              <w:tc>
                <w:tcPr>
                  <w:tcW w:w="454" w:type="pct"/>
                  <w:tcBorders>
                    <w:tl2br w:val="nil"/>
                    <w:tr2bl w:val="nil"/>
                  </w:tcBorders>
                  <w:shd w:val="clear" w:color="auto" w:fill="FFFFFF"/>
                  <w:vAlign w:val="center"/>
                </w:tcPr>
                <w:p w14:paraId="1DEECE47">
                  <w:pPr>
                    <w:pStyle w:val="80"/>
                  </w:pPr>
                  <w:r>
                    <w:t>-60.7</w:t>
                  </w:r>
                </w:p>
              </w:tc>
              <w:tc>
                <w:tcPr>
                  <w:tcW w:w="609" w:type="pct"/>
                  <w:tcBorders>
                    <w:tl2br w:val="nil"/>
                    <w:tr2bl w:val="nil"/>
                  </w:tcBorders>
                  <w:shd w:val="clear" w:color="auto" w:fill="FFFFFF"/>
                  <w:vAlign w:val="center"/>
                </w:tcPr>
                <w:p w14:paraId="713732BE">
                  <w:pPr>
                    <w:pStyle w:val="80"/>
                  </w:pPr>
                  <w:r>
                    <w:t>3.9</w:t>
                  </w:r>
                </w:p>
              </w:tc>
              <w:tc>
                <w:tcPr>
                  <w:tcW w:w="599" w:type="pct"/>
                  <w:tcBorders>
                    <w:tl2br w:val="nil"/>
                    <w:tr2bl w:val="nil"/>
                  </w:tcBorders>
                  <w:shd w:val="clear" w:color="auto" w:fill="FFFFFF"/>
                  <w:vAlign w:val="center"/>
                </w:tcPr>
                <w:p w14:paraId="2BB84C19">
                  <w:pPr>
                    <w:pStyle w:val="80"/>
                  </w:pPr>
                  <w:r>
                    <w:t>1.2</w:t>
                  </w:r>
                </w:p>
              </w:tc>
              <w:tc>
                <w:tcPr>
                  <w:tcW w:w="1470" w:type="pct"/>
                  <w:tcBorders>
                    <w:tl2br w:val="nil"/>
                    <w:tr2bl w:val="nil"/>
                  </w:tcBorders>
                  <w:shd w:val="clear" w:color="auto" w:fill="FFFFFF"/>
                  <w:vAlign w:val="center"/>
                </w:tcPr>
                <w:p w14:paraId="0F930D7B">
                  <w:pPr>
                    <w:pStyle w:val="80"/>
                  </w:pPr>
                  <w:r>
                    <w:t>75</w:t>
                  </w:r>
                </w:p>
              </w:tc>
              <w:tc>
                <w:tcPr>
                  <w:tcW w:w="717" w:type="pct"/>
                  <w:tcBorders>
                    <w:tl2br w:val="nil"/>
                    <w:tr2bl w:val="nil"/>
                  </w:tcBorders>
                  <w:shd w:val="clear" w:color="auto" w:fill="FFFFFF"/>
                  <w:vAlign w:val="center"/>
                </w:tcPr>
                <w:p w14:paraId="7A98F472">
                  <w:pPr>
                    <w:pStyle w:val="80"/>
                  </w:pPr>
                  <w:r>
                    <w:t>24.0</w:t>
                  </w:r>
                </w:p>
              </w:tc>
            </w:tr>
            <w:tr w14:paraId="5E1FC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trPr>
              <w:tc>
                <w:tcPr>
                  <w:tcW w:w="375" w:type="pct"/>
                  <w:tcBorders>
                    <w:tl2br w:val="nil"/>
                    <w:tr2bl w:val="nil"/>
                  </w:tcBorders>
                  <w:shd w:val="clear" w:color="auto" w:fill="FFFFFF"/>
                  <w:vAlign w:val="center"/>
                </w:tcPr>
                <w:p w14:paraId="282E487F">
                  <w:pPr>
                    <w:pStyle w:val="80"/>
                  </w:pPr>
                  <w:r>
                    <w:t>3</w:t>
                  </w:r>
                </w:p>
              </w:tc>
              <w:tc>
                <w:tcPr>
                  <w:tcW w:w="773" w:type="pct"/>
                  <w:tcBorders>
                    <w:tl2br w:val="nil"/>
                    <w:tr2bl w:val="nil"/>
                  </w:tcBorders>
                  <w:shd w:val="clear" w:color="auto" w:fill="FFFFFF"/>
                  <w:vAlign w:val="center"/>
                </w:tcPr>
                <w:p w14:paraId="452F87CB">
                  <w:pPr>
                    <w:pStyle w:val="80"/>
                  </w:pPr>
                  <w:r>
                    <w:t>充装泵3</w:t>
                  </w:r>
                </w:p>
              </w:tc>
              <w:tc>
                <w:tcPr>
                  <w:tcW w:w="454" w:type="pct"/>
                  <w:tcBorders>
                    <w:tl2br w:val="nil"/>
                    <w:tr2bl w:val="nil"/>
                  </w:tcBorders>
                  <w:shd w:val="clear" w:color="auto" w:fill="FFFFFF"/>
                  <w:vAlign w:val="center"/>
                </w:tcPr>
                <w:p w14:paraId="5A719DDD">
                  <w:pPr>
                    <w:pStyle w:val="80"/>
                  </w:pPr>
                  <w:r>
                    <w:t>-60.8</w:t>
                  </w:r>
                </w:p>
              </w:tc>
              <w:tc>
                <w:tcPr>
                  <w:tcW w:w="609" w:type="pct"/>
                  <w:tcBorders>
                    <w:tl2br w:val="nil"/>
                    <w:tr2bl w:val="nil"/>
                  </w:tcBorders>
                  <w:shd w:val="clear" w:color="auto" w:fill="FFFFFF"/>
                  <w:vAlign w:val="center"/>
                </w:tcPr>
                <w:p w14:paraId="07126F13">
                  <w:pPr>
                    <w:pStyle w:val="80"/>
                  </w:pPr>
                  <w:r>
                    <w:t>-4.2</w:t>
                  </w:r>
                </w:p>
              </w:tc>
              <w:tc>
                <w:tcPr>
                  <w:tcW w:w="599" w:type="pct"/>
                  <w:tcBorders>
                    <w:tl2br w:val="nil"/>
                    <w:tr2bl w:val="nil"/>
                  </w:tcBorders>
                  <w:shd w:val="clear" w:color="auto" w:fill="FFFFFF"/>
                  <w:vAlign w:val="center"/>
                </w:tcPr>
                <w:p w14:paraId="3DA08D17">
                  <w:pPr>
                    <w:pStyle w:val="80"/>
                  </w:pPr>
                  <w:r>
                    <w:t>1.2</w:t>
                  </w:r>
                </w:p>
              </w:tc>
              <w:tc>
                <w:tcPr>
                  <w:tcW w:w="1470" w:type="pct"/>
                  <w:tcBorders>
                    <w:tl2br w:val="nil"/>
                    <w:tr2bl w:val="nil"/>
                  </w:tcBorders>
                  <w:shd w:val="clear" w:color="auto" w:fill="FFFFFF"/>
                  <w:vAlign w:val="center"/>
                </w:tcPr>
                <w:p w14:paraId="39C22678">
                  <w:pPr>
                    <w:pStyle w:val="80"/>
                  </w:pPr>
                  <w:r>
                    <w:t>75</w:t>
                  </w:r>
                </w:p>
              </w:tc>
              <w:tc>
                <w:tcPr>
                  <w:tcW w:w="717" w:type="pct"/>
                  <w:tcBorders>
                    <w:tl2br w:val="nil"/>
                    <w:tr2bl w:val="nil"/>
                  </w:tcBorders>
                  <w:shd w:val="clear" w:color="auto" w:fill="FFFFFF"/>
                  <w:vAlign w:val="center"/>
                </w:tcPr>
                <w:p w14:paraId="0F2AA9CA">
                  <w:pPr>
                    <w:pStyle w:val="80"/>
                  </w:pPr>
                  <w:r>
                    <w:t>24.0</w:t>
                  </w:r>
                </w:p>
              </w:tc>
            </w:tr>
            <w:tr w14:paraId="3CCD3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trPr>
              <w:tc>
                <w:tcPr>
                  <w:tcW w:w="375" w:type="pct"/>
                  <w:tcBorders>
                    <w:tl2br w:val="nil"/>
                    <w:tr2bl w:val="nil"/>
                  </w:tcBorders>
                  <w:shd w:val="clear" w:color="auto" w:fill="FFFFFF"/>
                  <w:vAlign w:val="center"/>
                </w:tcPr>
                <w:p w14:paraId="36485F53">
                  <w:pPr>
                    <w:pStyle w:val="80"/>
                  </w:pPr>
                  <w:r>
                    <w:t>4</w:t>
                  </w:r>
                </w:p>
              </w:tc>
              <w:tc>
                <w:tcPr>
                  <w:tcW w:w="773" w:type="pct"/>
                  <w:tcBorders>
                    <w:tl2br w:val="nil"/>
                    <w:tr2bl w:val="nil"/>
                  </w:tcBorders>
                  <w:shd w:val="clear" w:color="auto" w:fill="FFFFFF"/>
                  <w:vAlign w:val="center"/>
                </w:tcPr>
                <w:p w14:paraId="12FAC2FD">
                  <w:pPr>
                    <w:pStyle w:val="80"/>
                  </w:pPr>
                  <w:r>
                    <w:t>充装泵4</w:t>
                  </w:r>
                </w:p>
              </w:tc>
              <w:tc>
                <w:tcPr>
                  <w:tcW w:w="454" w:type="pct"/>
                  <w:tcBorders>
                    <w:tl2br w:val="nil"/>
                    <w:tr2bl w:val="nil"/>
                  </w:tcBorders>
                  <w:shd w:val="clear" w:color="auto" w:fill="FFFFFF"/>
                  <w:vAlign w:val="center"/>
                </w:tcPr>
                <w:p w14:paraId="0E8B2F09">
                  <w:pPr>
                    <w:pStyle w:val="80"/>
                  </w:pPr>
                  <w:r>
                    <w:t>-60.5</w:t>
                  </w:r>
                </w:p>
              </w:tc>
              <w:tc>
                <w:tcPr>
                  <w:tcW w:w="609" w:type="pct"/>
                  <w:tcBorders>
                    <w:tl2br w:val="nil"/>
                    <w:tr2bl w:val="nil"/>
                  </w:tcBorders>
                  <w:shd w:val="clear" w:color="auto" w:fill="FFFFFF"/>
                  <w:vAlign w:val="center"/>
                </w:tcPr>
                <w:p w14:paraId="19BEA5DE">
                  <w:pPr>
                    <w:pStyle w:val="80"/>
                  </w:pPr>
                  <w:r>
                    <w:t>-0.2</w:t>
                  </w:r>
                </w:p>
              </w:tc>
              <w:tc>
                <w:tcPr>
                  <w:tcW w:w="599" w:type="pct"/>
                  <w:tcBorders>
                    <w:tl2br w:val="nil"/>
                    <w:tr2bl w:val="nil"/>
                  </w:tcBorders>
                  <w:shd w:val="clear" w:color="auto" w:fill="FFFFFF"/>
                  <w:vAlign w:val="center"/>
                </w:tcPr>
                <w:p w14:paraId="5591390D">
                  <w:pPr>
                    <w:pStyle w:val="80"/>
                  </w:pPr>
                  <w:r>
                    <w:t>1.2</w:t>
                  </w:r>
                </w:p>
              </w:tc>
              <w:tc>
                <w:tcPr>
                  <w:tcW w:w="1470" w:type="pct"/>
                  <w:tcBorders>
                    <w:tl2br w:val="nil"/>
                    <w:tr2bl w:val="nil"/>
                  </w:tcBorders>
                  <w:shd w:val="clear" w:color="auto" w:fill="FFFFFF"/>
                  <w:vAlign w:val="center"/>
                </w:tcPr>
                <w:p w14:paraId="354461BB">
                  <w:pPr>
                    <w:pStyle w:val="80"/>
                  </w:pPr>
                  <w:r>
                    <w:t>75</w:t>
                  </w:r>
                </w:p>
              </w:tc>
              <w:tc>
                <w:tcPr>
                  <w:tcW w:w="717" w:type="pct"/>
                  <w:tcBorders>
                    <w:tl2br w:val="nil"/>
                    <w:tr2bl w:val="nil"/>
                  </w:tcBorders>
                  <w:shd w:val="clear" w:color="auto" w:fill="FFFFFF"/>
                  <w:vAlign w:val="center"/>
                </w:tcPr>
                <w:p w14:paraId="6C069ABE">
                  <w:pPr>
                    <w:pStyle w:val="80"/>
                  </w:pPr>
                  <w:r>
                    <w:t>24.0</w:t>
                  </w:r>
                </w:p>
              </w:tc>
            </w:tr>
          </w:tbl>
          <w:p w14:paraId="68159AE4">
            <w:pPr>
              <w:autoSpaceDE w:val="0"/>
              <w:autoSpaceDN w:val="0"/>
              <w:adjustRightInd w:val="0"/>
              <w:snapToGrid w:val="0"/>
              <w:spacing w:line="240" w:lineRule="auto"/>
              <w:ind w:firstLine="0" w:firstLineChars="0"/>
              <w:jc w:val="center"/>
              <w:textAlignment w:val="auto"/>
              <w:rPr>
                <w:rFonts w:ascii="宋体" w:hAnsi="宋体" w:cs="宋体"/>
                <w:kern w:val="0"/>
                <w:sz w:val="22"/>
              </w:rPr>
            </w:pPr>
            <w:r>
              <w:rPr>
                <w:rFonts w:cs="Times New Roman"/>
                <w:b/>
                <w:bCs/>
                <w:sz w:val="21"/>
                <w:szCs w:val="21"/>
              </w:rPr>
              <w:t>表4-4  工业企业噪声源强调查清单（室内声源）</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412"/>
              <w:gridCol w:w="581"/>
              <w:gridCol w:w="425"/>
              <w:gridCol w:w="425"/>
              <w:gridCol w:w="259"/>
              <w:gridCol w:w="359"/>
              <w:gridCol w:w="259"/>
              <w:gridCol w:w="359"/>
              <w:gridCol w:w="259"/>
              <w:gridCol w:w="358"/>
              <w:gridCol w:w="358"/>
              <w:gridCol w:w="358"/>
              <w:gridCol w:w="358"/>
              <w:gridCol w:w="413"/>
              <w:gridCol w:w="358"/>
              <w:gridCol w:w="358"/>
              <w:gridCol w:w="358"/>
              <w:gridCol w:w="358"/>
              <w:gridCol w:w="358"/>
              <w:gridCol w:w="358"/>
              <w:gridCol w:w="358"/>
              <w:gridCol w:w="358"/>
              <w:gridCol w:w="217"/>
            </w:tblGrid>
            <w:tr w14:paraId="0F57C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2" w:hRule="exact"/>
              </w:trPr>
              <w:tc>
                <w:tcPr>
                  <w:tcW w:w="238" w:type="pct"/>
                  <w:vMerge w:val="restart"/>
                  <w:tcBorders>
                    <w:tl2br w:val="nil"/>
                    <w:tr2bl w:val="nil"/>
                  </w:tcBorders>
                  <w:vAlign w:val="center"/>
                </w:tcPr>
                <w:p w14:paraId="12F3E0AE">
                  <w:pPr>
                    <w:pStyle w:val="80"/>
                    <w:rPr>
                      <w:lang w:eastAsia="en-US"/>
                    </w:rPr>
                  </w:pPr>
                  <w:bookmarkStart w:id="25" w:name="PT_6"/>
                  <w:r>
                    <w:rPr>
                      <w:lang w:eastAsia="en-US"/>
                    </w:rPr>
                    <w:t>序号</w:t>
                  </w:r>
                </w:p>
              </w:tc>
              <w:tc>
                <w:tcPr>
                  <w:tcW w:w="238" w:type="pct"/>
                  <w:vMerge w:val="restart"/>
                  <w:tcBorders>
                    <w:tl2br w:val="nil"/>
                    <w:tr2bl w:val="nil"/>
                  </w:tcBorders>
                  <w:vAlign w:val="center"/>
                </w:tcPr>
                <w:p w14:paraId="23C721F3">
                  <w:pPr>
                    <w:pStyle w:val="80"/>
                    <w:rPr>
                      <w:lang w:eastAsia="en-US"/>
                    </w:rPr>
                  </w:pPr>
                  <w:r>
                    <w:rPr>
                      <w:lang w:eastAsia="en-US"/>
                    </w:rPr>
                    <w:t>声源名称</w:t>
                  </w:r>
                </w:p>
              </w:tc>
              <w:tc>
                <w:tcPr>
                  <w:tcW w:w="334" w:type="pct"/>
                  <w:tcBorders>
                    <w:tl2br w:val="nil"/>
                    <w:tr2bl w:val="nil"/>
                  </w:tcBorders>
                  <w:vAlign w:val="center"/>
                </w:tcPr>
                <w:p w14:paraId="59A81888">
                  <w:pPr>
                    <w:pStyle w:val="80"/>
                  </w:pPr>
                  <w:r>
                    <w:t>声源源强</w:t>
                  </w:r>
                </w:p>
              </w:tc>
              <w:tc>
                <w:tcPr>
                  <w:tcW w:w="640" w:type="pct"/>
                  <w:gridSpan w:val="3"/>
                  <w:tcBorders>
                    <w:tl2br w:val="nil"/>
                    <w:tr2bl w:val="nil"/>
                  </w:tcBorders>
                  <w:vAlign w:val="center"/>
                </w:tcPr>
                <w:p w14:paraId="2357FB85">
                  <w:pPr>
                    <w:pStyle w:val="80"/>
                    <w:rPr>
                      <w:lang w:eastAsia="en-US"/>
                    </w:rPr>
                  </w:pPr>
                  <w:r>
                    <w:rPr>
                      <w:lang w:eastAsia="en-US"/>
                    </w:rPr>
                    <w:t>空间相对位置/m</w:t>
                  </w:r>
                </w:p>
              </w:tc>
              <w:tc>
                <w:tcPr>
                  <w:tcW w:w="713" w:type="pct"/>
                  <w:gridSpan w:val="4"/>
                  <w:tcBorders>
                    <w:tl2br w:val="nil"/>
                    <w:tr2bl w:val="nil"/>
                  </w:tcBorders>
                  <w:vAlign w:val="center"/>
                </w:tcPr>
                <w:p w14:paraId="6B69229E">
                  <w:pPr>
                    <w:pStyle w:val="80"/>
                    <w:rPr>
                      <w:lang w:eastAsia="en-US"/>
                    </w:rPr>
                  </w:pPr>
                  <w:r>
                    <w:rPr>
                      <w:lang w:eastAsia="en-US"/>
                    </w:rPr>
                    <w:t>距室内边界距离/m</w:t>
                  </w:r>
                </w:p>
              </w:tc>
              <w:tc>
                <w:tcPr>
                  <w:tcW w:w="825" w:type="pct"/>
                  <w:gridSpan w:val="4"/>
                  <w:tcBorders>
                    <w:tl2br w:val="nil"/>
                    <w:tr2bl w:val="nil"/>
                  </w:tcBorders>
                  <w:vAlign w:val="center"/>
                </w:tcPr>
                <w:p w14:paraId="644E5984">
                  <w:pPr>
                    <w:pStyle w:val="80"/>
                    <w:rPr>
                      <w:lang w:eastAsia="en-US"/>
                    </w:rPr>
                  </w:pPr>
                  <w:r>
                    <w:rPr>
                      <w:lang w:eastAsia="en-US"/>
                    </w:rPr>
                    <w:t>室内边界声级/dB(A)</w:t>
                  </w:r>
                </w:p>
              </w:tc>
              <w:tc>
                <w:tcPr>
                  <w:tcW w:w="238" w:type="pct"/>
                  <w:vMerge w:val="restart"/>
                  <w:tcBorders>
                    <w:tl2br w:val="nil"/>
                    <w:tr2bl w:val="nil"/>
                  </w:tcBorders>
                  <w:vAlign w:val="center"/>
                </w:tcPr>
                <w:p w14:paraId="1143DDFD">
                  <w:pPr>
                    <w:pStyle w:val="80"/>
                    <w:rPr>
                      <w:lang w:eastAsia="en-US"/>
                    </w:rPr>
                  </w:pPr>
                  <w:r>
                    <w:rPr>
                      <w:lang w:eastAsia="en-US"/>
                    </w:rPr>
                    <w:t>运行时段</w:t>
                  </w:r>
                </w:p>
              </w:tc>
              <w:tc>
                <w:tcPr>
                  <w:tcW w:w="825" w:type="pct"/>
                  <w:gridSpan w:val="4"/>
                  <w:tcBorders>
                    <w:tl2br w:val="nil"/>
                    <w:tr2bl w:val="nil"/>
                  </w:tcBorders>
                  <w:vAlign w:val="center"/>
                </w:tcPr>
                <w:p w14:paraId="3ACCBCC6">
                  <w:pPr>
                    <w:pStyle w:val="80"/>
                    <w:rPr>
                      <w:lang w:eastAsia="en-US"/>
                    </w:rPr>
                  </w:pPr>
                  <w:r>
                    <w:rPr>
                      <w:lang w:eastAsia="en-US"/>
                    </w:rPr>
                    <w:t>建筑物插入损失/dB(A)</w:t>
                  </w:r>
                  <w:bookmarkStart w:id="26" w:name="PT_10"/>
                  <w:bookmarkEnd w:id="26"/>
                </w:p>
              </w:tc>
              <w:tc>
                <w:tcPr>
                  <w:tcW w:w="945" w:type="pct"/>
                  <w:gridSpan w:val="5"/>
                  <w:tcBorders>
                    <w:tl2br w:val="nil"/>
                    <w:tr2bl w:val="nil"/>
                  </w:tcBorders>
                  <w:vAlign w:val="center"/>
                </w:tcPr>
                <w:p w14:paraId="0B48A812">
                  <w:pPr>
                    <w:pStyle w:val="80"/>
                    <w:rPr>
                      <w:lang w:eastAsia="en-US"/>
                    </w:rPr>
                  </w:pPr>
                  <w:r>
                    <w:rPr>
                      <w:lang w:eastAsia="en-US"/>
                    </w:rPr>
                    <w:t>建筑物外噪声声压级/dB(A)</w:t>
                  </w:r>
                </w:p>
              </w:tc>
            </w:tr>
            <w:tr w14:paraId="4B30D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38" w:type="pct"/>
                  <w:vMerge w:val="continue"/>
                  <w:tcBorders>
                    <w:tl2br w:val="nil"/>
                    <w:tr2bl w:val="nil"/>
                  </w:tcBorders>
                  <w:shd w:val="clear" w:color="auto" w:fill="FFFFFF"/>
                  <w:tcMar>
                    <w:top w:w="0" w:type="dxa"/>
                    <w:left w:w="0" w:type="dxa"/>
                    <w:bottom w:w="0" w:type="dxa"/>
                    <w:right w:w="0" w:type="dxa"/>
                  </w:tcMar>
                  <w:vAlign w:val="center"/>
                </w:tcPr>
                <w:p w14:paraId="5954C38C">
                  <w:pPr>
                    <w:pStyle w:val="80"/>
                  </w:pPr>
                </w:p>
              </w:tc>
              <w:tc>
                <w:tcPr>
                  <w:tcW w:w="238" w:type="pct"/>
                  <w:vMerge w:val="continue"/>
                  <w:tcBorders>
                    <w:tl2br w:val="nil"/>
                    <w:tr2bl w:val="nil"/>
                  </w:tcBorders>
                  <w:shd w:val="clear" w:color="auto" w:fill="FFFFFF"/>
                  <w:tcMar>
                    <w:top w:w="0" w:type="dxa"/>
                    <w:left w:w="0" w:type="dxa"/>
                    <w:bottom w:w="0" w:type="dxa"/>
                    <w:right w:w="0" w:type="dxa"/>
                  </w:tcMar>
                  <w:vAlign w:val="center"/>
                </w:tcPr>
                <w:p w14:paraId="6F6C3DC4">
                  <w:pPr>
                    <w:pStyle w:val="80"/>
                    <w:rPr>
                      <w:lang w:eastAsia="en-US"/>
                    </w:rPr>
                  </w:pPr>
                </w:p>
              </w:tc>
              <w:tc>
                <w:tcPr>
                  <w:tcW w:w="334" w:type="pct"/>
                  <w:tcBorders>
                    <w:tl2br w:val="nil"/>
                    <w:tr2bl w:val="nil"/>
                  </w:tcBorders>
                  <w:shd w:val="clear" w:color="auto" w:fill="FFFFFF"/>
                  <w:tcMar>
                    <w:top w:w="0" w:type="dxa"/>
                    <w:left w:w="0" w:type="dxa"/>
                    <w:bottom w:w="0" w:type="dxa"/>
                    <w:right w:w="0" w:type="dxa"/>
                  </w:tcMar>
                  <w:vAlign w:val="center"/>
                </w:tcPr>
                <w:p w14:paraId="204CE581">
                  <w:pPr>
                    <w:pStyle w:val="80"/>
                    <w:rPr>
                      <w:lang w:eastAsia="en-US"/>
                    </w:rPr>
                  </w:pPr>
                  <w:r>
                    <w:rPr>
                      <w:lang w:eastAsia="en-US"/>
                    </w:rPr>
                    <w:t>声功率级/dB(A)</w:t>
                  </w:r>
                </w:p>
              </w:tc>
              <w:tc>
                <w:tcPr>
                  <w:tcW w:w="245" w:type="pct"/>
                  <w:tcBorders>
                    <w:tl2br w:val="nil"/>
                    <w:tr2bl w:val="nil"/>
                  </w:tcBorders>
                  <w:shd w:val="clear" w:color="auto" w:fill="FFFFFF"/>
                  <w:tcMar>
                    <w:top w:w="0" w:type="dxa"/>
                    <w:left w:w="0" w:type="dxa"/>
                    <w:bottom w:w="0" w:type="dxa"/>
                    <w:right w:w="0" w:type="dxa"/>
                  </w:tcMar>
                  <w:vAlign w:val="center"/>
                </w:tcPr>
                <w:p w14:paraId="70E5017C">
                  <w:pPr>
                    <w:pStyle w:val="80"/>
                    <w:rPr>
                      <w:lang w:eastAsia="en-US"/>
                    </w:rPr>
                  </w:pPr>
                  <w:r>
                    <w:rPr>
                      <w:lang w:eastAsia="en-US"/>
                    </w:rPr>
                    <w:t>X</w:t>
                  </w:r>
                </w:p>
              </w:tc>
              <w:tc>
                <w:tcPr>
                  <w:tcW w:w="245" w:type="pct"/>
                  <w:tcBorders>
                    <w:tl2br w:val="nil"/>
                    <w:tr2bl w:val="nil"/>
                  </w:tcBorders>
                  <w:shd w:val="clear" w:color="auto" w:fill="FFFFFF"/>
                  <w:tcMar>
                    <w:top w:w="0" w:type="dxa"/>
                    <w:left w:w="0" w:type="dxa"/>
                    <w:bottom w:w="0" w:type="dxa"/>
                    <w:right w:w="0" w:type="dxa"/>
                  </w:tcMar>
                  <w:vAlign w:val="center"/>
                </w:tcPr>
                <w:p w14:paraId="110C0FE3">
                  <w:pPr>
                    <w:pStyle w:val="80"/>
                    <w:rPr>
                      <w:lang w:eastAsia="en-US"/>
                    </w:rPr>
                  </w:pPr>
                  <w:r>
                    <w:rPr>
                      <w:lang w:eastAsia="en-US"/>
                    </w:rPr>
                    <w:t>Y</w:t>
                  </w:r>
                </w:p>
              </w:tc>
              <w:tc>
                <w:tcPr>
                  <w:tcW w:w="149" w:type="pct"/>
                  <w:tcBorders>
                    <w:tl2br w:val="nil"/>
                    <w:tr2bl w:val="nil"/>
                  </w:tcBorders>
                  <w:shd w:val="clear" w:color="auto" w:fill="FFFFFF"/>
                  <w:tcMar>
                    <w:top w:w="0" w:type="dxa"/>
                    <w:left w:w="0" w:type="dxa"/>
                    <w:bottom w:w="0" w:type="dxa"/>
                    <w:right w:w="0" w:type="dxa"/>
                  </w:tcMar>
                  <w:vAlign w:val="center"/>
                </w:tcPr>
                <w:p w14:paraId="07895F4A">
                  <w:pPr>
                    <w:pStyle w:val="80"/>
                    <w:rPr>
                      <w:lang w:eastAsia="en-US"/>
                    </w:rPr>
                  </w:pPr>
                  <w:r>
                    <w:rPr>
                      <w:lang w:eastAsia="en-US"/>
                    </w:rPr>
                    <w:t>Z</w:t>
                  </w:r>
                </w:p>
              </w:tc>
              <w:tc>
                <w:tcPr>
                  <w:tcW w:w="207" w:type="pct"/>
                  <w:tcBorders>
                    <w:tl2br w:val="nil"/>
                    <w:tr2bl w:val="nil"/>
                  </w:tcBorders>
                  <w:shd w:val="clear" w:color="auto" w:fill="FFFFFF"/>
                  <w:tcMar>
                    <w:top w:w="0" w:type="dxa"/>
                    <w:left w:w="0" w:type="dxa"/>
                    <w:bottom w:w="0" w:type="dxa"/>
                    <w:right w:w="0" w:type="dxa"/>
                  </w:tcMar>
                  <w:vAlign w:val="center"/>
                </w:tcPr>
                <w:p w14:paraId="53C168C0">
                  <w:pPr>
                    <w:pStyle w:val="80"/>
                    <w:rPr>
                      <w:lang w:eastAsia="en-US"/>
                    </w:rPr>
                  </w:pPr>
                  <w:r>
                    <w:rPr>
                      <w:rFonts w:hint="eastAsia"/>
                    </w:rPr>
                    <w:t>东</w:t>
                  </w:r>
                </w:p>
              </w:tc>
              <w:tc>
                <w:tcPr>
                  <w:tcW w:w="149" w:type="pct"/>
                  <w:tcBorders>
                    <w:tl2br w:val="nil"/>
                    <w:tr2bl w:val="nil"/>
                  </w:tcBorders>
                  <w:shd w:val="clear" w:color="auto" w:fill="FFFFFF"/>
                  <w:tcMar>
                    <w:top w:w="0" w:type="dxa"/>
                    <w:left w:w="0" w:type="dxa"/>
                    <w:bottom w:w="0" w:type="dxa"/>
                    <w:right w:w="0" w:type="dxa"/>
                  </w:tcMar>
                  <w:vAlign w:val="center"/>
                </w:tcPr>
                <w:p w14:paraId="0186FCE9">
                  <w:pPr>
                    <w:pStyle w:val="80"/>
                    <w:rPr>
                      <w:lang w:eastAsia="en-US"/>
                    </w:rPr>
                  </w:pPr>
                  <w:r>
                    <w:rPr>
                      <w:rFonts w:hint="eastAsia"/>
                    </w:rPr>
                    <w:t>南</w:t>
                  </w:r>
                </w:p>
              </w:tc>
              <w:tc>
                <w:tcPr>
                  <w:tcW w:w="207" w:type="pct"/>
                  <w:tcBorders>
                    <w:tl2br w:val="nil"/>
                    <w:tr2bl w:val="nil"/>
                  </w:tcBorders>
                  <w:shd w:val="clear" w:color="auto" w:fill="FFFFFF"/>
                  <w:tcMar>
                    <w:top w:w="0" w:type="dxa"/>
                    <w:left w:w="0" w:type="dxa"/>
                    <w:bottom w:w="0" w:type="dxa"/>
                    <w:right w:w="0" w:type="dxa"/>
                  </w:tcMar>
                  <w:vAlign w:val="center"/>
                </w:tcPr>
                <w:p w14:paraId="3ACA3B6A">
                  <w:pPr>
                    <w:pStyle w:val="80"/>
                    <w:rPr>
                      <w:lang w:eastAsia="en-US"/>
                    </w:rPr>
                  </w:pPr>
                  <w:r>
                    <w:rPr>
                      <w:rFonts w:hint="eastAsia"/>
                    </w:rPr>
                    <w:t>西</w:t>
                  </w:r>
                </w:p>
              </w:tc>
              <w:tc>
                <w:tcPr>
                  <w:tcW w:w="149" w:type="pct"/>
                  <w:tcBorders>
                    <w:tl2br w:val="nil"/>
                    <w:tr2bl w:val="nil"/>
                  </w:tcBorders>
                  <w:shd w:val="clear" w:color="auto" w:fill="FFFFFF"/>
                  <w:tcMar>
                    <w:top w:w="0" w:type="dxa"/>
                    <w:left w:w="0" w:type="dxa"/>
                    <w:bottom w:w="0" w:type="dxa"/>
                    <w:right w:w="0" w:type="dxa"/>
                  </w:tcMar>
                  <w:vAlign w:val="center"/>
                </w:tcPr>
                <w:p w14:paraId="30797093">
                  <w:pPr>
                    <w:pStyle w:val="80"/>
                    <w:rPr>
                      <w:lang w:eastAsia="en-US"/>
                    </w:rPr>
                  </w:pPr>
                  <w:r>
                    <w:rPr>
                      <w:rFonts w:hint="eastAsia"/>
                    </w:rPr>
                    <w:t>北</w:t>
                  </w:r>
                </w:p>
              </w:tc>
              <w:tc>
                <w:tcPr>
                  <w:tcW w:w="206" w:type="pct"/>
                  <w:tcBorders>
                    <w:tl2br w:val="nil"/>
                    <w:tr2bl w:val="nil"/>
                  </w:tcBorders>
                  <w:shd w:val="clear" w:color="auto" w:fill="FFFFFF"/>
                  <w:tcMar>
                    <w:top w:w="0" w:type="dxa"/>
                    <w:left w:w="0" w:type="dxa"/>
                    <w:bottom w:w="0" w:type="dxa"/>
                    <w:right w:w="0" w:type="dxa"/>
                  </w:tcMar>
                  <w:vAlign w:val="center"/>
                </w:tcPr>
                <w:p w14:paraId="0F6BDF1B">
                  <w:pPr>
                    <w:pStyle w:val="80"/>
                    <w:rPr>
                      <w:lang w:eastAsia="en-US"/>
                    </w:rPr>
                  </w:pPr>
                  <w:r>
                    <w:rPr>
                      <w:rFonts w:hint="eastAsia"/>
                    </w:rPr>
                    <w:t>东</w:t>
                  </w:r>
                </w:p>
              </w:tc>
              <w:tc>
                <w:tcPr>
                  <w:tcW w:w="206" w:type="pct"/>
                  <w:tcBorders>
                    <w:tl2br w:val="nil"/>
                    <w:tr2bl w:val="nil"/>
                  </w:tcBorders>
                  <w:shd w:val="clear" w:color="auto" w:fill="FFFFFF"/>
                  <w:tcMar>
                    <w:top w:w="0" w:type="dxa"/>
                    <w:left w:w="0" w:type="dxa"/>
                    <w:bottom w:w="0" w:type="dxa"/>
                    <w:right w:w="0" w:type="dxa"/>
                  </w:tcMar>
                  <w:vAlign w:val="center"/>
                </w:tcPr>
                <w:p w14:paraId="2BEB5506">
                  <w:pPr>
                    <w:pStyle w:val="80"/>
                    <w:rPr>
                      <w:lang w:eastAsia="en-US"/>
                    </w:rPr>
                  </w:pPr>
                  <w:r>
                    <w:rPr>
                      <w:rFonts w:hint="eastAsia"/>
                    </w:rPr>
                    <w:t>南</w:t>
                  </w:r>
                </w:p>
              </w:tc>
              <w:tc>
                <w:tcPr>
                  <w:tcW w:w="206" w:type="pct"/>
                  <w:tcBorders>
                    <w:tl2br w:val="nil"/>
                    <w:tr2bl w:val="nil"/>
                  </w:tcBorders>
                  <w:shd w:val="clear" w:color="auto" w:fill="FFFFFF"/>
                  <w:tcMar>
                    <w:top w:w="0" w:type="dxa"/>
                    <w:left w:w="0" w:type="dxa"/>
                    <w:bottom w:w="0" w:type="dxa"/>
                    <w:right w:w="0" w:type="dxa"/>
                  </w:tcMar>
                  <w:vAlign w:val="center"/>
                </w:tcPr>
                <w:p w14:paraId="35564E38">
                  <w:pPr>
                    <w:pStyle w:val="80"/>
                    <w:rPr>
                      <w:lang w:eastAsia="en-US"/>
                    </w:rPr>
                  </w:pPr>
                  <w:r>
                    <w:rPr>
                      <w:rFonts w:hint="eastAsia"/>
                    </w:rPr>
                    <w:t>西</w:t>
                  </w:r>
                </w:p>
              </w:tc>
              <w:tc>
                <w:tcPr>
                  <w:tcW w:w="206" w:type="pct"/>
                  <w:tcBorders>
                    <w:tl2br w:val="nil"/>
                    <w:tr2bl w:val="nil"/>
                  </w:tcBorders>
                  <w:shd w:val="clear" w:color="auto" w:fill="FFFFFF"/>
                  <w:tcMar>
                    <w:top w:w="0" w:type="dxa"/>
                    <w:left w:w="0" w:type="dxa"/>
                    <w:bottom w:w="0" w:type="dxa"/>
                    <w:right w:w="0" w:type="dxa"/>
                  </w:tcMar>
                  <w:vAlign w:val="center"/>
                </w:tcPr>
                <w:p w14:paraId="7AEA4016">
                  <w:pPr>
                    <w:pStyle w:val="80"/>
                    <w:rPr>
                      <w:lang w:eastAsia="en-US"/>
                    </w:rPr>
                  </w:pPr>
                  <w:r>
                    <w:rPr>
                      <w:rFonts w:hint="eastAsia"/>
                    </w:rPr>
                    <w:t>北</w:t>
                  </w:r>
                </w:p>
              </w:tc>
              <w:tc>
                <w:tcPr>
                  <w:tcW w:w="238" w:type="pct"/>
                  <w:vMerge w:val="continue"/>
                  <w:tcBorders>
                    <w:tl2br w:val="nil"/>
                    <w:tr2bl w:val="nil"/>
                  </w:tcBorders>
                  <w:shd w:val="clear" w:color="auto" w:fill="FFFFFF"/>
                  <w:tcMar>
                    <w:top w:w="0" w:type="dxa"/>
                    <w:left w:w="0" w:type="dxa"/>
                    <w:bottom w:w="0" w:type="dxa"/>
                    <w:right w:w="0" w:type="dxa"/>
                  </w:tcMar>
                  <w:vAlign w:val="center"/>
                </w:tcPr>
                <w:p w14:paraId="1CBBD402">
                  <w:pPr>
                    <w:pStyle w:val="80"/>
                    <w:rPr>
                      <w:lang w:eastAsia="en-US"/>
                    </w:rPr>
                  </w:pPr>
                </w:p>
              </w:tc>
              <w:tc>
                <w:tcPr>
                  <w:tcW w:w="206" w:type="pct"/>
                  <w:tcBorders>
                    <w:tl2br w:val="nil"/>
                    <w:tr2bl w:val="nil"/>
                  </w:tcBorders>
                  <w:shd w:val="clear" w:color="auto" w:fill="FFFFFF"/>
                  <w:tcMar>
                    <w:top w:w="0" w:type="dxa"/>
                    <w:left w:w="0" w:type="dxa"/>
                    <w:bottom w:w="0" w:type="dxa"/>
                    <w:right w:w="0" w:type="dxa"/>
                  </w:tcMar>
                  <w:vAlign w:val="center"/>
                </w:tcPr>
                <w:p w14:paraId="7DF148F7">
                  <w:pPr>
                    <w:pStyle w:val="80"/>
                    <w:rPr>
                      <w:lang w:eastAsia="en-US"/>
                    </w:rPr>
                  </w:pPr>
                  <w:r>
                    <w:rPr>
                      <w:rFonts w:hint="eastAsia"/>
                    </w:rPr>
                    <w:t>东</w:t>
                  </w:r>
                </w:p>
              </w:tc>
              <w:tc>
                <w:tcPr>
                  <w:tcW w:w="206" w:type="pct"/>
                  <w:tcBorders>
                    <w:tl2br w:val="nil"/>
                    <w:tr2bl w:val="nil"/>
                  </w:tcBorders>
                  <w:shd w:val="clear" w:color="auto" w:fill="FFFFFF"/>
                  <w:tcMar>
                    <w:top w:w="0" w:type="dxa"/>
                    <w:left w:w="0" w:type="dxa"/>
                    <w:bottom w:w="0" w:type="dxa"/>
                    <w:right w:w="0" w:type="dxa"/>
                  </w:tcMar>
                  <w:vAlign w:val="center"/>
                </w:tcPr>
                <w:p w14:paraId="518652A1">
                  <w:pPr>
                    <w:pStyle w:val="80"/>
                    <w:rPr>
                      <w:lang w:eastAsia="en-US"/>
                    </w:rPr>
                  </w:pPr>
                  <w:r>
                    <w:rPr>
                      <w:rFonts w:hint="eastAsia"/>
                    </w:rPr>
                    <w:t>南</w:t>
                  </w:r>
                </w:p>
              </w:tc>
              <w:tc>
                <w:tcPr>
                  <w:tcW w:w="206" w:type="pct"/>
                  <w:tcBorders>
                    <w:tl2br w:val="nil"/>
                    <w:tr2bl w:val="nil"/>
                  </w:tcBorders>
                  <w:shd w:val="clear" w:color="auto" w:fill="FFFFFF"/>
                  <w:tcMar>
                    <w:top w:w="0" w:type="dxa"/>
                    <w:left w:w="0" w:type="dxa"/>
                    <w:bottom w:w="0" w:type="dxa"/>
                    <w:right w:w="0" w:type="dxa"/>
                  </w:tcMar>
                  <w:vAlign w:val="center"/>
                </w:tcPr>
                <w:p w14:paraId="7BB9A5E0">
                  <w:pPr>
                    <w:pStyle w:val="80"/>
                    <w:rPr>
                      <w:lang w:eastAsia="en-US"/>
                    </w:rPr>
                  </w:pPr>
                  <w:r>
                    <w:rPr>
                      <w:rFonts w:hint="eastAsia"/>
                    </w:rPr>
                    <w:t>西</w:t>
                  </w:r>
                </w:p>
              </w:tc>
              <w:tc>
                <w:tcPr>
                  <w:tcW w:w="206" w:type="pct"/>
                  <w:tcBorders>
                    <w:tl2br w:val="nil"/>
                    <w:tr2bl w:val="nil"/>
                  </w:tcBorders>
                  <w:shd w:val="clear" w:color="auto" w:fill="FFFFFF"/>
                  <w:tcMar>
                    <w:top w:w="0" w:type="dxa"/>
                    <w:left w:w="0" w:type="dxa"/>
                    <w:bottom w:w="0" w:type="dxa"/>
                    <w:right w:w="0" w:type="dxa"/>
                  </w:tcMar>
                  <w:vAlign w:val="center"/>
                </w:tcPr>
                <w:p w14:paraId="23D94E1E">
                  <w:pPr>
                    <w:pStyle w:val="80"/>
                    <w:rPr>
                      <w:lang w:eastAsia="en-US"/>
                    </w:rPr>
                  </w:pPr>
                  <w:r>
                    <w:rPr>
                      <w:rFonts w:hint="eastAsia"/>
                    </w:rPr>
                    <w:t>北</w:t>
                  </w:r>
                </w:p>
              </w:tc>
              <w:tc>
                <w:tcPr>
                  <w:tcW w:w="206" w:type="pct"/>
                  <w:tcBorders>
                    <w:tl2br w:val="nil"/>
                    <w:tr2bl w:val="nil"/>
                  </w:tcBorders>
                  <w:shd w:val="clear" w:color="auto" w:fill="FFFFFF"/>
                  <w:tcMar>
                    <w:top w:w="0" w:type="dxa"/>
                    <w:left w:w="0" w:type="dxa"/>
                    <w:bottom w:w="0" w:type="dxa"/>
                    <w:right w:w="0" w:type="dxa"/>
                  </w:tcMar>
                  <w:vAlign w:val="center"/>
                </w:tcPr>
                <w:p w14:paraId="34E2DADB">
                  <w:pPr>
                    <w:pStyle w:val="80"/>
                    <w:rPr>
                      <w:lang w:eastAsia="en-US"/>
                    </w:rPr>
                  </w:pPr>
                  <w:r>
                    <w:rPr>
                      <w:rFonts w:hint="eastAsia"/>
                    </w:rPr>
                    <w:t>东</w:t>
                  </w:r>
                </w:p>
              </w:tc>
              <w:tc>
                <w:tcPr>
                  <w:tcW w:w="206" w:type="pct"/>
                  <w:tcBorders>
                    <w:tl2br w:val="nil"/>
                    <w:tr2bl w:val="nil"/>
                  </w:tcBorders>
                  <w:shd w:val="clear" w:color="auto" w:fill="FFFFFF"/>
                  <w:tcMar>
                    <w:top w:w="0" w:type="dxa"/>
                    <w:left w:w="0" w:type="dxa"/>
                    <w:bottom w:w="0" w:type="dxa"/>
                    <w:right w:w="0" w:type="dxa"/>
                  </w:tcMar>
                  <w:vAlign w:val="center"/>
                </w:tcPr>
                <w:p w14:paraId="7FAC3331">
                  <w:pPr>
                    <w:pStyle w:val="80"/>
                    <w:rPr>
                      <w:lang w:eastAsia="en-US"/>
                    </w:rPr>
                  </w:pPr>
                  <w:r>
                    <w:rPr>
                      <w:rFonts w:hint="eastAsia"/>
                    </w:rPr>
                    <w:t>南</w:t>
                  </w:r>
                </w:p>
              </w:tc>
              <w:tc>
                <w:tcPr>
                  <w:tcW w:w="206" w:type="pct"/>
                  <w:tcBorders>
                    <w:tl2br w:val="nil"/>
                    <w:tr2bl w:val="nil"/>
                  </w:tcBorders>
                  <w:shd w:val="clear" w:color="auto" w:fill="FFFFFF"/>
                  <w:tcMar>
                    <w:top w:w="0" w:type="dxa"/>
                    <w:left w:w="0" w:type="dxa"/>
                    <w:bottom w:w="0" w:type="dxa"/>
                    <w:right w:w="0" w:type="dxa"/>
                  </w:tcMar>
                  <w:vAlign w:val="center"/>
                </w:tcPr>
                <w:p w14:paraId="406BE9DE">
                  <w:pPr>
                    <w:pStyle w:val="80"/>
                    <w:rPr>
                      <w:lang w:eastAsia="en-US"/>
                    </w:rPr>
                  </w:pPr>
                  <w:r>
                    <w:rPr>
                      <w:rFonts w:hint="eastAsia"/>
                    </w:rPr>
                    <w:t>西</w:t>
                  </w:r>
                </w:p>
              </w:tc>
              <w:tc>
                <w:tcPr>
                  <w:tcW w:w="206" w:type="pct"/>
                  <w:tcBorders>
                    <w:tl2br w:val="nil"/>
                    <w:tr2bl w:val="nil"/>
                  </w:tcBorders>
                  <w:shd w:val="clear" w:color="auto" w:fill="FFFFFF"/>
                  <w:tcMar>
                    <w:top w:w="0" w:type="dxa"/>
                    <w:left w:w="0" w:type="dxa"/>
                    <w:bottom w:w="0" w:type="dxa"/>
                    <w:right w:w="0" w:type="dxa"/>
                  </w:tcMar>
                  <w:vAlign w:val="center"/>
                </w:tcPr>
                <w:p w14:paraId="6D33DDE5">
                  <w:pPr>
                    <w:pStyle w:val="80"/>
                    <w:rPr>
                      <w:lang w:eastAsia="en-US"/>
                    </w:rPr>
                  </w:pPr>
                  <w:r>
                    <w:rPr>
                      <w:rFonts w:hint="eastAsia"/>
                    </w:rPr>
                    <w:t>北</w:t>
                  </w:r>
                </w:p>
              </w:tc>
              <w:tc>
                <w:tcPr>
                  <w:tcW w:w="120" w:type="pct"/>
                  <w:tcBorders>
                    <w:tl2br w:val="nil"/>
                    <w:tr2bl w:val="nil"/>
                  </w:tcBorders>
                  <w:shd w:val="clear" w:color="auto" w:fill="FFFFFF"/>
                  <w:tcMar>
                    <w:top w:w="0" w:type="dxa"/>
                    <w:left w:w="0" w:type="dxa"/>
                    <w:bottom w:w="0" w:type="dxa"/>
                    <w:right w:w="0" w:type="dxa"/>
                  </w:tcMar>
                  <w:vAlign w:val="center"/>
                </w:tcPr>
                <w:p w14:paraId="12C733FD">
                  <w:pPr>
                    <w:pStyle w:val="80"/>
                    <w:rPr>
                      <w:lang w:eastAsia="en-US"/>
                    </w:rPr>
                  </w:pPr>
                  <w:r>
                    <w:rPr>
                      <w:lang w:eastAsia="en-US"/>
                    </w:rPr>
                    <w:t>建筑物外距离</w:t>
                  </w:r>
                </w:p>
              </w:tc>
            </w:tr>
            <w:tr w14:paraId="17F2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38" w:type="pct"/>
                  <w:tcBorders>
                    <w:tl2br w:val="nil"/>
                    <w:tr2bl w:val="nil"/>
                  </w:tcBorders>
                  <w:shd w:val="clear" w:color="auto" w:fill="FFFFFF"/>
                  <w:tcMar>
                    <w:top w:w="0" w:type="dxa"/>
                    <w:left w:w="0" w:type="dxa"/>
                    <w:bottom w:w="0" w:type="dxa"/>
                    <w:right w:w="0" w:type="dxa"/>
                  </w:tcMar>
                  <w:vAlign w:val="center"/>
                </w:tcPr>
                <w:p w14:paraId="0A740209">
                  <w:pPr>
                    <w:pStyle w:val="80"/>
                    <w:rPr>
                      <w:lang w:eastAsia="en-US"/>
                    </w:rPr>
                  </w:pPr>
                  <w:r>
                    <w:rPr>
                      <w:lang w:eastAsia="en-US"/>
                    </w:rPr>
                    <w:t>1</w:t>
                  </w:r>
                </w:p>
              </w:tc>
              <w:tc>
                <w:tcPr>
                  <w:tcW w:w="238" w:type="pct"/>
                  <w:tcBorders>
                    <w:tl2br w:val="nil"/>
                    <w:tr2bl w:val="nil"/>
                  </w:tcBorders>
                  <w:shd w:val="clear" w:color="auto" w:fill="FFFFFF"/>
                  <w:tcMar>
                    <w:top w:w="0" w:type="dxa"/>
                    <w:left w:w="0" w:type="dxa"/>
                    <w:bottom w:w="0" w:type="dxa"/>
                    <w:right w:w="0" w:type="dxa"/>
                  </w:tcMar>
                  <w:vAlign w:val="center"/>
                </w:tcPr>
                <w:p w14:paraId="204BBEE4">
                  <w:pPr>
                    <w:pStyle w:val="80"/>
                    <w:rPr>
                      <w:lang w:eastAsia="en-US"/>
                    </w:rPr>
                  </w:pPr>
                  <w:r>
                    <w:rPr>
                      <w:lang w:eastAsia="en-US"/>
                    </w:rPr>
                    <w:t>压缩机1</w:t>
                  </w:r>
                </w:p>
              </w:tc>
              <w:tc>
                <w:tcPr>
                  <w:tcW w:w="334" w:type="pct"/>
                  <w:tcBorders>
                    <w:tl2br w:val="nil"/>
                    <w:tr2bl w:val="nil"/>
                  </w:tcBorders>
                  <w:shd w:val="clear" w:color="auto" w:fill="FFFFFF"/>
                  <w:tcMar>
                    <w:top w:w="0" w:type="dxa"/>
                    <w:left w:w="0" w:type="dxa"/>
                    <w:bottom w:w="0" w:type="dxa"/>
                    <w:right w:w="0" w:type="dxa"/>
                  </w:tcMar>
                  <w:vAlign w:val="center"/>
                </w:tcPr>
                <w:p w14:paraId="0EBF6D75">
                  <w:pPr>
                    <w:pStyle w:val="80"/>
                    <w:rPr>
                      <w:lang w:eastAsia="en-US"/>
                    </w:rPr>
                  </w:pPr>
                  <w:r>
                    <w:rPr>
                      <w:lang w:eastAsia="en-US"/>
                    </w:rPr>
                    <w:t>85</w:t>
                  </w:r>
                </w:p>
              </w:tc>
              <w:tc>
                <w:tcPr>
                  <w:tcW w:w="245" w:type="pct"/>
                  <w:tcBorders>
                    <w:tl2br w:val="nil"/>
                    <w:tr2bl w:val="nil"/>
                  </w:tcBorders>
                  <w:shd w:val="clear" w:color="auto" w:fill="FFFFFF"/>
                  <w:tcMar>
                    <w:top w:w="0" w:type="dxa"/>
                    <w:left w:w="0" w:type="dxa"/>
                    <w:bottom w:w="0" w:type="dxa"/>
                    <w:right w:w="0" w:type="dxa"/>
                  </w:tcMar>
                  <w:vAlign w:val="center"/>
                </w:tcPr>
                <w:p w14:paraId="366CC7A8">
                  <w:pPr>
                    <w:pStyle w:val="80"/>
                    <w:rPr>
                      <w:lang w:eastAsia="en-US"/>
                    </w:rPr>
                  </w:pPr>
                  <w:r>
                    <w:rPr>
                      <w:lang w:eastAsia="en-US"/>
                    </w:rPr>
                    <w:t>-37.5</w:t>
                  </w:r>
                </w:p>
              </w:tc>
              <w:tc>
                <w:tcPr>
                  <w:tcW w:w="245" w:type="pct"/>
                  <w:tcBorders>
                    <w:tl2br w:val="nil"/>
                    <w:tr2bl w:val="nil"/>
                  </w:tcBorders>
                  <w:shd w:val="clear" w:color="auto" w:fill="FFFFFF"/>
                  <w:tcMar>
                    <w:top w:w="0" w:type="dxa"/>
                    <w:left w:w="0" w:type="dxa"/>
                    <w:bottom w:w="0" w:type="dxa"/>
                    <w:right w:w="0" w:type="dxa"/>
                  </w:tcMar>
                  <w:vAlign w:val="center"/>
                </w:tcPr>
                <w:p w14:paraId="370B587C">
                  <w:pPr>
                    <w:pStyle w:val="80"/>
                    <w:rPr>
                      <w:lang w:eastAsia="en-US"/>
                    </w:rPr>
                  </w:pPr>
                  <w:r>
                    <w:rPr>
                      <w:lang w:eastAsia="en-US"/>
                    </w:rPr>
                    <w:t>-10.4</w:t>
                  </w:r>
                </w:p>
              </w:tc>
              <w:tc>
                <w:tcPr>
                  <w:tcW w:w="149" w:type="pct"/>
                  <w:tcBorders>
                    <w:tl2br w:val="nil"/>
                    <w:tr2bl w:val="nil"/>
                  </w:tcBorders>
                  <w:shd w:val="clear" w:color="auto" w:fill="FFFFFF"/>
                  <w:tcMar>
                    <w:top w:w="0" w:type="dxa"/>
                    <w:left w:w="0" w:type="dxa"/>
                    <w:bottom w:w="0" w:type="dxa"/>
                    <w:right w:w="0" w:type="dxa"/>
                  </w:tcMar>
                  <w:vAlign w:val="center"/>
                </w:tcPr>
                <w:p w14:paraId="60B57A14">
                  <w:pPr>
                    <w:pStyle w:val="80"/>
                    <w:rPr>
                      <w:lang w:eastAsia="en-US"/>
                    </w:rPr>
                  </w:pPr>
                  <w:r>
                    <w:rPr>
                      <w:lang w:eastAsia="en-US"/>
                    </w:rPr>
                    <w:t>1.2</w:t>
                  </w:r>
                </w:p>
              </w:tc>
              <w:tc>
                <w:tcPr>
                  <w:tcW w:w="207" w:type="pct"/>
                  <w:tcBorders>
                    <w:tl2br w:val="nil"/>
                    <w:tr2bl w:val="nil"/>
                  </w:tcBorders>
                  <w:shd w:val="clear" w:color="auto" w:fill="FFFFFF"/>
                  <w:tcMar>
                    <w:top w:w="0" w:type="dxa"/>
                    <w:left w:w="0" w:type="dxa"/>
                    <w:bottom w:w="0" w:type="dxa"/>
                    <w:right w:w="0" w:type="dxa"/>
                  </w:tcMar>
                  <w:vAlign w:val="center"/>
                </w:tcPr>
                <w:p w14:paraId="0CC27B7B">
                  <w:pPr>
                    <w:pStyle w:val="80"/>
                    <w:rPr>
                      <w:lang w:eastAsia="en-US"/>
                    </w:rPr>
                  </w:pPr>
                  <w:r>
                    <w:rPr>
                      <w:lang w:eastAsia="en-US"/>
                    </w:rPr>
                    <w:t>4.6</w:t>
                  </w:r>
                </w:p>
              </w:tc>
              <w:tc>
                <w:tcPr>
                  <w:tcW w:w="149" w:type="pct"/>
                  <w:tcBorders>
                    <w:tl2br w:val="nil"/>
                    <w:tr2bl w:val="nil"/>
                  </w:tcBorders>
                  <w:shd w:val="clear" w:color="auto" w:fill="FFFFFF"/>
                  <w:tcMar>
                    <w:top w:w="0" w:type="dxa"/>
                    <w:left w:w="0" w:type="dxa"/>
                    <w:bottom w:w="0" w:type="dxa"/>
                    <w:right w:w="0" w:type="dxa"/>
                  </w:tcMar>
                  <w:vAlign w:val="center"/>
                </w:tcPr>
                <w:p w14:paraId="05163636">
                  <w:pPr>
                    <w:pStyle w:val="80"/>
                    <w:rPr>
                      <w:lang w:eastAsia="en-US"/>
                    </w:rPr>
                  </w:pPr>
                  <w:r>
                    <w:rPr>
                      <w:lang w:eastAsia="en-US"/>
                    </w:rPr>
                    <w:t>5.3</w:t>
                  </w:r>
                </w:p>
              </w:tc>
              <w:tc>
                <w:tcPr>
                  <w:tcW w:w="207" w:type="pct"/>
                  <w:tcBorders>
                    <w:tl2br w:val="nil"/>
                    <w:tr2bl w:val="nil"/>
                  </w:tcBorders>
                  <w:shd w:val="clear" w:color="auto" w:fill="FFFFFF"/>
                  <w:tcMar>
                    <w:top w:w="0" w:type="dxa"/>
                    <w:left w:w="0" w:type="dxa"/>
                    <w:bottom w:w="0" w:type="dxa"/>
                    <w:right w:w="0" w:type="dxa"/>
                  </w:tcMar>
                  <w:vAlign w:val="center"/>
                </w:tcPr>
                <w:p w14:paraId="6439F673">
                  <w:pPr>
                    <w:pStyle w:val="80"/>
                    <w:rPr>
                      <w:lang w:eastAsia="en-US"/>
                    </w:rPr>
                  </w:pPr>
                  <w:r>
                    <w:rPr>
                      <w:lang w:eastAsia="en-US"/>
                    </w:rPr>
                    <w:t>17.2</w:t>
                  </w:r>
                </w:p>
              </w:tc>
              <w:tc>
                <w:tcPr>
                  <w:tcW w:w="149" w:type="pct"/>
                  <w:tcBorders>
                    <w:tl2br w:val="nil"/>
                    <w:tr2bl w:val="nil"/>
                  </w:tcBorders>
                  <w:shd w:val="clear" w:color="auto" w:fill="FFFFFF"/>
                  <w:tcMar>
                    <w:top w:w="0" w:type="dxa"/>
                    <w:left w:w="0" w:type="dxa"/>
                    <w:bottom w:w="0" w:type="dxa"/>
                    <w:right w:w="0" w:type="dxa"/>
                  </w:tcMar>
                  <w:vAlign w:val="center"/>
                </w:tcPr>
                <w:p w14:paraId="1E5A3A4B">
                  <w:pPr>
                    <w:pStyle w:val="80"/>
                    <w:rPr>
                      <w:lang w:eastAsia="en-US"/>
                    </w:rPr>
                  </w:pPr>
                  <w:r>
                    <w:rPr>
                      <w:lang w:eastAsia="en-US"/>
                    </w:rPr>
                    <w:t>4.2</w:t>
                  </w:r>
                </w:p>
              </w:tc>
              <w:tc>
                <w:tcPr>
                  <w:tcW w:w="206" w:type="pct"/>
                  <w:tcBorders>
                    <w:tl2br w:val="nil"/>
                    <w:tr2bl w:val="nil"/>
                  </w:tcBorders>
                  <w:shd w:val="clear" w:color="auto" w:fill="FFFFFF"/>
                  <w:tcMar>
                    <w:top w:w="0" w:type="dxa"/>
                    <w:left w:w="0" w:type="dxa"/>
                    <w:bottom w:w="0" w:type="dxa"/>
                    <w:right w:w="0" w:type="dxa"/>
                  </w:tcMar>
                  <w:vAlign w:val="center"/>
                </w:tcPr>
                <w:p w14:paraId="76B431B8">
                  <w:pPr>
                    <w:pStyle w:val="80"/>
                    <w:rPr>
                      <w:lang w:eastAsia="en-US"/>
                    </w:rPr>
                  </w:pPr>
                  <w:r>
                    <w:rPr>
                      <w:lang w:eastAsia="en-US"/>
                    </w:rPr>
                    <w:t>76.1</w:t>
                  </w:r>
                </w:p>
              </w:tc>
              <w:tc>
                <w:tcPr>
                  <w:tcW w:w="206" w:type="pct"/>
                  <w:tcBorders>
                    <w:tl2br w:val="nil"/>
                    <w:tr2bl w:val="nil"/>
                  </w:tcBorders>
                  <w:shd w:val="clear" w:color="auto" w:fill="FFFFFF"/>
                  <w:tcMar>
                    <w:top w:w="0" w:type="dxa"/>
                    <w:left w:w="0" w:type="dxa"/>
                    <w:bottom w:w="0" w:type="dxa"/>
                    <w:right w:w="0" w:type="dxa"/>
                  </w:tcMar>
                  <w:vAlign w:val="center"/>
                </w:tcPr>
                <w:p w14:paraId="417F3D84">
                  <w:pPr>
                    <w:pStyle w:val="80"/>
                    <w:rPr>
                      <w:lang w:eastAsia="en-US"/>
                    </w:rPr>
                  </w:pPr>
                  <w:r>
                    <w:rPr>
                      <w:lang w:eastAsia="en-US"/>
                    </w:rPr>
                    <w:t>76.1</w:t>
                  </w:r>
                </w:p>
              </w:tc>
              <w:tc>
                <w:tcPr>
                  <w:tcW w:w="206" w:type="pct"/>
                  <w:tcBorders>
                    <w:tl2br w:val="nil"/>
                    <w:tr2bl w:val="nil"/>
                  </w:tcBorders>
                  <w:shd w:val="clear" w:color="auto" w:fill="FFFFFF"/>
                  <w:tcMar>
                    <w:top w:w="0" w:type="dxa"/>
                    <w:left w:w="0" w:type="dxa"/>
                    <w:bottom w:w="0" w:type="dxa"/>
                    <w:right w:w="0" w:type="dxa"/>
                  </w:tcMar>
                  <w:vAlign w:val="center"/>
                </w:tcPr>
                <w:p w14:paraId="7A015462">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31433868">
                  <w:pPr>
                    <w:pStyle w:val="80"/>
                    <w:rPr>
                      <w:lang w:eastAsia="en-US"/>
                    </w:rPr>
                  </w:pPr>
                  <w:r>
                    <w:rPr>
                      <w:lang w:eastAsia="en-US"/>
                    </w:rPr>
                    <w:t>76.1</w:t>
                  </w:r>
                </w:p>
              </w:tc>
              <w:tc>
                <w:tcPr>
                  <w:tcW w:w="238" w:type="pct"/>
                  <w:tcBorders>
                    <w:tl2br w:val="nil"/>
                    <w:tr2bl w:val="nil"/>
                  </w:tcBorders>
                  <w:shd w:val="clear" w:color="auto" w:fill="FFFFFF"/>
                  <w:tcMar>
                    <w:top w:w="0" w:type="dxa"/>
                    <w:left w:w="0" w:type="dxa"/>
                    <w:bottom w:w="0" w:type="dxa"/>
                    <w:right w:w="0" w:type="dxa"/>
                  </w:tcMar>
                  <w:vAlign w:val="center"/>
                </w:tcPr>
                <w:p w14:paraId="7F9F9547">
                  <w:pPr>
                    <w:pStyle w:val="80"/>
                    <w:rPr>
                      <w:lang w:eastAsia="en-US"/>
                    </w:rPr>
                  </w:pPr>
                  <w:r>
                    <w:rPr>
                      <w:lang w:eastAsia="en-US"/>
                    </w:rPr>
                    <w:t>24.0</w:t>
                  </w:r>
                </w:p>
              </w:tc>
              <w:tc>
                <w:tcPr>
                  <w:tcW w:w="206" w:type="pct"/>
                  <w:tcBorders>
                    <w:tl2br w:val="nil"/>
                    <w:tr2bl w:val="nil"/>
                  </w:tcBorders>
                  <w:shd w:val="clear" w:color="auto" w:fill="FFFFFF"/>
                  <w:tcMar>
                    <w:top w:w="0" w:type="dxa"/>
                    <w:left w:w="0" w:type="dxa"/>
                    <w:bottom w:w="0" w:type="dxa"/>
                    <w:right w:w="0" w:type="dxa"/>
                  </w:tcMar>
                  <w:vAlign w:val="center"/>
                </w:tcPr>
                <w:p w14:paraId="46A51D95">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12F5C160">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5E044ACC">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05AEF123">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2326C911">
                  <w:pPr>
                    <w:pStyle w:val="80"/>
                    <w:rPr>
                      <w:lang w:eastAsia="en-US"/>
                    </w:rPr>
                  </w:pPr>
                  <w:r>
                    <w:rPr>
                      <w:lang w:eastAsia="en-US"/>
                    </w:rPr>
                    <w:t>50.1</w:t>
                  </w:r>
                </w:p>
              </w:tc>
              <w:tc>
                <w:tcPr>
                  <w:tcW w:w="206" w:type="pct"/>
                  <w:tcBorders>
                    <w:tl2br w:val="nil"/>
                    <w:tr2bl w:val="nil"/>
                  </w:tcBorders>
                  <w:shd w:val="clear" w:color="auto" w:fill="FFFFFF"/>
                  <w:tcMar>
                    <w:top w:w="0" w:type="dxa"/>
                    <w:left w:w="0" w:type="dxa"/>
                    <w:bottom w:w="0" w:type="dxa"/>
                    <w:right w:w="0" w:type="dxa"/>
                  </w:tcMar>
                  <w:vAlign w:val="center"/>
                </w:tcPr>
                <w:p w14:paraId="08066603">
                  <w:pPr>
                    <w:pStyle w:val="80"/>
                    <w:rPr>
                      <w:lang w:eastAsia="en-US"/>
                    </w:rPr>
                  </w:pPr>
                  <w:r>
                    <w:rPr>
                      <w:lang w:eastAsia="en-US"/>
                    </w:rPr>
                    <w:t>50.1</w:t>
                  </w:r>
                </w:p>
              </w:tc>
              <w:tc>
                <w:tcPr>
                  <w:tcW w:w="206" w:type="pct"/>
                  <w:tcBorders>
                    <w:tl2br w:val="nil"/>
                    <w:tr2bl w:val="nil"/>
                  </w:tcBorders>
                  <w:shd w:val="clear" w:color="auto" w:fill="FFFFFF"/>
                  <w:tcMar>
                    <w:top w:w="0" w:type="dxa"/>
                    <w:left w:w="0" w:type="dxa"/>
                    <w:bottom w:w="0" w:type="dxa"/>
                    <w:right w:w="0" w:type="dxa"/>
                  </w:tcMar>
                  <w:vAlign w:val="center"/>
                </w:tcPr>
                <w:p w14:paraId="47B6E788">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39519CC3">
                  <w:pPr>
                    <w:pStyle w:val="80"/>
                    <w:rPr>
                      <w:lang w:eastAsia="en-US"/>
                    </w:rPr>
                  </w:pPr>
                  <w:r>
                    <w:rPr>
                      <w:lang w:eastAsia="en-US"/>
                    </w:rPr>
                    <w:t>50.1</w:t>
                  </w:r>
                </w:p>
              </w:tc>
              <w:tc>
                <w:tcPr>
                  <w:tcW w:w="120" w:type="pct"/>
                  <w:tcBorders>
                    <w:tl2br w:val="nil"/>
                    <w:tr2bl w:val="nil"/>
                  </w:tcBorders>
                  <w:shd w:val="clear" w:color="auto" w:fill="FFFFFF"/>
                  <w:tcMar>
                    <w:top w:w="0" w:type="dxa"/>
                    <w:left w:w="0" w:type="dxa"/>
                    <w:bottom w:w="0" w:type="dxa"/>
                    <w:right w:w="0" w:type="dxa"/>
                  </w:tcMar>
                  <w:vAlign w:val="center"/>
                </w:tcPr>
                <w:p w14:paraId="77991BB1">
                  <w:pPr>
                    <w:pStyle w:val="80"/>
                    <w:rPr>
                      <w:lang w:eastAsia="en-US"/>
                    </w:rPr>
                  </w:pPr>
                  <w:r>
                    <w:rPr>
                      <w:lang w:eastAsia="en-US"/>
                    </w:rPr>
                    <w:t>1</w:t>
                  </w:r>
                </w:p>
              </w:tc>
            </w:tr>
            <w:tr w14:paraId="36F39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38" w:type="pct"/>
                  <w:tcBorders>
                    <w:tl2br w:val="nil"/>
                    <w:tr2bl w:val="nil"/>
                  </w:tcBorders>
                  <w:shd w:val="clear" w:color="auto" w:fill="FFFFFF"/>
                  <w:tcMar>
                    <w:top w:w="0" w:type="dxa"/>
                    <w:left w:w="0" w:type="dxa"/>
                    <w:bottom w:w="0" w:type="dxa"/>
                    <w:right w:w="0" w:type="dxa"/>
                  </w:tcMar>
                  <w:vAlign w:val="center"/>
                </w:tcPr>
                <w:p w14:paraId="56E89A23">
                  <w:pPr>
                    <w:pStyle w:val="80"/>
                    <w:rPr>
                      <w:lang w:eastAsia="en-US"/>
                    </w:rPr>
                  </w:pPr>
                  <w:r>
                    <w:rPr>
                      <w:lang w:eastAsia="en-US"/>
                    </w:rPr>
                    <w:t>2</w:t>
                  </w:r>
                </w:p>
              </w:tc>
              <w:tc>
                <w:tcPr>
                  <w:tcW w:w="238" w:type="pct"/>
                  <w:tcBorders>
                    <w:tl2br w:val="nil"/>
                    <w:tr2bl w:val="nil"/>
                  </w:tcBorders>
                  <w:shd w:val="clear" w:color="auto" w:fill="FFFFFF"/>
                  <w:tcMar>
                    <w:top w:w="0" w:type="dxa"/>
                    <w:left w:w="0" w:type="dxa"/>
                    <w:bottom w:w="0" w:type="dxa"/>
                    <w:right w:w="0" w:type="dxa"/>
                  </w:tcMar>
                  <w:vAlign w:val="center"/>
                </w:tcPr>
                <w:p w14:paraId="72A42C5C">
                  <w:pPr>
                    <w:pStyle w:val="80"/>
                    <w:rPr>
                      <w:lang w:eastAsia="en-US"/>
                    </w:rPr>
                  </w:pPr>
                  <w:r>
                    <w:rPr>
                      <w:lang w:eastAsia="en-US"/>
                    </w:rPr>
                    <w:t>压缩机2</w:t>
                  </w:r>
                </w:p>
              </w:tc>
              <w:tc>
                <w:tcPr>
                  <w:tcW w:w="334" w:type="pct"/>
                  <w:tcBorders>
                    <w:tl2br w:val="nil"/>
                    <w:tr2bl w:val="nil"/>
                  </w:tcBorders>
                  <w:shd w:val="clear" w:color="auto" w:fill="FFFFFF"/>
                  <w:tcMar>
                    <w:top w:w="0" w:type="dxa"/>
                    <w:left w:w="0" w:type="dxa"/>
                    <w:bottom w:w="0" w:type="dxa"/>
                    <w:right w:w="0" w:type="dxa"/>
                  </w:tcMar>
                  <w:vAlign w:val="center"/>
                </w:tcPr>
                <w:p w14:paraId="1AE7A398">
                  <w:pPr>
                    <w:pStyle w:val="80"/>
                    <w:rPr>
                      <w:lang w:eastAsia="en-US"/>
                    </w:rPr>
                  </w:pPr>
                  <w:r>
                    <w:rPr>
                      <w:lang w:eastAsia="en-US"/>
                    </w:rPr>
                    <w:t>85</w:t>
                  </w:r>
                </w:p>
              </w:tc>
              <w:tc>
                <w:tcPr>
                  <w:tcW w:w="245" w:type="pct"/>
                  <w:tcBorders>
                    <w:tl2br w:val="nil"/>
                    <w:tr2bl w:val="nil"/>
                  </w:tcBorders>
                  <w:shd w:val="clear" w:color="auto" w:fill="FFFFFF"/>
                  <w:tcMar>
                    <w:top w:w="0" w:type="dxa"/>
                    <w:left w:w="0" w:type="dxa"/>
                    <w:bottom w:w="0" w:type="dxa"/>
                    <w:right w:w="0" w:type="dxa"/>
                  </w:tcMar>
                  <w:vAlign w:val="center"/>
                </w:tcPr>
                <w:p w14:paraId="35408891">
                  <w:pPr>
                    <w:pStyle w:val="80"/>
                    <w:rPr>
                      <w:lang w:eastAsia="en-US"/>
                    </w:rPr>
                  </w:pPr>
                  <w:r>
                    <w:rPr>
                      <w:lang w:eastAsia="en-US"/>
                    </w:rPr>
                    <w:t>-43</w:t>
                  </w:r>
                </w:p>
              </w:tc>
              <w:tc>
                <w:tcPr>
                  <w:tcW w:w="245" w:type="pct"/>
                  <w:tcBorders>
                    <w:tl2br w:val="nil"/>
                    <w:tr2bl w:val="nil"/>
                  </w:tcBorders>
                  <w:shd w:val="clear" w:color="auto" w:fill="FFFFFF"/>
                  <w:tcMar>
                    <w:top w:w="0" w:type="dxa"/>
                    <w:left w:w="0" w:type="dxa"/>
                    <w:bottom w:w="0" w:type="dxa"/>
                    <w:right w:w="0" w:type="dxa"/>
                  </w:tcMar>
                  <w:vAlign w:val="center"/>
                </w:tcPr>
                <w:p w14:paraId="2E4DB8C3">
                  <w:pPr>
                    <w:pStyle w:val="80"/>
                    <w:rPr>
                      <w:lang w:eastAsia="en-US"/>
                    </w:rPr>
                  </w:pPr>
                  <w:r>
                    <w:rPr>
                      <w:lang w:eastAsia="en-US"/>
                    </w:rPr>
                    <w:t>-10.2</w:t>
                  </w:r>
                </w:p>
              </w:tc>
              <w:tc>
                <w:tcPr>
                  <w:tcW w:w="149" w:type="pct"/>
                  <w:tcBorders>
                    <w:tl2br w:val="nil"/>
                    <w:tr2bl w:val="nil"/>
                  </w:tcBorders>
                  <w:shd w:val="clear" w:color="auto" w:fill="FFFFFF"/>
                  <w:tcMar>
                    <w:top w:w="0" w:type="dxa"/>
                    <w:left w:w="0" w:type="dxa"/>
                    <w:bottom w:w="0" w:type="dxa"/>
                    <w:right w:w="0" w:type="dxa"/>
                  </w:tcMar>
                  <w:vAlign w:val="center"/>
                </w:tcPr>
                <w:p w14:paraId="75A7C6EC">
                  <w:pPr>
                    <w:pStyle w:val="80"/>
                    <w:rPr>
                      <w:lang w:eastAsia="en-US"/>
                    </w:rPr>
                  </w:pPr>
                  <w:r>
                    <w:rPr>
                      <w:lang w:eastAsia="en-US"/>
                    </w:rPr>
                    <w:t>1.2</w:t>
                  </w:r>
                </w:p>
              </w:tc>
              <w:tc>
                <w:tcPr>
                  <w:tcW w:w="207" w:type="pct"/>
                  <w:tcBorders>
                    <w:tl2br w:val="nil"/>
                    <w:tr2bl w:val="nil"/>
                  </w:tcBorders>
                  <w:shd w:val="clear" w:color="auto" w:fill="FFFFFF"/>
                  <w:tcMar>
                    <w:top w:w="0" w:type="dxa"/>
                    <w:left w:w="0" w:type="dxa"/>
                    <w:bottom w:w="0" w:type="dxa"/>
                    <w:right w:w="0" w:type="dxa"/>
                  </w:tcMar>
                  <w:vAlign w:val="center"/>
                </w:tcPr>
                <w:p w14:paraId="1041E673">
                  <w:pPr>
                    <w:pStyle w:val="80"/>
                    <w:rPr>
                      <w:lang w:eastAsia="en-US"/>
                    </w:rPr>
                  </w:pPr>
                  <w:r>
                    <w:rPr>
                      <w:lang w:eastAsia="en-US"/>
                    </w:rPr>
                    <w:t>10.1</w:t>
                  </w:r>
                </w:p>
              </w:tc>
              <w:tc>
                <w:tcPr>
                  <w:tcW w:w="149" w:type="pct"/>
                  <w:tcBorders>
                    <w:tl2br w:val="nil"/>
                    <w:tr2bl w:val="nil"/>
                  </w:tcBorders>
                  <w:shd w:val="clear" w:color="auto" w:fill="FFFFFF"/>
                  <w:tcMar>
                    <w:top w:w="0" w:type="dxa"/>
                    <w:left w:w="0" w:type="dxa"/>
                    <w:bottom w:w="0" w:type="dxa"/>
                    <w:right w:w="0" w:type="dxa"/>
                  </w:tcMar>
                  <w:vAlign w:val="center"/>
                </w:tcPr>
                <w:p w14:paraId="76C9C914">
                  <w:pPr>
                    <w:pStyle w:val="80"/>
                    <w:rPr>
                      <w:lang w:eastAsia="en-US"/>
                    </w:rPr>
                  </w:pPr>
                  <w:r>
                    <w:rPr>
                      <w:lang w:eastAsia="en-US"/>
                    </w:rPr>
                    <w:t>5.5</w:t>
                  </w:r>
                </w:p>
              </w:tc>
              <w:tc>
                <w:tcPr>
                  <w:tcW w:w="207" w:type="pct"/>
                  <w:tcBorders>
                    <w:tl2br w:val="nil"/>
                    <w:tr2bl w:val="nil"/>
                  </w:tcBorders>
                  <w:shd w:val="clear" w:color="auto" w:fill="FFFFFF"/>
                  <w:tcMar>
                    <w:top w:w="0" w:type="dxa"/>
                    <w:left w:w="0" w:type="dxa"/>
                    <w:bottom w:w="0" w:type="dxa"/>
                    <w:right w:w="0" w:type="dxa"/>
                  </w:tcMar>
                  <w:vAlign w:val="center"/>
                </w:tcPr>
                <w:p w14:paraId="7749F708">
                  <w:pPr>
                    <w:pStyle w:val="80"/>
                    <w:rPr>
                      <w:lang w:eastAsia="en-US"/>
                    </w:rPr>
                  </w:pPr>
                  <w:r>
                    <w:rPr>
                      <w:lang w:eastAsia="en-US"/>
                    </w:rPr>
                    <w:t>11.7</w:t>
                  </w:r>
                </w:p>
              </w:tc>
              <w:tc>
                <w:tcPr>
                  <w:tcW w:w="149" w:type="pct"/>
                  <w:tcBorders>
                    <w:tl2br w:val="nil"/>
                    <w:tr2bl w:val="nil"/>
                  </w:tcBorders>
                  <w:shd w:val="clear" w:color="auto" w:fill="FFFFFF"/>
                  <w:tcMar>
                    <w:top w:w="0" w:type="dxa"/>
                    <w:left w:w="0" w:type="dxa"/>
                    <w:bottom w:w="0" w:type="dxa"/>
                    <w:right w:w="0" w:type="dxa"/>
                  </w:tcMar>
                  <w:vAlign w:val="center"/>
                </w:tcPr>
                <w:p w14:paraId="200EAADD">
                  <w:pPr>
                    <w:pStyle w:val="80"/>
                    <w:rPr>
                      <w:lang w:eastAsia="en-US"/>
                    </w:rPr>
                  </w:pPr>
                  <w:r>
                    <w:rPr>
                      <w:lang w:eastAsia="en-US"/>
                    </w:rPr>
                    <w:t>4.0</w:t>
                  </w:r>
                </w:p>
              </w:tc>
              <w:tc>
                <w:tcPr>
                  <w:tcW w:w="206" w:type="pct"/>
                  <w:tcBorders>
                    <w:tl2br w:val="nil"/>
                    <w:tr2bl w:val="nil"/>
                  </w:tcBorders>
                  <w:shd w:val="clear" w:color="auto" w:fill="FFFFFF"/>
                  <w:tcMar>
                    <w:top w:w="0" w:type="dxa"/>
                    <w:left w:w="0" w:type="dxa"/>
                    <w:bottom w:w="0" w:type="dxa"/>
                    <w:right w:w="0" w:type="dxa"/>
                  </w:tcMar>
                  <w:vAlign w:val="center"/>
                </w:tcPr>
                <w:p w14:paraId="5231B1C3">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2392CBFB">
                  <w:pPr>
                    <w:pStyle w:val="80"/>
                    <w:rPr>
                      <w:lang w:eastAsia="en-US"/>
                    </w:rPr>
                  </w:pPr>
                  <w:r>
                    <w:rPr>
                      <w:lang w:eastAsia="en-US"/>
                    </w:rPr>
                    <w:t>76.1</w:t>
                  </w:r>
                </w:p>
              </w:tc>
              <w:tc>
                <w:tcPr>
                  <w:tcW w:w="206" w:type="pct"/>
                  <w:tcBorders>
                    <w:tl2br w:val="nil"/>
                    <w:tr2bl w:val="nil"/>
                  </w:tcBorders>
                  <w:shd w:val="clear" w:color="auto" w:fill="FFFFFF"/>
                  <w:tcMar>
                    <w:top w:w="0" w:type="dxa"/>
                    <w:left w:w="0" w:type="dxa"/>
                    <w:bottom w:w="0" w:type="dxa"/>
                    <w:right w:w="0" w:type="dxa"/>
                  </w:tcMar>
                  <w:vAlign w:val="center"/>
                </w:tcPr>
                <w:p w14:paraId="364FBD93">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11240006">
                  <w:pPr>
                    <w:pStyle w:val="80"/>
                    <w:rPr>
                      <w:lang w:eastAsia="en-US"/>
                    </w:rPr>
                  </w:pPr>
                  <w:r>
                    <w:rPr>
                      <w:lang w:eastAsia="en-US"/>
                    </w:rPr>
                    <w:t>76.1</w:t>
                  </w:r>
                </w:p>
              </w:tc>
              <w:tc>
                <w:tcPr>
                  <w:tcW w:w="238" w:type="pct"/>
                  <w:tcBorders>
                    <w:tl2br w:val="nil"/>
                    <w:tr2bl w:val="nil"/>
                  </w:tcBorders>
                  <w:shd w:val="clear" w:color="auto" w:fill="FFFFFF"/>
                  <w:tcMar>
                    <w:top w:w="0" w:type="dxa"/>
                    <w:left w:w="0" w:type="dxa"/>
                    <w:bottom w:w="0" w:type="dxa"/>
                    <w:right w:w="0" w:type="dxa"/>
                  </w:tcMar>
                  <w:vAlign w:val="center"/>
                </w:tcPr>
                <w:p w14:paraId="68B814AD">
                  <w:pPr>
                    <w:pStyle w:val="80"/>
                    <w:rPr>
                      <w:lang w:eastAsia="en-US"/>
                    </w:rPr>
                  </w:pPr>
                  <w:r>
                    <w:rPr>
                      <w:lang w:eastAsia="en-US"/>
                    </w:rPr>
                    <w:t>24.0</w:t>
                  </w:r>
                </w:p>
              </w:tc>
              <w:tc>
                <w:tcPr>
                  <w:tcW w:w="206" w:type="pct"/>
                  <w:tcBorders>
                    <w:tl2br w:val="nil"/>
                    <w:tr2bl w:val="nil"/>
                  </w:tcBorders>
                  <w:shd w:val="clear" w:color="auto" w:fill="FFFFFF"/>
                  <w:tcMar>
                    <w:top w:w="0" w:type="dxa"/>
                    <w:left w:w="0" w:type="dxa"/>
                    <w:bottom w:w="0" w:type="dxa"/>
                    <w:right w:w="0" w:type="dxa"/>
                  </w:tcMar>
                  <w:vAlign w:val="center"/>
                </w:tcPr>
                <w:p w14:paraId="6CCB700F">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0DA61473">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25A2A9EF">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2EE2E1EA">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16211FF2">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4FED6DD8">
                  <w:pPr>
                    <w:pStyle w:val="80"/>
                    <w:rPr>
                      <w:lang w:eastAsia="en-US"/>
                    </w:rPr>
                  </w:pPr>
                  <w:r>
                    <w:rPr>
                      <w:lang w:eastAsia="en-US"/>
                    </w:rPr>
                    <w:t>50.1</w:t>
                  </w:r>
                </w:p>
              </w:tc>
              <w:tc>
                <w:tcPr>
                  <w:tcW w:w="206" w:type="pct"/>
                  <w:tcBorders>
                    <w:tl2br w:val="nil"/>
                    <w:tr2bl w:val="nil"/>
                  </w:tcBorders>
                  <w:shd w:val="clear" w:color="auto" w:fill="FFFFFF"/>
                  <w:tcMar>
                    <w:top w:w="0" w:type="dxa"/>
                    <w:left w:w="0" w:type="dxa"/>
                    <w:bottom w:w="0" w:type="dxa"/>
                    <w:right w:w="0" w:type="dxa"/>
                  </w:tcMar>
                  <w:vAlign w:val="center"/>
                </w:tcPr>
                <w:p w14:paraId="4C429998">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4A76C5C4">
                  <w:pPr>
                    <w:pStyle w:val="80"/>
                    <w:rPr>
                      <w:lang w:eastAsia="en-US"/>
                    </w:rPr>
                  </w:pPr>
                  <w:r>
                    <w:rPr>
                      <w:lang w:eastAsia="en-US"/>
                    </w:rPr>
                    <w:t>50.1</w:t>
                  </w:r>
                </w:p>
              </w:tc>
              <w:tc>
                <w:tcPr>
                  <w:tcW w:w="120" w:type="pct"/>
                  <w:tcBorders>
                    <w:tl2br w:val="nil"/>
                    <w:tr2bl w:val="nil"/>
                  </w:tcBorders>
                  <w:shd w:val="clear" w:color="auto" w:fill="FFFFFF"/>
                  <w:tcMar>
                    <w:top w:w="0" w:type="dxa"/>
                    <w:left w:w="0" w:type="dxa"/>
                    <w:bottom w:w="0" w:type="dxa"/>
                    <w:right w:w="0" w:type="dxa"/>
                  </w:tcMar>
                  <w:vAlign w:val="center"/>
                </w:tcPr>
                <w:p w14:paraId="74ADF08C">
                  <w:pPr>
                    <w:pStyle w:val="80"/>
                    <w:rPr>
                      <w:lang w:eastAsia="en-US"/>
                    </w:rPr>
                  </w:pPr>
                  <w:r>
                    <w:rPr>
                      <w:lang w:eastAsia="en-US"/>
                    </w:rPr>
                    <w:t>1</w:t>
                  </w:r>
                </w:p>
              </w:tc>
            </w:tr>
            <w:tr w14:paraId="08AE5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38" w:type="pct"/>
                  <w:tcBorders>
                    <w:tl2br w:val="nil"/>
                    <w:tr2bl w:val="nil"/>
                  </w:tcBorders>
                  <w:shd w:val="clear" w:color="auto" w:fill="FFFFFF"/>
                  <w:tcMar>
                    <w:top w:w="0" w:type="dxa"/>
                    <w:left w:w="0" w:type="dxa"/>
                    <w:bottom w:w="0" w:type="dxa"/>
                    <w:right w:w="0" w:type="dxa"/>
                  </w:tcMar>
                  <w:vAlign w:val="center"/>
                </w:tcPr>
                <w:p w14:paraId="1E562A77">
                  <w:pPr>
                    <w:pStyle w:val="80"/>
                    <w:rPr>
                      <w:lang w:eastAsia="en-US"/>
                    </w:rPr>
                  </w:pPr>
                  <w:r>
                    <w:rPr>
                      <w:lang w:eastAsia="en-US"/>
                    </w:rPr>
                    <w:t>3</w:t>
                  </w:r>
                </w:p>
              </w:tc>
              <w:tc>
                <w:tcPr>
                  <w:tcW w:w="238" w:type="pct"/>
                  <w:tcBorders>
                    <w:tl2br w:val="nil"/>
                    <w:tr2bl w:val="nil"/>
                  </w:tcBorders>
                  <w:shd w:val="clear" w:color="auto" w:fill="FFFFFF"/>
                  <w:tcMar>
                    <w:top w:w="0" w:type="dxa"/>
                    <w:left w:w="0" w:type="dxa"/>
                    <w:bottom w:w="0" w:type="dxa"/>
                    <w:right w:w="0" w:type="dxa"/>
                  </w:tcMar>
                  <w:vAlign w:val="center"/>
                </w:tcPr>
                <w:p w14:paraId="34B59765">
                  <w:pPr>
                    <w:pStyle w:val="80"/>
                    <w:rPr>
                      <w:lang w:eastAsia="en-US"/>
                    </w:rPr>
                  </w:pPr>
                  <w:r>
                    <w:rPr>
                      <w:lang w:eastAsia="en-US"/>
                    </w:rPr>
                    <w:t>压缩机3</w:t>
                  </w:r>
                </w:p>
              </w:tc>
              <w:tc>
                <w:tcPr>
                  <w:tcW w:w="334" w:type="pct"/>
                  <w:tcBorders>
                    <w:tl2br w:val="nil"/>
                    <w:tr2bl w:val="nil"/>
                  </w:tcBorders>
                  <w:shd w:val="clear" w:color="auto" w:fill="FFFFFF"/>
                  <w:tcMar>
                    <w:top w:w="0" w:type="dxa"/>
                    <w:left w:w="0" w:type="dxa"/>
                    <w:bottom w:w="0" w:type="dxa"/>
                    <w:right w:w="0" w:type="dxa"/>
                  </w:tcMar>
                  <w:vAlign w:val="center"/>
                </w:tcPr>
                <w:p w14:paraId="04C0BB63">
                  <w:pPr>
                    <w:pStyle w:val="80"/>
                    <w:rPr>
                      <w:lang w:eastAsia="en-US"/>
                    </w:rPr>
                  </w:pPr>
                  <w:r>
                    <w:rPr>
                      <w:lang w:eastAsia="en-US"/>
                    </w:rPr>
                    <w:t>85</w:t>
                  </w:r>
                </w:p>
              </w:tc>
              <w:tc>
                <w:tcPr>
                  <w:tcW w:w="245" w:type="pct"/>
                  <w:tcBorders>
                    <w:tl2br w:val="nil"/>
                    <w:tr2bl w:val="nil"/>
                  </w:tcBorders>
                  <w:shd w:val="clear" w:color="auto" w:fill="FFFFFF"/>
                  <w:tcMar>
                    <w:top w:w="0" w:type="dxa"/>
                    <w:left w:w="0" w:type="dxa"/>
                    <w:bottom w:w="0" w:type="dxa"/>
                    <w:right w:w="0" w:type="dxa"/>
                  </w:tcMar>
                  <w:vAlign w:val="center"/>
                </w:tcPr>
                <w:p w14:paraId="0C907571">
                  <w:pPr>
                    <w:pStyle w:val="80"/>
                    <w:rPr>
                      <w:lang w:eastAsia="en-US"/>
                    </w:rPr>
                  </w:pPr>
                  <w:r>
                    <w:rPr>
                      <w:lang w:eastAsia="en-US"/>
                    </w:rPr>
                    <w:t>-48.3</w:t>
                  </w:r>
                </w:p>
              </w:tc>
              <w:tc>
                <w:tcPr>
                  <w:tcW w:w="245" w:type="pct"/>
                  <w:tcBorders>
                    <w:tl2br w:val="nil"/>
                    <w:tr2bl w:val="nil"/>
                  </w:tcBorders>
                  <w:shd w:val="clear" w:color="auto" w:fill="FFFFFF"/>
                  <w:tcMar>
                    <w:top w:w="0" w:type="dxa"/>
                    <w:left w:w="0" w:type="dxa"/>
                    <w:bottom w:w="0" w:type="dxa"/>
                    <w:right w:w="0" w:type="dxa"/>
                  </w:tcMar>
                  <w:vAlign w:val="center"/>
                </w:tcPr>
                <w:p w14:paraId="380B7D8B">
                  <w:pPr>
                    <w:pStyle w:val="80"/>
                    <w:rPr>
                      <w:lang w:eastAsia="en-US"/>
                    </w:rPr>
                  </w:pPr>
                  <w:r>
                    <w:rPr>
                      <w:lang w:eastAsia="en-US"/>
                    </w:rPr>
                    <w:t>-9.7</w:t>
                  </w:r>
                </w:p>
              </w:tc>
              <w:tc>
                <w:tcPr>
                  <w:tcW w:w="149" w:type="pct"/>
                  <w:tcBorders>
                    <w:tl2br w:val="nil"/>
                    <w:tr2bl w:val="nil"/>
                  </w:tcBorders>
                  <w:shd w:val="clear" w:color="auto" w:fill="FFFFFF"/>
                  <w:tcMar>
                    <w:top w:w="0" w:type="dxa"/>
                    <w:left w:w="0" w:type="dxa"/>
                    <w:bottom w:w="0" w:type="dxa"/>
                    <w:right w:w="0" w:type="dxa"/>
                  </w:tcMar>
                  <w:vAlign w:val="center"/>
                </w:tcPr>
                <w:p w14:paraId="7106940E">
                  <w:pPr>
                    <w:pStyle w:val="80"/>
                    <w:rPr>
                      <w:lang w:eastAsia="en-US"/>
                    </w:rPr>
                  </w:pPr>
                  <w:r>
                    <w:rPr>
                      <w:lang w:eastAsia="en-US"/>
                    </w:rPr>
                    <w:t>1.2</w:t>
                  </w:r>
                </w:p>
              </w:tc>
              <w:tc>
                <w:tcPr>
                  <w:tcW w:w="207" w:type="pct"/>
                  <w:tcBorders>
                    <w:tl2br w:val="nil"/>
                    <w:tr2bl w:val="nil"/>
                  </w:tcBorders>
                  <w:shd w:val="clear" w:color="auto" w:fill="FFFFFF"/>
                  <w:tcMar>
                    <w:top w:w="0" w:type="dxa"/>
                    <w:left w:w="0" w:type="dxa"/>
                    <w:bottom w:w="0" w:type="dxa"/>
                    <w:right w:w="0" w:type="dxa"/>
                  </w:tcMar>
                  <w:vAlign w:val="center"/>
                </w:tcPr>
                <w:p w14:paraId="44C788B0">
                  <w:pPr>
                    <w:pStyle w:val="80"/>
                    <w:rPr>
                      <w:lang w:eastAsia="en-US"/>
                    </w:rPr>
                  </w:pPr>
                  <w:r>
                    <w:rPr>
                      <w:lang w:eastAsia="en-US"/>
                    </w:rPr>
                    <w:t>15.4</w:t>
                  </w:r>
                </w:p>
              </w:tc>
              <w:tc>
                <w:tcPr>
                  <w:tcW w:w="149" w:type="pct"/>
                  <w:tcBorders>
                    <w:tl2br w:val="nil"/>
                    <w:tr2bl w:val="nil"/>
                  </w:tcBorders>
                  <w:shd w:val="clear" w:color="auto" w:fill="FFFFFF"/>
                  <w:tcMar>
                    <w:top w:w="0" w:type="dxa"/>
                    <w:left w:w="0" w:type="dxa"/>
                    <w:bottom w:w="0" w:type="dxa"/>
                    <w:right w:w="0" w:type="dxa"/>
                  </w:tcMar>
                  <w:vAlign w:val="center"/>
                </w:tcPr>
                <w:p w14:paraId="16288EE4">
                  <w:pPr>
                    <w:pStyle w:val="80"/>
                    <w:rPr>
                      <w:lang w:eastAsia="en-US"/>
                    </w:rPr>
                  </w:pPr>
                  <w:r>
                    <w:rPr>
                      <w:lang w:eastAsia="en-US"/>
                    </w:rPr>
                    <w:t>6.0</w:t>
                  </w:r>
                </w:p>
              </w:tc>
              <w:tc>
                <w:tcPr>
                  <w:tcW w:w="207" w:type="pct"/>
                  <w:tcBorders>
                    <w:tl2br w:val="nil"/>
                    <w:tr2bl w:val="nil"/>
                  </w:tcBorders>
                  <w:shd w:val="clear" w:color="auto" w:fill="FFFFFF"/>
                  <w:tcMar>
                    <w:top w:w="0" w:type="dxa"/>
                    <w:left w:w="0" w:type="dxa"/>
                    <w:bottom w:w="0" w:type="dxa"/>
                    <w:right w:w="0" w:type="dxa"/>
                  </w:tcMar>
                  <w:vAlign w:val="center"/>
                </w:tcPr>
                <w:p w14:paraId="5A022D9B">
                  <w:pPr>
                    <w:pStyle w:val="80"/>
                    <w:rPr>
                      <w:lang w:eastAsia="en-US"/>
                    </w:rPr>
                  </w:pPr>
                  <w:r>
                    <w:rPr>
                      <w:lang w:eastAsia="en-US"/>
                    </w:rPr>
                    <w:t>6.4</w:t>
                  </w:r>
                </w:p>
              </w:tc>
              <w:tc>
                <w:tcPr>
                  <w:tcW w:w="149" w:type="pct"/>
                  <w:tcBorders>
                    <w:tl2br w:val="nil"/>
                    <w:tr2bl w:val="nil"/>
                  </w:tcBorders>
                  <w:shd w:val="clear" w:color="auto" w:fill="FFFFFF"/>
                  <w:tcMar>
                    <w:top w:w="0" w:type="dxa"/>
                    <w:left w:w="0" w:type="dxa"/>
                    <w:bottom w:w="0" w:type="dxa"/>
                    <w:right w:w="0" w:type="dxa"/>
                  </w:tcMar>
                  <w:vAlign w:val="center"/>
                </w:tcPr>
                <w:p w14:paraId="0F563E1E">
                  <w:pPr>
                    <w:pStyle w:val="80"/>
                    <w:rPr>
                      <w:lang w:eastAsia="en-US"/>
                    </w:rPr>
                  </w:pPr>
                  <w:r>
                    <w:rPr>
                      <w:lang w:eastAsia="en-US"/>
                    </w:rPr>
                    <w:t>3.5</w:t>
                  </w:r>
                </w:p>
              </w:tc>
              <w:tc>
                <w:tcPr>
                  <w:tcW w:w="206" w:type="pct"/>
                  <w:tcBorders>
                    <w:tl2br w:val="nil"/>
                    <w:tr2bl w:val="nil"/>
                  </w:tcBorders>
                  <w:shd w:val="clear" w:color="auto" w:fill="FFFFFF"/>
                  <w:tcMar>
                    <w:top w:w="0" w:type="dxa"/>
                    <w:left w:w="0" w:type="dxa"/>
                    <w:bottom w:w="0" w:type="dxa"/>
                    <w:right w:w="0" w:type="dxa"/>
                  </w:tcMar>
                  <w:vAlign w:val="center"/>
                </w:tcPr>
                <w:p w14:paraId="52921F98">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74F5B9D5">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714097C4">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5A398BDD">
                  <w:pPr>
                    <w:pStyle w:val="80"/>
                    <w:rPr>
                      <w:lang w:eastAsia="en-US"/>
                    </w:rPr>
                  </w:pPr>
                  <w:r>
                    <w:rPr>
                      <w:lang w:eastAsia="en-US"/>
                    </w:rPr>
                    <w:t>76.2</w:t>
                  </w:r>
                </w:p>
              </w:tc>
              <w:tc>
                <w:tcPr>
                  <w:tcW w:w="238" w:type="pct"/>
                  <w:tcBorders>
                    <w:tl2br w:val="nil"/>
                    <w:tr2bl w:val="nil"/>
                  </w:tcBorders>
                  <w:shd w:val="clear" w:color="auto" w:fill="FFFFFF"/>
                  <w:tcMar>
                    <w:top w:w="0" w:type="dxa"/>
                    <w:left w:w="0" w:type="dxa"/>
                    <w:bottom w:w="0" w:type="dxa"/>
                    <w:right w:w="0" w:type="dxa"/>
                  </w:tcMar>
                  <w:vAlign w:val="center"/>
                </w:tcPr>
                <w:p w14:paraId="3421F0F4">
                  <w:pPr>
                    <w:pStyle w:val="80"/>
                    <w:rPr>
                      <w:lang w:eastAsia="en-US"/>
                    </w:rPr>
                  </w:pPr>
                  <w:r>
                    <w:rPr>
                      <w:lang w:eastAsia="en-US"/>
                    </w:rPr>
                    <w:t>24.0</w:t>
                  </w:r>
                </w:p>
              </w:tc>
              <w:tc>
                <w:tcPr>
                  <w:tcW w:w="206" w:type="pct"/>
                  <w:tcBorders>
                    <w:tl2br w:val="nil"/>
                    <w:tr2bl w:val="nil"/>
                  </w:tcBorders>
                  <w:shd w:val="clear" w:color="auto" w:fill="FFFFFF"/>
                  <w:tcMar>
                    <w:top w:w="0" w:type="dxa"/>
                    <w:left w:w="0" w:type="dxa"/>
                    <w:bottom w:w="0" w:type="dxa"/>
                    <w:right w:w="0" w:type="dxa"/>
                  </w:tcMar>
                  <w:vAlign w:val="center"/>
                </w:tcPr>
                <w:p w14:paraId="382464CD">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3C31DFB0">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12AE472C">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4AC6848B">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7594A5C3">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21EB1710">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5ECD0EC9">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164B9A7E">
                  <w:pPr>
                    <w:pStyle w:val="80"/>
                    <w:rPr>
                      <w:lang w:eastAsia="en-US"/>
                    </w:rPr>
                  </w:pPr>
                  <w:r>
                    <w:rPr>
                      <w:lang w:eastAsia="en-US"/>
                    </w:rPr>
                    <w:t>50.2</w:t>
                  </w:r>
                </w:p>
              </w:tc>
              <w:tc>
                <w:tcPr>
                  <w:tcW w:w="120" w:type="pct"/>
                  <w:tcBorders>
                    <w:tl2br w:val="nil"/>
                    <w:tr2bl w:val="nil"/>
                  </w:tcBorders>
                  <w:shd w:val="clear" w:color="auto" w:fill="FFFFFF"/>
                  <w:tcMar>
                    <w:top w:w="0" w:type="dxa"/>
                    <w:left w:w="0" w:type="dxa"/>
                    <w:bottom w:w="0" w:type="dxa"/>
                    <w:right w:w="0" w:type="dxa"/>
                  </w:tcMar>
                  <w:vAlign w:val="center"/>
                </w:tcPr>
                <w:p w14:paraId="3CD2B4FC">
                  <w:pPr>
                    <w:pStyle w:val="80"/>
                    <w:rPr>
                      <w:lang w:eastAsia="en-US"/>
                    </w:rPr>
                  </w:pPr>
                  <w:r>
                    <w:rPr>
                      <w:lang w:eastAsia="en-US"/>
                    </w:rPr>
                    <w:t>1</w:t>
                  </w:r>
                </w:p>
              </w:tc>
            </w:tr>
            <w:tr w14:paraId="529E3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c>
                <w:tcPr>
                  <w:tcW w:w="238" w:type="pct"/>
                  <w:tcBorders>
                    <w:tl2br w:val="nil"/>
                    <w:tr2bl w:val="nil"/>
                  </w:tcBorders>
                  <w:shd w:val="clear" w:color="auto" w:fill="FFFFFF"/>
                  <w:tcMar>
                    <w:top w:w="0" w:type="dxa"/>
                    <w:left w:w="0" w:type="dxa"/>
                    <w:bottom w:w="0" w:type="dxa"/>
                    <w:right w:w="0" w:type="dxa"/>
                  </w:tcMar>
                  <w:vAlign w:val="center"/>
                </w:tcPr>
                <w:p w14:paraId="728E9EB0">
                  <w:pPr>
                    <w:pStyle w:val="80"/>
                    <w:rPr>
                      <w:lang w:eastAsia="en-US"/>
                    </w:rPr>
                  </w:pPr>
                  <w:r>
                    <w:rPr>
                      <w:lang w:eastAsia="en-US"/>
                    </w:rPr>
                    <w:t>4</w:t>
                  </w:r>
                </w:p>
              </w:tc>
              <w:tc>
                <w:tcPr>
                  <w:tcW w:w="238" w:type="pct"/>
                  <w:tcBorders>
                    <w:tl2br w:val="nil"/>
                    <w:tr2bl w:val="nil"/>
                  </w:tcBorders>
                  <w:shd w:val="clear" w:color="auto" w:fill="FFFFFF"/>
                  <w:tcMar>
                    <w:top w:w="0" w:type="dxa"/>
                    <w:left w:w="0" w:type="dxa"/>
                    <w:bottom w:w="0" w:type="dxa"/>
                    <w:right w:w="0" w:type="dxa"/>
                  </w:tcMar>
                  <w:vAlign w:val="center"/>
                </w:tcPr>
                <w:p w14:paraId="3F527042">
                  <w:pPr>
                    <w:pStyle w:val="80"/>
                    <w:rPr>
                      <w:lang w:eastAsia="en-US"/>
                    </w:rPr>
                  </w:pPr>
                  <w:r>
                    <w:rPr>
                      <w:lang w:eastAsia="en-US"/>
                    </w:rPr>
                    <w:t>压缩机4</w:t>
                  </w:r>
                </w:p>
              </w:tc>
              <w:tc>
                <w:tcPr>
                  <w:tcW w:w="334" w:type="pct"/>
                  <w:tcBorders>
                    <w:tl2br w:val="nil"/>
                    <w:tr2bl w:val="nil"/>
                  </w:tcBorders>
                  <w:shd w:val="clear" w:color="auto" w:fill="FFFFFF"/>
                  <w:tcMar>
                    <w:top w:w="0" w:type="dxa"/>
                    <w:left w:w="0" w:type="dxa"/>
                    <w:bottom w:w="0" w:type="dxa"/>
                    <w:right w:w="0" w:type="dxa"/>
                  </w:tcMar>
                  <w:vAlign w:val="center"/>
                </w:tcPr>
                <w:p w14:paraId="0290FE81">
                  <w:pPr>
                    <w:pStyle w:val="80"/>
                    <w:rPr>
                      <w:lang w:eastAsia="en-US"/>
                    </w:rPr>
                  </w:pPr>
                  <w:r>
                    <w:rPr>
                      <w:lang w:eastAsia="en-US"/>
                    </w:rPr>
                    <w:t>85</w:t>
                  </w:r>
                </w:p>
              </w:tc>
              <w:tc>
                <w:tcPr>
                  <w:tcW w:w="245" w:type="pct"/>
                  <w:tcBorders>
                    <w:tl2br w:val="nil"/>
                    <w:tr2bl w:val="nil"/>
                  </w:tcBorders>
                  <w:shd w:val="clear" w:color="auto" w:fill="FFFFFF"/>
                  <w:tcMar>
                    <w:top w:w="0" w:type="dxa"/>
                    <w:left w:w="0" w:type="dxa"/>
                    <w:bottom w:w="0" w:type="dxa"/>
                    <w:right w:w="0" w:type="dxa"/>
                  </w:tcMar>
                  <w:vAlign w:val="center"/>
                </w:tcPr>
                <w:p w14:paraId="2DF6B0F7">
                  <w:pPr>
                    <w:pStyle w:val="80"/>
                    <w:rPr>
                      <w:lang w:eastAsia="en-US"/>
                    </w:rPr>
                  </w:pPr>
                  <w:r>
                    <w:rPr>
                      <w:lang w:eastAsia="en-US"/>
                    </w:rPr>
                    <w:t>-52</w:t>
                  </w:r>
                </w:p>
              </w:tc>
              <w:tc>
                <w:tcPr>
                  <w:tcW w:w="245" w:type="pct"/>
                  <w:tcBorders>
                    <w:tl2br w:val="nil"/>
                    <w:tr2bl w:val="nil"/>
                  </w:tcBorders>
                  <w:shd w:val="clear" w:color="auto" w:fill="FFFFFF"/>
                  <w:tcMar>
                    <w:top w:w="0" w:type="dxa"/>
                    <w:left w:w="0" w:type="dxa"/>
                    <w:bottom w:w="0" w:type="dxa"/>
                    <w:right w:w="0" w:type="dxa"/>
                  </w:tcMar>
                  <w:vAlign w:val="center"/>
                </w:tcPr>
                <w:p w14:paraId="36882D48">
                  <w:pPr>
                    <w:pStyle w:val="80"/>
                    <w:rPr>
                      <w:lang w:eastAsia="en-US"/>
                    </w:rPr>
                  </w:pPr>
                  <w:r>
                    <w:rPr>
                      <w:lang w:eastAsia="en-US"/>
                    </w:rPr>
                    <w:t>-10.4</w:t>
                  </w:r>
                </w:p>
              </w:tc>
              <w:tc>
                <w:tcPr>
                  <w:tcW w:w="149" w:type="pct"/>
                  <w:tcBorders>
                    <w:tl2br w:val="nil"/>
                    <w:tr2bl w:val="nil"/>
                  </w:tcBorders>
                  <w:shd w:val="clear" w:color="auto" w:fill="FFFFFF"/>
                  <w:tcMar>
                    <w:top w:w="0" w:type="dxa"/>
                    <w:left w:w="0" w:type="dxa"/>
                    <w:bottom w:w="0" w:type="dxa"/>
                    <w:right w:w="0" w:type="dxa"/>
                  </w:tcMar>
                  <w:vAlign w:val="center"/>
                </w:tcPr>
                <w:p w14:paraId="145B3D09">
                  <w:pPr>
                    <w:pStyle w:val="80"/>
                    <w:rPr>
                      <w:lang w:eastAsia="en-US"/>
                    </w:rPr>
                  </w:pPr>
                  <w:r>
                    <w:rPr>
                      <w:lang w:eastAsia="en-US"/>
                    </w:rPr>
                    <w:t>1.2</w:t>
                  </w:r>
                </w:p>
              </w:tc>
              <w:tc>
                <w:tcPr>
                  <w:tcW w:w="207" w:type="pct"/>
                  <w:tcBorders>
                    <w:tl2br w:val="nil"/>
                    <w:tr2bl w:val="nil"/>
                  </w:tcBorders>
                  <w:shd w:val="clear" w:color="auto" w:fill="FFFFFF"/>
                  <w:tcMar>
                    <w:top w:w="0" w:type="dxa"/>
                    <w:left w:w="0" w:type="dxa"/>
                    <w:bottom w:w="0" w:type="dxa"/>
                    <w:right w:w="0" w:type="dxa"/>
                  </w:tcMar>
                  <w:vAlign w:val="center"/>
                </w:tcPr>
                <w:p w14:paraId="4CC66CF2">
                  <w:pPr>
                    <w:pStyle w:val="80"/>
                    <w:rPr>
                      <w:lang w:eastAsia="en-US"/>
                    </w:rPr>
                  </w:pPr>
                  <w:r>
                    <w:rPr>
                      <w:lang w:eastAsia="en-US"/>
                    </w:rPr>
                    <w:t>19.1</w:t>
                  </w:r>
                </w:p>
              </w:tc>
              <w:tc>
                <w:tcPr>
                  <w:tcW w:w="149" w:type="pct"/>
                  <w:tcBorders>
                    <w:tl2br w:val="nil"/>
                    <w:tr2bl w:val="nil"/>
                  </w:tcBorders>
                  <w:shd w:val="clear" w:color="auto" w:fill="FFFFFF"/>
                  <w:tcMar>
                    <w:top w:w="0" w:type="dxa"/>
                    <w:left w:w="0" w:type="dxa"/>
                    <w:bottom w:w="0" w:type="dxa"/>
                    <w:right w:w="0" w:type="dxa"/>
                  </w:tcMar>
                  <w:vAlign w:val="center"/>
                </w:tcPr>
                <w:p w14:paraId="5638F999">
                  <w:pPr>
                    <w:pStyle w:val="80"/>
                    <w:rPr>
                      <w:lang w:eastAsia="en-US"/>
                    </w:rPr>
                  </w:pPr>
                  <w:r>
                    <w:rPr>
                      <w:lang w:eastAsia="en-US"/>
                    </w:rPr>
                    <w:t>5.3</w:t>
                  </w:r>
                </w:p>
              </w:tc>
              <w:tc>
                <w:tcPr>
                  <w:tcW w:w="207" w:type="pct"/>
                  <w:tcBorders>
                    <w:tl2br w:val="nil"/>
                    <w:tr2bl w:val="nil"/>
                  </w:tcBorders>
                  <w:shd w:val="clear" w:color="auto" w:fill="FFFFFF"/>
                  <w:tcMar>
                    <w:top w:w="0" w:type="dxa"/>
                    <w:left w:w="0" w:type="dxa"/>
                    <w:bottom w:w="0" w:type="dxa"/>
                    <w:right w:w="0" w:type="dxa"/>
                  </w:tcMar>
                  <w:vAlign w:val="center"/>
                </w:tcPr>
                <w:p w14:paraId="27A67231">
                  <w:pPr>
                    <w:pStyle w:val="80"/>
                    <w:rPr>
                      <w:lang w:eastAsia="en-US"/>
                    </w:rPr>
                  </w:pPr>
                  <w:r>
                    <w:rPr>
                      <w:lang w:eastAsia="en-US"/>
                    </w:rPr>
                    <w:t>2.7</w:t>
                  </w:r>
                </w:p>
              </w:tc>
              <w:tc>
                <w:tcPr>
                  <w:tcW w:w="149" w:type="pct"/>
                  <w:tcBorders>
                    <w:tl2br w:val="nil"/>
                    <w:tr2bl w:val="nil"/>
                  </w:tcBorders>
                  <w:shd w:val="clear" w:color="auto" w:fill="FFFFFF"/>
                  <w:tcMar>
                    <w:top w:w="0" w:type="dxa"/>
                    <w:left w:w="0" w:type="dxa"/>
                    <w:bottom w:w="0" w:type="dxa"/>
                    <w:right w:w="0" w:type="dxa"/>
                  </w:tcMar>
                  <w:vAlign w:val="center"/>
                </w:tcPr>
                <w:p w14:paraId="3D3D4CDA">
                  <w:pPr>
                    <w:pStyle w:val="80"/>
                    <w:rPr>
                      <w:lang w:eastAsia="en-US"/>
                    </w:rPr>
                  </w:pPr>
                  <w:r>
                    <w:rPr>
                      <w:lang w:eastAsia="en-US"/>
                    </w:rPr>
                    <w:t>4.2</w:t>
                  </w:r>
                </w:p>
              </w:tc>
              <w:tc>
                <w:tcPr>
                  <w:tcW w:w="206" w:type="pct"/>
                  <w:tcBorders>
                    <w:tl2br w:val="nil"/>
                    <w:tr2bl w:val="nil"/>
                  </w:tcBorders>
                  <w:shd w:val="clear" w:color="auto" w:fill="FFFFFF"/>
                  <w:tcMar>
                    <w:top w:w="0" w:type="dxa"/>
                    <w:left w:w="0" w:type="dxa"/>
                    <w:bottom w:w="0" w:type="dxa"/>
                    <w:right w:w="0" w:type="dxa"/>
                  </w:tcMar>
                  <w:vAlign w:val="center"/>
                </w:tcPr>
                <w:p w14:paraId="5503D9DE">
                  <w:pPr>
                    <w:pStyle w:val="80"/>
                    <w:rPr>
                      <w:lang w:eastAsia="en-US"/>
                    </w:rPr>
                  </w:pPr>
                  <w:r>
                    <w:rPr>
                      <w:lang w:eastAsia="en-US"/>
                    </w:rPr>
                    <w:t>76.0</w:t>
                  </w:r>
                </w:p>
              </w:tc>
              <w:tc>
                <w:tcPr>
                  <w:tcW w:w="206" w:type="pct"/>
                  <w:tcBorders>
                    <w:tl2br w:val="nil"/>
                    <w:tr2bl w:val="nil"/>
                  </w:tcBorders>
                  <w:shd w:val="clear" w:color="auto" w:fill="FFFFFF"/>
                  <w:tcMar>
                    <w:top w:w="0" w:type="dxa"/>
                    <w:left w:w="0" w:type="dxa"/>
                    <w:bottom w:w="0" w:type="dxa"/>
                    <w:right w:w="0" w:type="dxa"/>
                  </w:tcMar>
                  <w:vAlign w:val="center"/>
                </w:tcPr>
                <w:p w14:paraId="259C9F1D">
                  <w:pPr>
                    <w:pStyle w:val="80"/>
                    <w:rPr>
                      <w:lang w:eastAsia="en-US"/>
                    </w:rPr>
                  </w:pPr>
                  <w:r>
                    <w:rPr>
                      <w:lang w:eastAsia="en-US"/>
                    </w:rPr>
                    <w:t>76.1</w:t>
                  </w:r>
                </w:p>
              </w:tc>
              <w:tc>
                <w:tcPr>
                  <w:tcW w:w="206" w:type="pct"/>
                  <w:tcBorders>
                    <w:tl2br w:val="nil"/>
                    <w:tr2bl w:val="nil"/>
                  </w:tcBorders>
                  <w:shd w:val="clear" w:color="auto" w:fill="FFFFFF"/>
                  <w:tcMar>
                    <w:top w:w="0" w:type="dxa"/>
                    <w:left w:w="0" w:type="dxa"/>
                    <w:bottom w:w="0" w:type="dxa"/>
                    <w:right w:w="0" w:type="dxa"/>
                  </w:tcMar>
                  <w:vAlign w:val="center"/>
                </w:tcPr>
                <w:p w14:paraId="4044504B">
                  <w:pPr>
                    <w:pStyle w:val="80"/>
                    <w:rPr>
                      <w:lang w:eastAsia="en-US"/>
                    </w:rPr>
                  </w:pPr>
                  <w:r>
                    <w:rPr>
                      <w:lang w:eastAsia="en-US"/>
                    </w:rPr>
                    <w:t>76.3</w:t>
                  </w:r>
                </w:p>
              </w:tc>
              <w:tc>
                <w:tcPr>
                  <w:tcW w:w="206" w:type="pct"/>
                  <w:tcBorders>
                    <w:tl2br w:val="nil"/>
                    <w:tr2bl w:val="nil"/>
                  </w:tcBorders>
                  <w:shd w:val="clear" w:color="auto" w:fill="FFFFFF"/>
                  <w:tcMar>
                    <w:top w:w="0" w:type="dxa"/>
                    <w:left w:w="0" w:type="dxa"/>
                    <w:bottom w:w="0" w:type="dxa"/>
                    <w:right w:w="0" w:type="dxa"/>
                  </w:tcMar>
                  <w:vAlign w:val="center"/>
                </w:tcPr>
                <w:p w14:paraId="2CCA7A37">
                  <w:pPr>
                    <w:pStyle w:val="80"/>
                    <w:rPr>
                      <w:lang w:eastAsia="en-US"/>
                    </w:rPr>
                  </w:pPr>
                  <w:r>
                    <w:rPr>
                      <w:lang w:eastAsia="en-US"/>
                    </w:rPr>
                    <w:t>76.1</w:t>
                  </w:r>
                </w:p>
              </w:tc>
              <w:tc>
                <w:tcPr>
                  <w:tcW w:w="238" w:type="pct"/>
                  <w:tcBorders>
                    <w:tl2br w:val="nil"/>
                    <w:tr2bl w:val="nil"/>
                  </w:tcBorders>
                  <w:shd w:val="clear" w:color="auto" w:fill="FFFFFF"/>
                  <w:tcMar>
                    <w:top w:w="0" w:type="dxa"/>
                    <w:left w:w="0" w:type="dxa"/>
                    <w:bottom w:w="0" w:type="dxa"/>
                    <w:right w:w="0" w:type="dxa"/>
                  </w:tcMar>
                  <w:vAlign w:val="center"/>
                </w:tcPr>
                <w:p w14:paraId="00ACE237">
                  <w:pPr>
                    <w:pStyle w:val="80"/>
                    <w:rPr>
                      <w:lang w:eastAsia="en-US"/>
                    </w:rPr>
                  </w:pPr>
                  <w:r>
                    <w:rPr>
                      <w:lang w:eastAsia="en-US"/>
                    </w:rPr>
                    <w:t>24.0</w:t>
                  </w:r>
                </w:p>
              </w:tc>
              <w:tc>
                <w:tcPr>
                  <w:tcW w:w="206" w:type="pct"/>
                  <w:tcBorders>
                    <w:tl2br w:val="nil"/>
                    <w:tr2bl w:val="nil"/>
                  </w:tcBorders>
                  <w:shd w:val="clear" w:color="auto" w:fill="FFFFFF"/>
                  <w:tcMar>
                    <w:top w:w="0" w:type="dxa"/>
                    <w:left w:w="0" w:type="dxa"/>
                    <w:bottom w:w="0" w:type="dxa"/>
                    <w:right w:w="0" w:type="dxa"/>
                  </w:tcMar>
                  <w:vAlign w:val="center"/>
                </w:tcPr>
                <w:p w14:paraId="3A16F3BF">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66D983F8">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3F7BEA5C">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3D555E38">
                  <w:pPr>
                    <w:pStyle w:val="80"/>
                    <w:rPr>
                      <w:lang w:eastAsia="en-US"/>
                    </w:rPr>
                  </w:pPr>
                  <w:r>
                    <w:rPr>
                      <w:lang w:eastAsia="en-US"/>
                    </w:rPr>
                    <w:t>26.0</w:t>
                  </w:r>
                </w:p>
              </w:tc>
              <w:tc>
                <w:tcPr>
                  <w:tcW w:w="206" w:type="pct"/>
                  <w:tcBorders>
                    <w:tl2br w:val="nil"/>
                    <w:tr2bl w:val="nil"/>
                  </w:tcBorders>
                  <w:shd w:val="clear" w:color="auto" w:fill="FFFFFF"/>
                  <w:tcMar>
                    <w:top w:w="0" w:type="dxa"/>
                    <w:left w:w="0" w:type="dxa"/>
                    <w:bottom w:w="0" w:type="dxa"/>
                    <w:right w:w="0" w:type="dxa"/>
                  </w:tcMar>
                  <w:vAlign w:val="center"/>
                </w:tcPr>
                <w:p w14:paraId="5623882D">
                  <w:pPr>
                    <w:pStyle w:val="80"/>
                    <w:rPr>
                      <w:lang w:eastAsia="en-US"/>
                    </w:rPr>
                  </w:pPr>
                  <w:r>
                    <w:rPr>
                      <w:lang w:eastAsia="en-US"/>
                    </w:rPr>
                    <w:t>50.0</w:t>
                  </w:r>
                </w:p>
              </w:tc>
              <w:tc>
                <w:tcPr>
                  <w:tcW w:w="206" w:type="pct"/>
                  <w:tcBorders>
                    <w:tl2br w:val="nil"/>
                    <w:tr2bl w:val="nil"/>
                  </w:tcBorders>
                  <w:shd w:val="clear" w:color="auto" w:fill="FFFFFF"/>
                  <w:tcMar>
                    <w:top w:w="0" w:type="dxa"/>
                    <w:left w:w="0" w:type="dxa"/>
                    <w:bottom w:w="0" w:type="dxa"/>
                    <w:right w:w="0" w:type="dxa"/>
                  </w:tcMar>
                  <w:vAlign w:val="center"/>
                </w:tcPr>
                <w:p w14:paraId="01CCB241">
                  <w:pPr>
                    <w:pStyle w:val="80"/>
                    <w:rPr>
                      <w:lang w:eastAsia="en-US"/>
                    </w:rPr>
                  </w:pPr>
                  <w:r>
                    <w:rPr>
                      <w:lang w:eastAsia="en-US"/>
                    </w:rPr>
                    <w:t>50.1</w:t>
                  </w:r>
                </w:p>
              </w:tc>
              <w:tc>
                <w:tcPr>
                  <w:tcW w:w="206" w:type="pct"/>
                  <w:tcBorders>
                    <w:tl2br w:val="nil"/>
                    <w:tr2bl w:val="nil"/>
                  </w:tcBorders>
                  <w:shd w:val="clear" w:color="auto" w:fill="FFFFFF"/>
                  <w:tcMar>
                    <w:top w:w="0" w:type="dxa"/>
                    <w:left w:w="0" w:type="dxa"/>
                    <w:bottom w:w="0" w:type="dxa"/>
                    <w:right w:w="0" w:type="dxa"/>
                  </w:tcMar>
                  <w:vAlign w:val="center"/>
                </w:tcPr>
                <w:p w14:paraId="3C9EDFEA">
                  <w:pPr>
                    <w:pStyle w:val="80"/>
                    <w:rPr>
                      <w:lang w:eastAsia="en-US"/>
                    </w:rPr>
                  </w:pPr>
                  <w:r>
                    <w:rPr>
                      <w:lang w:eastAsia="en-US"/>
                    </w:rPr>
                    <w:t>50.3</w:t>
                  </w:r>
                </w:p>
              </w:tc>
              <w:tc>
                <w:tcPr>
                  <w:tcW w:w="206" w:type="pct"/>
                  <w:tcBorders>
                    <w:tl2br w:val="nil"/>
                    <w:tr2bl w:val="nil"/>
                  </w:tcBorders>
                  <w:shd w:val="clear" w:color="auto" w:fill="FFFFFF"/>
                  <w:tcMar>
                    <w:top w:w="0" w:type="dxa"/>
                    <w:left w:w="0" w:type="dxa"/>
                    <w:bottom w:w="0" w:type="dxa"/>
                    <w:right w:w="0" w:type="dxa"/>
                  </w:tcMar>
                  <w:vAlign w:val="center"/>
                </w:tcPr>
                <w:p w14:paraId="5C91DCC7">
                  <w:pPr>
                    <w:pStyle w:val="80"/>
                    <w:rPr>
                      <w:lang w:eastAsia="en-US"/>
                    </w:rPr>
                  </w:pPr>
                  <w:r>
                    <w:rPr>
                      <w:lang w:eastAsia="en-US"/>
                    </w:rPr>
                    <w:t>50.1</w:t>
                  </w:r>
                </w:p>
              </w:tc>
              <w:tc>
                <w:tcPr>
                  <w:tcW w:w="120" w:type="pct"/>
                  <w:tcBorders>
                    <w:tl2br w:val="nil"/>
                    <w:tr2bl w:val="nil"/>
                  </w:tcBorders>
                  <w:shd w:val="clear" w:color="auto" w:fill="FFFFFF"/>
                  <w:tcMar>
                    <w:top w:w="0" w:type="dxa"/>
                    <w:left w:w="0" w:type="dxa"/>
                    <w:bottom w:w="0" w:type="dxa"/>
                    <w:right w:w="0" w:type="dxa"/>
                  </w:tcMar>
                  <w:vAlign w:val="center"/>
                </w:tcPr>
                <w:p w14:paraId="2A9E51FB">
                  <w:pPr>
                    <w:pStyle w:val="80"/>
                    <w:rPr>
                      <w:lang w:eastAsia="en-US"/>
                    </w:rPr>
                  </w:pPr>
                  <w:r>
                    <w:rPr>
                      <w:lang w:eastAsia="en-US"/>
                    </w:rPr>
                    <w:t>1</w:t>
                  </w:r>
                </w:p>
              </w:tc>
            </w:tr>
            <w:bookmarkEnd w:id="25"/>
          </w:tbl>
          <w:p w14:paraId="6E9BB2CB">
            <w:pPr>
              <w:pStyle w:val="14"/>
              <w:numPr>
                <w:ilvl w:val="0"/>
                <w:numId w:val="2"/>
              </w:numPr>
              <w:spacing w:line="360" w:lineRule="auto"/>
              <w:ind w:firstLine="480"/>
              <w:jc w:val="both"/>
              <w:rPr>
                <w:sz w:val="24"/>
                <w:szCs w:val="24"/>
                <w:lang w:bidi="ar"/>
              </w:rPr>
            </w:pPr>
            <w:r>
              <w:rPr>
                <w:sz w:val="24"/>
                <w:szCs w:val="24"/>
                <w:lang w:bidi="ar"/>
              </w:rPr>
              <w:t>预测模式</w:t>
            </w:r>
          </w:p>
          <w:p w14:paraId="6626FA99">
            <w:pPr>
              <w:pStyle w:val="14"/>
              <w:spacing w:line="360" w:lineRule="auto"/>
              <w:ind w:firstLine="480"/>
              <w:jc w:val="both"/>
              <w:rPr>
                <w:snapToGrid w:val="0"/>
                <w:kern w:val="0"/>
                <w:sz w:val="24"/>
                <w:szCs w:val="22"/>
              </w:rPr>
            </w:pPr>
            <w:r>
              <w:rPr>
                <w:rFonts w:hint="eastAsia"/>
                <w:snapToGrid w:val="0"/>
                <w:kern w:val="0"/>
                <w:sz w:val="24"/>
                <w:szCs w:val="22"/>
              </w:rPr>
              <w:t>根据项目建设内容及《环境影响评价技术导则—声环境》（HJ2.4-2021）的要求，项目环评采用的模型为《环境影响评价技术导则 声环境》(HJ2.4.2021)附录A（规范性附录）户外声传播的衰减和附录B（规范性附录）中“B.1工业噪声预测计算模型”。具体预测公式如下：</w:t>
            </w:r>
          </w:p>
          <w:p w14:paraId="0068AC4F">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1</w:t>
            </w:r>
            <w:r>
              <w:rPr>
                <w:rFonts w:hint="eastAsia" w:ascii="Times New Roman" w:hAnsi="Times New Roman"/>
                <w:kern w:val="2"/>
                <w:lang w:bidi="ar"/>
              </w:rPr>
              <w:t>）</w:t>
            </w:r>
            <w:r>
              <w:rPr>
                <w:rFonts w:ascii="Times New Roman" w:hAnsi="Times New Roman"/>
                <w:kern w:val="2"/>
                <w:lang w:bidi="ar"/>
              </w:rPr>
              <w:t>建设项目在预测点产生的等效声级贡献值Leqg：</w:t>
            </w:r>
          </w:p>
          <w:p w14:paraId="4AA6F551">
            <w:pPr>
              <w:ind w:firstLine="480"/>
              <w:jc w:val="center"/>
              <w:rPr>
                <w:lang w:bidi="ar"/>
              </w:rPr>
            </w:pPr>
            <w:r>
              <w:rPr>
                <w:lang w:bidi="ar"/>
              </w:rPr>
              <w:drawing>
                <wp:inline distT="0" distB="0" distL="114300" distR="114300">
                  <wp:extent cx="1838325" cy="542925"/>
                  <wp:effectExtent l="0" t="0" r="5715" b="57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a:stretch>
                            <a:fillRect/>
                          </a:stretch>
                        </pic:blipFill>
                        <pic:spPr>
                          <a:xfrm>
                            <a:off x="0" y="0"/>
                            <a:ext cx="1838325" cy="542925"/>
                          </a:xfrm>
                          <a:prstGeom prst="rect">
                            <a:avLst/>
                          </a:prstGeom>
                          <a:noFill/>
                          <a:ln>
                            <a:noFill/>
                          </a:ln>
                        </pic:spPr>
                      </pic:pic>
                    </a:graphicData>
                  </a:graphic>
                </wp:inline>
              </w:drawing>
            </w:r>
          </w:p>
          <w:p w14:paraId="021DFB20">
            <w:pPr>
              <w:ind w:firstLine="480"/>
              <w:rPr>
                <w:lang w:bidi="ar"/>
              </w:rPr>
            </w:pPr>
            <w:r>
              <w:rPr>
                <w:lang w:bidi="ar"/>
              </w:rPr>
              <w:t>式中：</w:t>
            </w:r>
          </w:p>
          <w:p w14:paraId="53379C31">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Leqg——建设项目声源在预测点的等效声级贡献值，dB(A)；</w:t>
            </w:r>
          </w:p>
          <w:p w14:paraId="176FEC08">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LAi——声源在预测点产生的A声级，dB(A)；</w:t>
            </w:r>
          </w:p>
          <w:p w14:paraId="3BBEAC6C">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T——预测计算的时间段，s；</w:t>
            </w:r>
          </w:p>
          <w:p w14:paraId="1CE989F2">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ti——i声源在T时段内的运行时间，s。</w:t>
            </w:r>
          </w:p>
          <w:p w14:paraId="465DD32B">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2</w:t>
            </w:r>
            <w:r>
              <w:rPr>
                <w:rFonts w:hint="eastAsia" w:ascii="Times New Roman" w:hAnsi="Times New Roman"/>
                <w:kern w:val="2"/>
                <w:lang w:bidi="ar"/>
              </w:rPr>
              <w:t>）</w:t>
            </w:r>
            <w:r>
              <w:rPr>
                <w:rFonts w:ascii="Times New Roman" w:hAnsi="Times New Roman"/>
                <w:kern w:val="2"/>
                <w:lang w:bidi="ar"/>
              </w:rPr>
              <w:t>预测点的预测等效声级(Leq)计算公式：</w:t>
            </w:r>
          </w:p>
          <w:p w14:paraId="187AF2B0">
            <w:pPr>
              <w:spacing w:before="209" w:line="309" w:lineRule="exact"/>
              <w:ind w:left="889" w:firstLine="480"/>
              <w:jc w:val="center"/>
              <w:rPr>
                <w:lang w:bidi="ar"/>
              </w:rPr>
            </w:pPr>
            <w:r>
              <w:rPr>
                <w:lang w:bidi="ar"/>
              </w:rPr>
              <w:drawing>
                <wp:inline distT="0" distB="0" distL="114300" distR="114300">
                  <wp:extent cx="2000250" cy="285750"/>
                  <wp:effectExtent l="0" t="0" r="11430" b="381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7"/>
                          <a:stretch>
                            <a:fillRect/>
                          </a:stretch>
                        </pic:blipFill>
                        <pic:spPr>
                          <a:xfrm>
                            <a:off x="0" y="0"/>
                            <a:ext cx="2000250" cy="285750"/>
                          </a:xfrm>
                          <a:prstGeom prst="rect">
                            <a:avLst/>
                          </a:prstGeom>
                          <a:noFill/>
                          <a:ln>
                            <a:noFill/>
                          </a:ln>
                        </pic:spPr>
                      </pic:pic>
                    </a:graphicData>
                  </a:graphic>
                </wp:inline>
              </w:drawing>
            </w:r>
          </w:p>
          <w:p w14:paraId="3FBD0A27">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式中：</w:t>
            </w:r>
          </w:p>
          <w:p w14:paraId="523B4732">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Leqg—建设项目声源在预测点的等效声级贡献值，dB(A)；</w:t>
            </w:r>
          </w:p>
          <w:p w14:paraId="47271883">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Leqb—预测点的背景值，dB(A)。</w:t>
            </w:r>
          </w:p>
          <w:p w14:paraId="41E44124">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3</w:t>
            </w:r>
            <w:r>
              <w:rPr>
                <w:rFonts w:hint="eastAsia" w:ascii="Times New Roman" w:hAnsi="Times New Roman"/>
                <w:kern w:val="2"/>
                <w:lang w:bidi="ar"/>
              </w:rPr>
              <w:t>）</w:t>
            </w:r>
            <w:r>
              <w:rPr>
                <w:rFonts w:ascii="Times New Roman" w:hAnsi="Times New Roman"/>
                <w:kern w:val="2"/>
                <w:lang w:bidi="ar"/>
              </w:rPr>
              <w:t>室内声传播衰减计算</w:t>
            </w:r>
          </w:p>
          <w:p w14:paraId="6CA3DCF7">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对于室内点声源，先按下式计算其等效室外声源声功率级，然后按室外点声源预测方法计算预测点的A声级。</w:t>
            </w:r>
          </w:p>
          <w:p w14:paraId="6560D63B">
            <w:pPr>
              <w:pStyle w:val="20"/>
              <w:widowControl w:val="0"/>
              <w:spacing w:before="0" w:beforeAutospacing="0" w:after="0" w:afterAutospacing="0" w:line="360" w:lineRule="auto"/>
              <w:ind w:firstLine="480" w:firstLineChars="200"/>
              <w:jc w:val="center"/>
              <w:rPr>
                <w:rFonts w:ascii="Times New Roman" w:hAnsi="Times New Roman"/>
                <w:kern w:val="2"/>
                <w:lang w:bidi="ar"/>
              </w:rPr>
            </w:pPr>
            <w:r>
              <w:rPr>
                <w:rFonts w:ascii="Times New Roman" w:hAnsi="Times New Roman"/>
                <w:kern w:val="2"/>
                <w:lang w:bidi="ar"/>
              </w:rPr>
              <w:t>Lw=LP2+10lgs</w:t>
            </w:r>
          </w:p>
          <w:p w14:paraId="4F0781DB">
            <w:pPr>
              <w:pStyle w:val="20"/>
              <w:widowControl w:val="0"/>
              <w:spacing w:before="0" w:beforeAutospacing="0" w:after="0" w:afterAutospacing="0" w:line="360" w:lineRule="auto"/>
              <w:ind w:firstLine="480" w:firstLineChars="200"/>
              <w:jc w:val="center"/>
              <w:rPr>
                <w:rFonts w:ascii="Times New Roman" w:hAnsi="Times New Roman"/>
                <w:kern w:val="2"/>
                <w:lang w:bidi="ar"/>
              </w:rPr>
            </w:pPr>
            <w:r>
              <w:rPr>
                <w:rFonts w:ascii="Times New Roman" w:hAnsi="Times New Roman"/>
                <w:kern w:val="2"/>
                <w:lang w:bidi="ar"/>
              </w:rPr>
              <w:t>LP2=LP1-(TL+6)</w:t>
            </w:r>
          </w:p>
          <w:p w14:paraId="6E0D8207">
            <w:pPr>
              <w:pStyle w:val="20"/>
              <w:widowControl w:val="0"/>
              <w:spacing w:before="0" w:beforeAutospacing="0" w:after="0" w:afterAutospacing="0" w:line="360" w:lineRule="auto"/>
              <w:ind w:firstLine="480" w:firstLineChars="200"/>
              <w:jc w:val="center"/>
              <w:rPr>
                <w:rFonts w:ascii="Times New Roman" w:hAnsi="Times New Roman"/>
                <w:kern w:val="2"/>
                <w:lang w:bidi="ar"/>
              </w:rPr>
            </w:pPr>
            <w:r>
              <w:rPr>
                <w:rFonts w:ascii="Times New Roman" w:hAnsi="Times New Roman"/>
                <w:kern w:val="2"/>
                <w:lang w:bidi="ar"/>
              </w:rPr>
              <w:drawing>
                <wp:inline distT="0" distB="0" distL="114300" distR="114300">
                  <wp:extent cx="1685925" cy="402590"/>
                  <wp:effectExtent l="0" t="0" r="571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8"/>
                          <a:stretch>
                            <a:fillRect/>
                          </a:stretch>
                        </pic:blipFill>
                        <pic:spPr>
                          <a:xfrm>
                            <a:off x="0" y="0"/>
                            <a:ext cx="1685925" cy="402590"/>
                          </a:xfrm>
                          <a:prstGeom prst="rect">
                            <a:avLst/>
                          </a:prstGeom>
                          <a:noFill/>
                          <a:ln>
                            <a:noFill/>
                          </a:ln>
                        </pic:spPr>
                      </pic:pic>
                    </a:graphicData>
                  </a:graphic>
                </wp:inline>
              </w:drawing>
            </w:r>
          </w:p>
          <w:p w14:paraId="17422DB9">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式中：</w:t>
            </w:r>
          </w:p>
          <w:p w14:paraId="60E0CA54">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Lw—等效室外声源的声功率级；</w:t>
            </w:r>
          </w:p>
          <w:p w14:paraId="2ABED43B">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Le—室内声源的声功率级；</w:t>
            </w:r>
          </w:p>
          <w:p w14:paraId="75E09B7F">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s—透声面积；</w:t>
            </w:r>
          </w:p>
          <w:p w14:paraId="44BA3C97">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LP1—室内靠近围护结构处的声压级；</w:t>
            </w:r>
          </w:p>
          <w:p w14:paraId="37B34499">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LP2—室外靠近围护结构处的声压级；</w:t>
            </w:r>
          </w:p>
          <w:p w14:paraId="735B6FF4">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TL—隔墙（或窗户）隔离声量；</w:t>
            </w:r>
          </w:p>
          <w:p w14:paraId="15E2E3B2">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r—声源到靠近围护结构某点处的距离；</w:t>
            </w:r>
          </w:p>
          <w:p w14:paraId="3C45E77A">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R—房间常数；</w:t>
            </w:r>
          </w:p>
          <w:p w14:paraId="60CDF58E">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Q—指向性因数。</w:t>
            </w:r>
          </w:p>
          <w:p w14:paraId="5852384E">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（3）执行标准</w:t>
            </w:r>
          </w:p>
          <w:p w14:paraId="6546DB81">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厂界处噪声执行《工业企业厂界环境噪声排放标准》</w:t>
            </w:r>
            <w:r>
              <w:rPr>
                <w:rFonts w:hint="eastAsia" w:ascii="Times New Roman" w:hAnsi="Times New Roman"/>
                <w:kern w:val="2"/>
                <w:lang w:bidi="ar"/>
              </w:rPr>
              <w:t>（</w:t>
            </w:r>
            <w:r>
              <w:rPr>
                <w:rFonts w:ascii="Times New Roman" w:hAnsi="Times New Roman"/>
                <w:kern w:val="2"/>
                <w:lang w:bidi="ar"/>
              </w:rPr>
              <w:t>GB12348-2008</w:t>
            </w:r>
            <w:r>
              <w:rPr>
                <w:rFonts w:hint="eastAsia" w:ascii="Times New Roman" w:hAnsi="Times New Roman"/>
                <w:kern w:val="2"/>
                <w:lang w:bidi="ar"/>
              </w:rPr>
              <w:t>）</w:t>
            </w:r>
            <w:r>
              <w:rPr>
                <w:rFonts w:ascii="Times New Roman" w:hAnsi="Times New Roman"/>
                <w:kern w:val="2"/>
                <w:lang w:bidi="ar"/>
              </w:rPr>
              <w:t>中3类标准。</w:t>
            </w:r>
          </w:p>
          <w:p w14:paraId="6A5FD587">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hint="eastAsia" w:ascii="Times New Roman" w:hAnsi="Times New Roman"/>
                <w:kern w:val="2"/>
                <w:lang w:bidi="ar"/>
              </w:rPr>
              <w:t>（4）</w:t>
            </w:r>
            <w:r>
              <w:rPr>
                <w:rFonts w:ascii="Times New Roman" w:hAnsi="Times New Roman"/>
                <w:kern w:val="2"/>
                <w:lang w:bidi="ar"/>
              </w:rPr>
              <w:t>预测结果</w:t>
            </w:r>
          </w:p>
          <w:p w14:paraId="5D029552">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表4-5  厂界噪声预测结果与达标分析表</w:t>
            </w:r>
            <w:bookmarkStart w:id="27" w:name="PT_7"/>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816"/>
              <w:gridCol w:w="816"/>
              <w:gridCol w:w="819"/>
              <w:gridCol w:w="1010"/>
              <w:gridCol w:w="1441"/>
              <w:gridCol w:w="1443"/>
              <w:gridCol w:w="1208"/>
            </w:tblGrid>
            <w:tr w14:paraId="0FEC9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Merge w:val="restart"/>
                  <w:tcBorders>
                    <w:tl2br w:val="nil"/>
                    <w:tr2bl w:val="nil"/>
                  </w:tcBorders>
                  <w:vAlign w:val="center"/>
                </w:tcPr>
                <w:p w14:paraId="5932B7F7">
                  <w:pPr>
                    <w:spacing w:line="240" w:lineRule="auto"/>
                    <w:ind w:firstLine="0" w:firstLineChars="0"/>
                    <w:jc w:val="center"/>
                    <w:rPr>
                      <w:rFonts w:eastAsia="Arial" w:cs="Times New Roman"/>
                      <w:sz w:val="21"/>
                      <w:szCs w:val="21"/>
                    </w:rPr>
                  </w:pPr>
                  <w:r>
                    <w:rPr>
                      <w:rFonts w:eastAsia="Arial" w:cs="Times New Roman"/>
                      <w:sz w:val="21"/>
                      <w:szCs w:val="21"/>
                    </w:rPr>
                    <w:t>预测方位</w:t>
                  </w:r>
                </w:p>
              </w:tc>
              <w:tc>
                <w:tcPr>
                  <w:tcW w:w="1412" w:type="pct"/>
                  <w:gridSpan w:val="3"/>
                  <w:tcBorders>
                    <w:tl2br w:val="nil"/>
                    <w:tr2bl w:val="nil"/>
                  </w:tcBorders>
                  <w:vAlign w:val="center"/>
                </w:tcPr>
                <w:p w14:paraId="628EBA14">
                  <w:pPr>
                    <w:spacing w:line="240" w:lineRule="auto"/>
                    <w:ind w:firstLine="0" w:firstLineChars="0"/>
                    <w:jc w:val="center"/>
                    <w:rPr>
                      <w:rFonts w:eastAsia="Arial" w:cs="Times New Roman"/>
                      <w:sz w:val="21"/>
                      <w:szCs w:val="21"/>
                    </w:rPr>
                  </w:pPr>
                  <w:r>
                    <w:rPr>
                      <w:rFonts w:hint="eastAsia" w:eastAsia="Arial" w:cs="Times New Roman"/>
                      <w:sz w:val="21"/>
                      <w:szCs w:val="21"/>
                    </w:rPr>
                    <w:t>最大值点</w:t>
                  </w:r>
                  <w:r>
                    <w:rPr>
                      <w:rFonts w:eastAsia="Arial" w:cs="Times New Roman"/>
                      <w:sz w:val="21"/>
                      <w:szCs w:val="21"/>
                    </w:rPr>
                    <w:t>空间相对位置/m</w:t>
                  </w:r>
                </w:p>
              </w:tc>
              <w:tc>
                <w:tcPr>
                  <w:tcW w:w="582" w:type="pct"/>
                  <w:vMerge w:val="restart"/>
                  <w:tcBorders>
                    <w:tl2br w:val="nil"/>
                    <w:tr2bl w:val="nil"/>
                  </w:tcBorders>
                  <w:vAlign w:val="center"/>
                </w:tcPr>
                <w:p w14:paraId="7D9EE5CD">
                  <w:pPr>
                    <w:spacing w:line="240" w:lineRule="auto"/>
                    <w:ind w:firstLine="0" w:firstLineChars="0"/>
                    <w:jc w:val="center"/>
                    <w:rPr>
                      <w:rFonts w:eastAsia="Arial" w:cs="Times New Roman"/>
                      <w:sz w:val="21"/>
                      <w:szCs w:val="21"/>
                    </w:rPr>
                  </w:pPr>
                  <w:r>
                    <w:rPr>
                      <w:rFonts w:eastAsia="Arial" w:cs="Times New Roman"/>
                      <w:sz w:val="21"/>
                      <w:szCs w:val="21"/>
                    </w:rPr>
                    <w:t>时段</w:t>
                  </w:r>
                </w:p>
              </w:tc>
              <w:tc>
                <w:tcPr>
                  <w:tcW w:w="830" w:type="pct"/>
                  <w:vMerge w:val="restart"/>
                  <w:tcBorders>
                    <w:tl2br w:val="nil"/>
                    <w:tr2bl w:val="nil"/>
                  </w:tcBorders>
                  <w:vAlign w:val="center"/>
                </w:tcPr>
                <w:p w14:paraId="693FAE92">
                  <w:pPr>
                    <w:spacing w:line="240" w:lineRule="auto"/>
                    <w:ind w:firstLine="0" w:firstLineChars="0"/>
                    <w:jc w:val="center"/>
                    <w:rPr>
                      <w:rFonts w:eastAsia="Arial" w:cs="Times New Roman"/>
                      <w:sz w:val="21"/>
                      <w:szCs w:val="21"/>
                    </w:rPr>
                  </w:pPr>
                  <w:r>
                    <w:rPr>
                      <w:rFonts w:hint="eastAsia" w:eastAsia="Arial" w:cs="Times New Roman"/>
                      <w:sz w:val="21"/>
                      <w:szCs w:val="21"/>
                    </w:rPr>
                    <w:t>贡献值</w:t>
                  </w:r>
                  <w:r>
                    <w:rPr>
                      <w:rFonts w:eastAsia="Arial" w:cs="Times New Roman"/>
                      <w:sz w:val="21"/>
                      <w:szCs w:val="21"/>
                    </w:rPr>
                    <w:t>（dB(A)）</w:t>
                  </w:r>
                </w:p>
              </w:tc>
              <w:tc>
                <w:tcPr>
                  <w:tcW w:w="831" w:type="pct"/>
                  <w:vMerge w:val="restart"/>
                  <w:tcBorders>
                    <w:tl2br w:val="nil"/>
                    <w:tr2bl w:val="nil"/>
                  </w:tcBorders>
                  <w:vAlign w:val="center"/>
                </w:tcPr>
                <w:p w14:paraId="14E5E535">
                  <w:pPr>
                    <w:spacing w:line="240" w:lineRule="auto"/>
                    <w:ind w:firstLine="0" w:firstLineChars="0"/>
                    <w:jc w:val="center"/>
                    <w:rPr>
                      <w:rFonts w:eastAsia="Arial" w:cs="Times New Roman"/>
                      <w:sz w:val="21"/>
                      <w:szCs w:val="21"/>
                    </w:rPr>
                  </w:pPr>
                  <w:r>
                    <w:rPr>
                      <w:rFonts w:eastAsia="Arial" w:cs="Times New Roman"/>
                      <w:sz w:val="21"/>
                      <w:szCs w:val="21"/>
                    </w:rPr>
                    <w:t>标准限值（dB(A)）</w:t>
                  </w:r>
                </w:p>
              </w:tc>
              <w:tc>
                <w:tcPr>
                  <w:tcW w:w="696" w:type="pct"/>
                  <w:vMerge w:val="restart"/>
                  <w:tcBorders>
                    <w:tl2br w:val="nil"/>
                    <w:tr2bl w:val="nil"/>
                  </w:tcBorders>
                  <w:vAlign w:val="center"/>
                </w:tcPr>
                <w:p w14:paraId="677B18DC">
                  <w:pPr>
                    <w:spacing w:line="240" w:lineRule="auto"/>
                    <w:ind w:firstLine="0" w:firstLineChars="0"/>
                    <w:jc w:val="center"/>
                    <w:rPr>
                      <w:rFonts w:eastAsia="Arial" w:cs="Times New Roman"/>
                      <w:sz w:val="21"/>
                      <w:szCs w:val="21"/>
                    </w:rPr>
                  </w:pPr>
                  <w:r>
                    <w:rPr>
                      <w:rFonts w:eastAsia="Arial" w:cs="Times New Roman"/>
                      <w:sz w:val="21"/>
                      <w:szCs w:val="21"/>
                    </w:rPr>
                    <w:t>达标情况</w:t>
                  </w:r>
                </w:p>
              </w:tc>
            </w:tr>
            <w:tr w14:paraId="6BE33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Merge w:val="continue"/>
                  <w:tcBorders>
                    <w:tl2br w:val="nil"/>
                    <w:tr2bl w:val="nil"/>
                  </w:tcBorders>
                  <w:shd w:val="clear" w:color="auto" w:fill="FFFFFF"/>
                  <w:vAlign w:val="center"/>
                </w:tcPr>
                <w:p w14:paraId="257A3494">
                  <w:pPr>
                    <w:spacing w:line="240" w:lineRule="auto"/>
                    <w:ind w:firstLine="0" w:firstLineChars="0"/>
                    <w:jc w:val="center"/>
                    <w:rPr>
                      <w:rFonts w:eastAsia="Arial" w:cs="Times New Roman"/>
                      <w:sz w:val="21"/>
                      <w:szCs w:val="21"/>
                    </w:rPr>
                  </w:pPr>
                </w:p>
              </w:tc>
              <w:tc>
                <w:tcPr>
                  <w:tcW w:w="470" w:type="pct"/>
                  <w:tcBorders>
                    <w:tl2br w:val="nil"/>
                    <w:tr2bl w:val="nil"/>
                  </w:tcBorders>
                  <w:shd w:val="clear" w:color="auto" w:fill="FFFFFF"/>
                  <w:vAlign w:val="center"/>
                </w:tcPr>
                <w:p w14:paraId="3D80B06D">
                  <w:pPr>
                    <w:spacing w:line="240" w:lineRule="auto"/>
                    <w:ind w:firstLine="0" w:firstLineChars="0"/>
                    <w:jc w:val="center"/>
                    <w:rPr>
                      <w:rFonts w:eastAsia="Arial" w:cs="Times New Roman"/>
                      <w:sz w:val="21"/>
                      <w:szCs w:val="21"/>
                    </w:rPr>
                  </w:pPr>
                  <w:r>
                    <w:rPr>
                      <w:rFonts w:eastAsia="Arial" w:cs="Times New Roman"/>
                      <w:sz w:val="21"/>
                      <w:szCs w:val="21"/>
                    </w:rPr>
                    <w:t>X</w:t>
                  </w:r>
                </w:p>
              </w:tc>
              <w:tc>
                <w:tcPr>
                  <w:tcW w:w="470" w:type="pct"/>
                  <w:tcBorders>
                    <w:tl2br w:val="nil"/>
                    <w:tr2bl w:val="nil"/>
                  </w:tcBorders>
                  <w:shd w:val="clear" w:color="auto" w:fill="FFFFFF"/>
                  <w:vAlign w:val="center"/>
                </w:tcPr>
                <w:p w14:paraId="5F7FE72A">
                  <w:pPr>
                    <w:spacing w:line="240" w:lineRule="auto"/>
                    <w:ind w:firstLine="0" w:firstLineChars="0"/>
                    <w:jc w:val="center"/>
                    <w:rPr>
                      <w:rFonts w:eastAsia="Arial" w:cs="Times New Roman"/>
                      <w:sz w:val="21"/>
                      <w:szCs w:val="21"/>
                    </w:rPr>
                  </w:pPr>
                  <w:r>
                    <w:rPr>
                      <w:rFonts w:eastAsia="Arial" w:cs="Times New Roman"/>
                      <w:sz w:val="21"/>
                      <w:szCs w:val="21"/>
                    </w:rPr>
                    <w:t>Y</w:t>
                  </w:r>
                </w:p>
              </w:tc>
              <w:tc>
                <w:tcPr>
                  <w:tcW w:w="470" w:type="pct"/>
                  <w:tcBorders>
                    <w:tl2br w:val="nil"/>
                    <w:tr2bl w:val="nil"/>
                  </w:tcBorders>
                  <w:shd w:val="clear" w:color="auto" w:fill="FFFFFF"/>
                  <w:vAlign w:val="center"/>
                </w:tcPr>
                <w:p w14:paraId="2468CEC4">
                  <w:pPr>
                    <w:spacing w:line="240" w:lineRule="auto"/>
                    <w:ind w:firstLine="0" w:firstLineChars="0"/>
                    <w:jc w:val="center"/>
                    <w:rPr>
                      <w:rFonts w:eastAsia="Arial" w:cs="Times New Roman"/>
                      <w:sz w:val="21"/>
                      <w:szCs w:val="21"/>
                    </w:rPr>
                  </w:pPr>
                  <w:r>
                    <w:rPr>
                      <w:rFonts w:eastAsia="Arial" w:cs="Times New Roman"/>
                      <w:sz w:val="21"/>
                      <w:szCs w:val="21"/>
                    </w:rPr>
                    <w:t>Z</w:t>
                  </w:r>
                </w:p>
              </w:tc>
              <w:tc>
                <w:tcPr>
                  <w:tcW w:w="582" w:type="pct"/>
                  <w:vMerge w:val="continue"/>
                  <w:tcBorders>
                    <w:tl2br w:val="nil"/>
                    <w:tr2bl w:val="nil"/>
                  </w:tcBorders>
                  <w:shd w:val="clear" w:color="auto" w:fill="FFFFFF"/>
                  <w:vAlign w:val="center"/>
                </w:tcPr>
                <w:p w14:paraId="65325781">
                  <w:pPr>
                    <w:spacing w:line="240" w:lineRule="auto"/>
                    <w:ind w:firstLine="0" w:firstLineChars="0"/>
                    <w:jc w:val="center"/>
                    <w:rPr>
                      <w:rFonts w:eastAsia="Arial" w:cs="Times New Roman"/>
                      <w:sz w:val="21"/>
                      <w:szCs w:val="21"/>
                    </w:rPr>
                  </w:pPr>
                </w:p>
              </w:tc>
              <w:tc>
                <w:tcPr>
                  <w:tcW w:w="830" w:type="pct"/>
                  <w:vMerge w:val="continue"/>
                  <w:tcBorders>
                    <w:tl2br w:val="nil"/>
                    <w:tr2bl w:val="nil"/>
                  </w:tcBorders>
                  <w:shd w:val="clear" w:color="auto" w:fill="FFFFFF"/>
                  <w:vAlign w:val="center"/>
                </w:tcPr>
                <w:p w14:paraId="72A993FD">
                  <w:pPr>
                    <w:spacing w:line="240" w:lineRule="auto"/>
                    <w:ind w:firstLine="0" w:firstLineChars="0"/>
                    <w:jc w:val="center"/>
                    <w:rPr>
                      <w:rFonts w:eastAsia="Arial" w:cs="Times New Roman"/>
                      <w:sz w:val="21"/>
                      <w:szCs w:val="21"/>
                    </w:rPr>
                  </w:pPr>
                </w:p>
              </w:tc>
              <w:tc>
                <w:tcPr>
                  <w:tcW w:w="831" w:type="pct"/>
                  <w:vMerge w:val="continue"/>
                  <w:tcBorders>
                    <w:tl2br w:val="nil"/>
                    <w:tr2bl w:val="nil"/>
                  </w:tcBorders>
                  <w:shd w:val="clear" w:color="auto" w:fill="FFFFFF"/>
                  <w:vAlign w:val="center"/>
                </w:tcPr>
                <w:p w14:paraId="12882AD8">
                  <w:pPr>
                    <w:spacing w:line="240" w:lineRule="auto"/>
                    <w:ind w:firstLine="0" w:firstLineChars="0"/>
                    <w:jc w:val="center"/>
                    <w:rPr>
                      <w:rFonts w:eastAsia="Arial" w:cs="Times New Roman"/>
                      <w:sz w:val="21"/>
                      <w:szCs w:val="21"/>
                    </w:rPr>
                  </w:pPr>
                </w:p>
                <w:bookmarkEnd w:id="27"/>
              </w:tc>
              <w:tc>
                <w:tcPr>
                  <w:tcW w:w="696" w:type="pct"/>
                  <w:vMerge w:val="continue"/>
                  <w:tcBorders>
                    <w:tl2br w:val="nil"/>
                    <w:tr2bl w:val="nil"/>
                  </w:tcBorders>
                  <w:shd w:val="clear" w:color="auto" w:fill="FFFFFF"/>
                  <w:vAlign w:val="center"/>
                </w:tcPr>
                <w:p w14:paraId="297BA7DE">
                  <w:pPr>
                    <w:spacing w:line="240" w:lineRule="auto"/>
                    <w:ind w:firstLine="0" w:firstLineChars="0"/>
                    <w:jc w:val="center"/>
                    <w:rPr>
                      <w:rFonts w:eastAsia="Arial" w:cs="Times New Roman"/>
                      <w:sz w:val="21"/>
                      <w:szCs w:val="21"/>
                    </w:rPr>
                  </w:pPr>
                </w:p>
              </w:tc>
            </w:tr>
            <w:tr w14:paraId="367D9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restart"/>
                  <w:tcBorders>
                    <w:tl2br w:val="nil"/>
                    <w:tr2bl w:val="nil"/>
                  </w:tcBorders>
                  <w:shd w:val="clear" w:color="auto" w:fill="FFFFFF"/>
                  <w:vAlign w:val="center"/>
                </w:tcPr>
                <w:p w14:paraId="2E22D479">
                  <w:pPr>
                    <w:spacing w:line="240" w:lineRule="auto"/>
                    <w:ind w:firstLine="0" w:firstLineChars="0"/>
                    <w:jc w:val="center"/>
                    <w:rPr>
                      <w:rFonts w:eastAsia="Arial" w:cs="Times New Roman"/>
                      <w:sz w:val="21"/>
                      <w:szCs w:val="21"/>
                    </w:rPr>
                  </w:pPr>
                  <w:r>
                    <w:rPr>
                      <w:rFonts w:eastAsia="Arial" w:cs="Times New Roman"/>
                      <w:sz w:val="21"/>
                      <w:szCs w:val="21"/>
                    </w:rPr>
                    <w:t>东侧</w:t>
                  </w:r>
                </w:p>
              </w:tc>
              <w:tc>
                <w:tcPr>
                  <w:tcW w:w="470" w:type="pct"/>
                  <w:tcBorders>
                    <w:tl2br w:val="nil"/>
                    <w:tr2bl w:val="nil"/>
                  </w:tcBorders>
                  <w:shd w:val="clear" w:color="auto" w:fill="FFFFFF"/>
                  <w:vAlign w:val="center"/>
                </w:tcPr>
                <w:p w14:paraId="60ACA404">
                  <w:pPr>
                    <w:spacing w:line="240" w:lineRule="auto"/>
                    <w:ind w:firstLine="0" w:firstLineChars="0"/>
                    <w:jc w:val="center"/>
                    <w:rPr>
                      <w:rFonts w:eastAsia="Arial" w:cs="Times New Roman"/>
                      <w:sz w:val="21"/>
                      <w:szCs w:val="21"/>
                    </w:rPr>
                  </w:pPr>
                  <w:r>
                    <w:rPr>
                      <w:rFonts w:eastAsia="Arial" w:cs="Times New Roman"/>
                      <w:sz w:val="21"/>
                      <w:szCs w:val="21"/>
                    </w:rPr>
                    <w:t>79.1</w:t>
                  </w:r>
                </w:p>
              </w:tc>
              <w:tc>
                <w:tcPr>
                  <w:tcW w:w="470" w:type="pct"/>
                  <w:tcBorders>
                    <w:tl2br w:val="nil"/>
                    <w:tr2bl w:val="nil"/>
                  </w:tcBorders>
                  <w:shd w:val="clear" w:color="auto" w:fill="FFFFFF"/>
                  <w:vAlign w:val="center"/>
                </w:tcPr>
                <w:p w14:paraId="7F9C0784">
                  <w:pPr>
                    <w:spacing w:line="240" w:lineRule="auto"/>
                    <w:ind w:firstLine="0" w:firstLineChars="0"/>
                    <w:jc w:val="center"/>
                    <w:rPr>
                      <w:rFonts w:eastAsia="Arial" w:cs="Times New Roman"/>
                      <w:sz w:val="21"/>
                      <w:szCs w:val="21"/>
                    </w:rPr>
                  </w:pPr>
                  <w:r>
                    <w:rPr>
                      <w:rFonts w:eastAsia="Arial" w:cs="Times New Roman"/>
                      <w:sz w:val="21"/>
                      <w:szCs w:val="21"/>
                    </w:rPr>
                    <w:t>31.6</w:t>
                  </w:r>
                </w:p>
              </w:tc>
              <w:tc>
                <w:tcPr>
                  <w:tcW w:w="470" w:type="pct"/>
                  <w:tcBorders>
                    <w:tl2br w:val="nil"/>
                    <w:tr2bl w:val="nil"/>
                  </w:tcBorders>
                  <w:shd w:val="clear" w:color="auto" w:fill="FFFFFF"/>
                  <w:vAlign w:val="center"/>
                </w:tcPr>
                <w:p w14:paraId="7F537019">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3DABA0BB">
                  <w:pPr>
                    <w:spacing w:line="240" w:lineRule="auto"/>
                    <w:ind w:firstLine="0" w:firstLineChars="0"/>
                    <w:jc w:val="center"/>
                    <w:rPr>
                      <w:rFonts w:eastAsia="Arial" w:cs="Times New Roman"/>
                      <w:sz w:val="21"/>
                      <w:szCs w:val="21"/>
                    </w:rPr>
                  </w:pPr>
                  <w:r>
                    <w:rPr>
                      <w:rFonts w:eastAsia="Arial" w:cs="Times New Roman"/>
                      <w:sz w:val="21"/>
                      <w:szCs w:val="21"/>
                    </w:rPr>
                    <w:t>昼间</w:t>
                  </w:r>
                </w:p>
              </w:tc>
              <w:tc>
                <w:tcPr>
                  <w:tcW w:w="830" w:type="pct"/>
                  <w:tcBorders>
                    <w:tl2br w:val="nil"/>
                    <w:tr2bl w:val="nil"/>
                  </w:tcBorders>
                  <w:shd w:val="clear" w:color="auto" w:fill="FFFFFF"/>
                  <w:vAlign w:val="center"/>
                </w:tcPr>
                <w:p w14:paraId="6710AAA1">
                  <w:pPr>
                    <w:spacing w:line="240" w:lineRule="auto"/>
                    <w:ind w:firstLine="0" w:firstLineChars="0"/>
                    <w:jc w:val="center"/>
                    <w:rPr>
                      <w:rFonts w:eastAsia="Arial" w:cs="Times New Roman"/>
                      <w:sz w:val="21"/>
                      <w:szCs w:val="21"/>
                    </w:rPr>
                  </w:pPr>
                  <w:r>
                    <w:rPr>
                      <w:rFonts w:eastAsia="Arial" w:cs="Times New Roman"/>
                      <w:sz w:val="21"/>
                      <w:szCs w:val="21"/>
                    </w:rPr>
                    <w:t>27.4</w:t>
                  </w:r>
                </w:p>
              </w:tc>
              <w:tc>
                <w:tcPr>
                  <w:tcW w:w="831" w:type="pct"/>
                  <w:tcBorders>
                    <w:tl2br w:val="nil"/>
                    <w:tr2bl w:val="nil"/>
                  </w:tcBorders>
                  <w:shd w:val="clear" w:color="auto" w:fill="FFFFFF"/>
                  <w:vAlign w:val="center"/>
                </w:tcPr>
                <w:p w14:paraId="52EBD462">
                  <w:pPr>
                    <w:spacing w:line="240" w:lineRule="auto"/>
                    <w:ind w:firstLine="0" w:firstLineChars="0"/>
                    <w:jc w:val="center"/>
                    <w:rPr>
                      <w:rFonts w:eastAsia="Arial" w:cs="Times New Roman"/>
                      <w:sz w:val="21"/>
                      <w:szCs w:val="21"/>
                    </w:rPr>
                  </w:pPr>
                  <w:r>
                    <w:rPr>
                      <w:rFonts w:eastAsia="Arial" w:cs="Times New Roman"/>
                      <w:sz w:val="21"/>
                      <w:szCs w:val="21"/>
                    </w:rPr>
                    <w:t>65</w:t>
                  </w:r>
                </w:p>
              </w:tc>
              <w:tc>
                <w:tcPr>
                  <w:tcW w:w="696" w:type="pct"/>
                  <w:tcBorders>
                    <w:tl2br w:val="nil"/>
                    <w:tr2bl w:val="nil"/>
                  </w:tcBorders>
                  <w:shd w:val="clear" w:color="auto" w:fill="FFFFFF"/>
                  <w:vAlign w:val="center"/>
                </w:tcPr>
                <w:p w14:paraId="60552136">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21C08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continue"/>
                  <w:tcBorders>
                    <w:tl2br w:val="nil"/>
                    <w:tr2bl w:val="nil"/>
                  </w:tcBorders>
                  <w:shd w:val="clear" w:color="auto" w:fill="FFFFFF"/>
                  <w:vAlign w:val="center"/>
                </w:tcPr>
                <w:p w14:paraId="7DF22889">
                  <w:pPr>
                    <w:spacing w:line="240" w:lineRule="auto"/>
                    <w:ind w:firstLine="0" w:firstLineChars="0"/>
                    <w:jc w:val="center"/>
                    <w:rPr>
                      <w:rFonts w:eastAsia="Arial" w:cs="Times New Roman"/>
                      <w:sz w:val="21"/>
                      <w:szCs w:val="21"/>
                    </w:rPr>
                  </w:pPr>
                </w:p>
              </w:tc>
              <w:tc>
                <w:tcPr>
                  <w:tcW w:w="470" w:type="pct"/>
                  <w:tcBorders>
                    <w:tl2br w:val="nil"/>
                    <w:tr2bl w:val="nil"/>
                  </w:tcBorders>
                  <w:shd w:val="clear" w:color="auto" w:fill="FFFFFF"/>
                  <w:vAlign w:val="center"/>
                </w:tcPr>
                <w:p w14:paraId="3DD9E6B2">
                  <w:pPr>
                    <w:spacing w:line="240" w:lineRule="auto"/>
                    <w:ind w:firstLine="0" w:firstLineChars="0"/>
                    <w:jc w:val="center"/>
                    <w:rPr>
                      <w:rFonts w:eastAsia="Arial" w:cs="Times New Roman"/>
                      <w:sz w:val="21"/>
                      <w:szCs w:val="21"/>
                    </w:rPr>
                  </w:pPr>
                  <w:r>
                    <w:rPr>
                      <w:rFonts w:eastAsia="Arial" w:cs="Times New Roman"/>
                      <w:sz w:val="21"/>
                      <w:szCs w:val="21"/>
                    </w:rPr>
                    <w:t>79.1</w:t>
                  </w:r>
                </w:p>
              </w:tc>
              <w:tc>
                <w:tcPr>
                  <w:tcW w:w="470" w:type="pct"/>
                  <w:tcBorders>
                    <w:tl2br w:val="nil"/>
                    <w:tr2bl w:val="nil"/>
                  </w:tcBorders>
                  <w:shd w:val="clear" w:color="auto" w:fill="FFFFFF"/>
                  <w:vAlign w:val="center"/>
                </w:tcPr>
                <w:p w14:paraId="20462A0E">
                  <w:pPr>
                    <w:spacing w:line="240" w:lineRule="auto"/>
                    <w:ind w:firstLine="0" w:firstLineChars="0"/>
                    <w:jc w:val="center"/>
                    <w:rPr>
                      <w:rFonts w:eastAsia="Arial" w:cs="Times New Roman"/>
                      <w:sz w:val="21"/>
                      <w:szCs w:val="21"/>
                    </w:rPr>
                  </w:pPr>
                  <w:r>
                    <w:rPr>
                      <w:rFonts w:eastAsia="Arial" w:cs="Times New Roman"/>
                      <w:sz w:val="21"/>
                      <w:szCs w:val="21"/>
                    </w:rPr>
                    <w:t>31.6</w:t>
                  </w:r>
                </w:p>
              </w:tc>
              <w:tc>
                <w:tcPr>
                  <w:tcW w:w="470" w:type="pct"/>
                  <w:tcBorders>
                    <w:tl2br w:val="nil"/>
                    <w:tr2bl w:val="nil"/>
                  </w:tcBorders>
                  <w:shd w:val="clear" w:color="auto" w:fill="FFFFFF"/>
                  <w:vAlign w:val="center"/>
                </w:tcPr>
                <w:p w14:paraId="0395D1A9">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4C0EC80D">
                  <w:pPr>
                    <w:spacing w:line="240" w:lineRule="auto"/>
                    <w:ind w:firstLine="0" w:firstLineChars="0"/>
                    <w:jc w:val="center"/>
                    <w:rPr>
                      <w:rFonts w:eastAsia="Arial" w:cs="Times New Roman"/>
                      <w:sz w:val="21"/>
                      <w:szCs w:val="21"/>
                    </w:rPr>
                  </w:pPr>
                  <w:r>
                    <w:rPr>
                      <w:rFonts w:eastAsia="Arial" w:cs="Times New Roman"/>
                      <w:sz w:val="21"/>
                      <w:szCs w:val="21"/>
                    </w:rPr>
                    <w:t>夜间</w:t>
                  </w:r>
                </w:p>
              </w:tc>
              <w:tc>
                <w:tcPr>
                  <w:tcW w:w="830" w:type="pct"/>
                  <w:tcBorders>
                    <w:tl2br w:val="nil"/>
                    <w:tr2bl w:val="nil"/>
                  </w:tcBorders>
                  <w:shd w:val="clear" w:color="auto" w:fill="FFFFFF"/>
                  <w:vAlign w:val="center"/>
                </w:tcPr>
                <w:p w14:paraId="3125456C">
                  <w:pPr>
                    <w:spacing w:line="240" w:lineRule="auto"/>
                    <w:ind w:firstLine="0" w:firstLineChars="0"/>
                    <w:jc w:val="center"/>
                    <w:rPr>
                      <w:rFonts w:eastAsia="Arial" w:cs="Times New Roman"/>
                      <w:sz w:val="21"/>
                      <w:szCs w:val="21"/>
                    </w:rPr>
                  </w:pPr>
                  <w:r>
                    <w:rPr>
                      <w:rFonts w:eastAsia="Arial" w:cs="Times New Roman"/>
                      <w:sz w:val="21"/>
                      <w:szCs w:val="21"/>
                    </w:rPr>
                    <w:t>27.4</w:t>
                  </w:r>
                </w:p>
              </w:tc>
              <w:tc>
                <w:tcPr>
                  <w:tcW w:w="831" w:type="pct"/>
                  <w:tcBorders>
                    <w:tl2br w:val="nil"/>
                    <w:tr2bl w:val="nil"/>
                  </w:tcBorders>
                  <w:shd w:val="clear" w:color="auto" w:fill="FFFFFF"/>
                  <w:vAlign w:val="center"/>
                </w:tcPr>
                <w:p w14:paraId="0C8517A6">
                  <w:pPr>
                    <w:spacing w:line="240" w:lineRule="auto"/>
                    <w:ind w:firstLine="0" w:firstLineChars="0"/>
                    <w:jc w:val="center"/>
                    <w:rPr>
                      <w:rFonts w:eastAsia="Arial" w:cs="Times New Roman"/>
                      <w:sz w:val="21"/>
                      <w:szCs w:val="21"/>
                    </w:rPr>
                  </w:pPr>
                  <w:r>
                    <w:rPr>
                      <w:rFonts w:eastAsia="Arial" w:cs="Times New Roman"/>
                      <w:sz w:val="21"/>
                      <w:szCs w:val="21"/>
                    </w:rPr>
                    <w:t>55</w:t>
                  </w:r>
                </w:p>
              </w:tc>
              <w:tc>
                <w:tcPr>
                  <w:tcW w:w="696" w:type="pct"/>
                  <w:tcBorders>
                    <w:tl2br w:val="nil"/>
                    <w:tr2bl w:val="nil"/>
                  </w:tcBorders>
                  <w:shd w:val="clear" w:color="auto" w:fill="FFFFFF"/>
                  <w:vAlign w:val="center"/>
                </w:tcPr>
                <w:p w14:paraId="334172DF">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02838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restart"/>
                  <w:tcBorders>
                    <w:tl2br w:val="nil"/>
                    <w:tr2bl w:val="nil"/>
                  </w:tcBorders>
                  <w:shd w:val="clear" w:color="auto" w:fill="FFFFFF"/>
                  <w:vAlign w:val="center"/>
                </w:tcPr>
                <w:p w14:paraId="326A7972">
                  <w:pPr>
                    <w:spacing w:line="240" w:lineRule="auto"/>
                    <w:ind w:firstLine="0" w:firstLineChars="0"/>
                    <w:jc w:val="center"/>
                    <w:rPr>
                      <w:rFonts w:eastAsia="Arial" w:cs="Times New Roman"/>
                      <w:sz w:val="21"/>
                      <w:szCs w:val="21"/>
                    </w:rPr>
                  </w:pPr>
                  <w:r>
                    <w:rPr>
                      <w:rFonts w:eastAsia="Arial" w:cs="Times New Roman"/>
                      <w:sz w:val="21"/>
                      <w:szCs w:val="21"/>
                    </w:rPr>
                    <w:t>南侧</w:t>
                  </w:r>
                </w:p>
              </w:tc>
              <w:tc>
                <w:tcPr>
                  <w:tcW w:w="470" w:type="pct"/>
                  <w:tcBorders>
                    <w:tl2br w:val="nil"/>
                    <w:tr2bl w:val="nil"/>
                  </w:tcBorders>
                  <w:shd w:val="clear" w:color="auto" w:fill="FFFFFF"/>
                  <w:vAlign w:val="center"/>
                </w:tcPr>
                <w:p w14:paraId="4CDEA781">
                  <w:pPr>
                    <w:spacing w:line="240" w:lineRule="auto"/>
                    <w:ind w:firstLine="0" w:firstLineChars="0"/>
                    <w:jc w:val="center"/>
                    <w:rPr>
                      <w:rFonts w:eastAsia="Arial" w:cs="Times New Roman"/>
                      <w:sz w:val="21"/>
                      <w:szCs w:val="21"/>
                    </w:rPr>
                  </w:pPr>
                  <w:r>
                    <w:rPr>
                      <w:rFonts w:eastAsia="Arial" w:cs="Times New Roman"/>
                      <w:sz w:val="21"/>
                      <w:szCs w:val="21"/>
                    </w:rPr>
                    <w:t>-52.2</w:t>
                  </w:r>
                </w:p>
              </w:tc>
              <w:tc>
                <w:tcPr>
                  <w:tcW w:w="470" w:type="pct"/>
                  <w:tcBorders>
                    <w:tl2br w:val="nil"/>
                    <w:tr2bl w:val="nil"/>
                  </w:tcBorders>
                  <w:shd w:val="clear" w:color="auto" w:fill="FFFFFF"/>
                  <w:vAlign w:val="center"/>
                </w:tcPr>
                <w:p w14:paraId="2DBABCC7">
                  <w:pPr>
                    <w:spacing w:line="240" w:lineRule="auto"/>
                    <w:ind w:firstLine="0" w:firstLineChars="0"/>
                    <w:jc w:val="center"/>
                    <w:rPr>
                      <w:rFonts w:eastAsia="Arial" w:cs="Times New Roman"/>
                      <w:sz w:val="21"/>
                      <w:szCs w:val="21"/>
                    </w:rPr>
                  </w:pPr>
                  <w:r>
                    <w:rPr>
                      <w:rFonts w:eastAsia="Arial" w:cs="Times New Roman"/>
                      <w:sz w:val="21"/>
                      <w:szCs w:val="21"/>
                    </w:rPr>
                    <w:t>-36</w:t>
                  </w:r>
                </w:p>
              </w:tc>
              <w:tc>
                <w:tcPr>
                  <w:tcW w:w="470" w:type="pct"/>
                  <w:tcBorders>
                    <w:tl2br w:val="nil"/>
                    <w:tr2bl w:val="nil"/>
                  </w:tcBorders>
                  <w:shd w:val="clear" w:color="auto" w:fill="FFFFFF"/>
                  <w:vAlign w:val="center"/>
                </w:tcPr>
                <w:p w14:paraId="1F0D20D2">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10631ADB">
                  <w:pPr>
                    <w:spacing w:line="240" w:lineRule="auto"/>
                    <w:ind w:firstLine="0" w:firstLineChars="0"/>
                    <w:jc w:val="center"/>
                    <w:rPr>
                      <w:rFonts w:eastAsia="Arial" w:cs="Times New Roman"/>
                      <w:sz w:val="21"/>
                      <w:szCs w:val="21"/>
                    </w:rPr>
                  </w:pPr>
                  <w:r>
                    <w:rPr>
                      <w:rFonts w:eastAsia="Arial" w:cs="Times New Roman"/>
                      <w:sz w:val="21"/>
                      <w:szCs w:val="21"/>
                    </w:rPr>
                    <w:t>昼间</w:t>
                  </w:r>
                </w:p>
              </w:tc>
              <w:tc>
                <w:tcPr>
                  <w:tcW w:w="830" w:type="pct"/>
                  <w:tcBorders>
                    <w:tl2br w:val="nil"/>
                    <w:tr2bl w:val="nil"/>
                  </w:tcBorders>
                  <w:shd w:val="clear" w:color="auto" w:fill="FFFFFF"/>
                  <w:vAlign w:val="center"/>
                </w:tcPr>
                <w:p w14:paraId="01D22F3B">
                  <w:pPr>
                    <w:spacing w:line="240" w:lineRule="auto"/>
                    <w:ind w:firstLine="0" w:firstLineChars="0"/>
                    <w:jc w:val="center"/>
                    <w:rPr>
                      <w:rFonts w:eastAsia="Arial" w:cs="Times New Roman"/>
                      <w:sz w:val="21"/>
                      <w:szCs w:val="21"/>
                    </w:rPr>
                  </w:pPr>
                  <w:r>
                    <w:rPr>
                      <w:rFonts w:eastAsia="Arial" w:cs="Times New Roman"/>
                      <w:sz w:val="21"/>
                      <w:szCs w:val="21"/>
                    </w:rPr>
                    <w:t>48.2</w:t>
                  </w:r>
                </w:p>
              </w:tc>
              <w:tc>
                <w:tcPr>
                  <w:tcW w:w="831" w:type="pct"/>
                  <w:tcBorders>
                    <w:tl2br w:val="nil"/>
                    <w:tr2bl w:val="nil"/>
                  </w:tcBorders>
                  <w:shd w:val="clear" w:color="auto" w:fill="FFFFFF"/>
                  <w:vAlign w:val="center"/>
                </w:tcPr>
                <w:p w14:paraId="59A40203">
                  <w:pPr>
                    <w:spacing w:line="240" w:lineRule="auto"/>
                    <w:ind w:firstLine="0" w:firstLineChars="0"/>
                    <w:jc w:val="center"/>
                    <w:rPr>
                      <w:rFonts w:eastAsia="Arial" w:cs="Times New Roman"/>
                      <w:sz w:val="21"/>
                      <w:szCs w:val="21"/>
                    </w:rPr>
                  </w:pPr>
                  <w:r>
                    <w:rPr>
                      <w:rFonts w:eastAsia="Arial" w:cs="Times New Roman"/>
                      <w:sz w:val="21"/>
                      <w:szCs w:val="21"/>
                    </w:rPr>
                    <w:t>65</w:t>
                  </w:r>
                </w:p>
              </w:tc>
              <w:tc>
                <w:tcPr>
                  <w:tcW w:w="696" w:type="pct"/>
                  <w:tcBorders>
                    <w:tl2br w:val="nil"/>
                    <w:tr2bl w:val="nil"/>
                  </w:tcBorders>
                  <w:shd w:val="clear" w:color="auto" w:fill="FFFFFF"/>
                  <w:vAlign w:val="center"/>
                </w:tcPr>
                <w:p w14:paraId="27C3A969">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3C809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continue"/>
                  <w:tcBorders>
                    <w:tl2br w:val="nil"/>
                    <w:tr2bl w:val="nil"/>
                  </w:tcBorders>
                  <w:shd w:val="clear" w:color="auto" w:fill="FFFFFF"/>
                  <w:vAlign w:val="center"/>
                </w:tcPr>
                <w:p w14:paraId="5F9E21A6">
                  <w:pPr>
                    <w:spacing w:line="240" w:lineRule="auto"/>
                    <w:ind w:firstLine="0" w:firstLineChars="0"/>
                    <w:jc w:val="center"/>
                    <w:rPr>
                      <w:rFonts w:eastAsia="Arial" w:cs="Times New Roman"/>
                      <w:sz w:val="21"/>
                      <w:szCs w:val="21"/>
                    </w:rPr>
                  </w:pPr>
                </w:p>
              </w:tc>
              <w:tc>
                <w:tcPr>
                  <w:tcW w:w="470" w:type="pct"/>
                  <w:tcBorders>
                    <w:tl2br w:val="nil"/>
                    <w:tr2bl w:val="nil"/>
                  </w:tcBorders>
                  <w:shd w:val="clear" w:color="auto" w:fill="FFFFFF"/>
                  <w:vAlign w:val="center"/>
                </w:tcPr>
                <w:p w14:paraId="023F27EF">
                  <w:pPr>
                    <w:spacing w:line="240" w:lineRule="auto"/>
                    <w:ind w:firstLine="0" w:firstLineChars="0"/>
                    <w:jc w:val="center"/>
                    <w:rPr>
                      <w:rFonts w:eastAsia="Arial" w:cs="Times New Roman"/>
                      <w:sz w:val="21"/>
                      <w:szCs w:val="21"/>
                    </w:rPr>
                  </w:pPr>
                  <w:r>
                    <w:rPr>
                      <w:rFonts w:eastAsia="Arial" w:cs="Times New Roman"/>
                      <w:sz w:val="21"/>
                      <w:szCs w:val="21"/>
                    </w:rPr>
                    <w:t>-52.2</w:t>
                  </w:r>
                </w:p>
              </w:tc>
              <w:tc>
                <w:tcPr>
                  <w:tcW w:w="470" w:type="pct"/>
                  <w:tcBorders>
                    <w:tl2br w:val="nil"/>
                    <w:tr2bl w:val="nil"/>
                  </w:tcBorders>
                  <w:shd w:val="clear" w:color="auto" w:fill="FFFFFF"/>
                  <w:vAlign w:val="center"/>
                </w:tcPr>
                <w:p w14:paraId="1156EC79">
                  <w:pPr>
                    <w:spacing w:line="240" w:lineRule="auto"/>
                    <w:ind w:firstLine="0" w:firstLineChars="0"/>
                    <w:jc w:val="center"/>
                    <w:rPr>
                      <w:rFonts w:eastAsia="Arial" w:cs="Times New Roman"/>
                      <w:sz w:val="21"/>
                      <w:szCs w:val="21"/>
                    </w:rPr>
                  </w:pPr>
                  <w:r>
                    <w:rPr>
                      <w:rFonts w:eastAsia="Arial" w:cs="Times New Roman"/>
                      <w:sz w:val="21"/>
                      <w:szCs w:val="21"/>
                    </w:rPr>
                    <w:t>-36</w:t>
                  </w:r>
                </w:p>
              </w:tc>
              <w:tc>
                <w:tcPr>
                  <w:tcW w:w="470" w:type="pct"/>
                  <w:tcBorders>
                    <w:tl2br w:val="nil"/>
                    <w:tr2bl w:val="nil"/>
                  </w:tcBorders>
                  <w:shd w:val="clear" w:color="auto" w:fill="FFFFFF"/>
                  <w:vAlign w:val="center"/>
                </w:tcPr>
                <w:p w14:paraId="18C77050">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02ACA6B3">
                  <w:pPr>
                    <w:spacing w:line="240" w:lineRule="auto"/>
                    <w:ind w:firstLine="0" w:firstLineChars="0"/>
                    <w:jc w:val="center"/>
                    <w:rPr>
                      <w:rFonts w:eastAsia="Arial" w:cs="Times New Roman"/>
                      <w:sz w:val="21"/>
                      <w:szCs w:val="21"/>
                    </w:rPr>
                  </w:pPr>
                  <w:r>
                    <w:rPr>
                      <w:rFonts w:eastAsia="Arial" w:cs="Times New Roman"/>
                      <w:sz w:val="21"/>
                      <w:szCs w:val="21"/>
                    </w:rPr>
                    <w:t>夜间</w:t>
                  </w:r>
                </w:p>
              </w:tc>
              <w:tc>
                <w:tcPr>
                  <w:tcW w:w="830" w:type="pct"/>
                  <w:tcBorders>
                    <w:tl2br w:val="nil"/>
                    <w:tr2bl w:val="nil"/>
                  </w:tcBorders>
                  <w:shd w:val="clear" w:color="auto" w:fill="FFFFFF"/>
                  <w:vAlign w:val="center"/>
                </w:tcPr>
                <w:p w14:paraId="4AB44955">
                  <w:pPr>
                    <w:spacing w:line="240" w:lineRule="auto"/>
                    <w:ind w:firstLine="0" w:firstLineChars="0"/>
                    <w:jc w:val="center"/>
                    <w:rPr>
                      <w:rFonts w:eastAsia="Arial" w:cs="Times New Roman"/>
                      <w:sz w:val="21"/>
                      <w:szCs w:val="21"/>
                    </w:rPr>
                  </w:pPr>
                  <w:r>
                    <w:rPr>
                      <w:rFonts w:eastAsia="Arial" w:cs="Times New Roman"/>
                      <w:sz w:val="21"/>
                      <w:szCs w:val="21"/>
                    </w:rPr>
                    <w:t>48.2</w:t>
                  </w:r>
                </w:p>
              </w:tc>
              <w:tc>
                <w:tcPr>
                  <w:tcW w:w="831" w:type="pct"/>
                  <w:tcBorders>
                    <w:tl2br w:val="nil"/>
                    <w:tr2bl w:val="nil"/>
                  </w:tcBorders>
                  <w:shd w:val="clear" w:color="auto" w:fill="FFFFFF"/>
                  <w:vAlign w:val="center"/>
                </w:tcPr>
                <w:p w14:paraId="0EB753ED">
                  <w:pPr>
                    <w:spacing w:line="240" w:lineRule="auto"/>
                    <w:ind w:firstLine="0" w:firstLineChars="0"/>
                    <w:jc w:val="center"/>
                    <w:rPr>
                      <w:rFonts w:eastAsia="Arial" w:cs="Times New Roman"/>
                      <w:sz w:val="21"/>
                      <w:szCs w:val="21"/>
                    </w:rPr>
                  </w:pPr>
                  <w:r>
                    <w:rPr>
                      <w:rFonts w:eastAsia="Arial" w:cs="Times New Roman"/>
                      <w:sz w:val="21"/>
                      <w:szCs w:val="21"/>
                    </w:rPr>
                    <w:t>55</w:t>
                  </w:r>
                </w:p>
              </w:tc>
              <w:tc>
                <w:tcPr>
                  <w:tcW w:w="696" w:type="pct"/>
                  <w:tcBorders>
                    <w:tl2br w:val="nil"/>
                    <w:tr2bl w:val="nil"/>
                  </w:tcBorders>
                  <w:shd w:val="clear" w:color="auto" w:fill="FFFFFF"/>
                  <w:vAlign w:val="center"/>
                </w:tcPr>
                <w:p w14:paraId="46DE1D7E">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1E7DF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restart"/>
                  <w:tcBorders>
                    <w:tl2br w:val="nil"/>
                    <w:tr2bl w:val="nil"/>
                  </w:tcBorders>
                  <w:shd w:val="clear" w:color="auto" w:fill="FFFFFF"/>
                  <w:vAlign w:val="center"/>
                </w:tcPr>
                <w:p w14:paraId="032B26D7">
                  <w:pPr>
                    <w:spacing w:line="240" w:lineRule="auto"/>
                    <w:ind w:firstLine="0" w:firstLineChars="0"/>
                    <w:jc w:val="center"/>
                    <w:rPr>
                      <w:rFonts w:eastAsia="Arial" w:cs="Times New Roman"/>
                      <w:sz w:val="21"/>
                      <w:szCs w:val="21"/>
                    </w:rPr>
                  </w:pPr>
                  <w:r>
                    <w:rPr>
                      <w:rFonts w:eastAsia="Arial" w:cs="Times New Roman"/>
                      <w:sz w:val="21"/>
                      <w:szCs w:val="21"/>
                    </w:rPr>
                    <w:t>西侧</w:t>
                  </w:r>
                </w:p>
              </w:tc>
              <w:tc>
                <w:tcPr>
                  <w:tcW w:w="470" w:type="pct"/>
                  <w:tcBorders>
                    <w:tl2br w:val="nil"/>
                    <w:tr2bl w:val="nil"/>
                  </w:tcBorders>
                  <w:shd w:val="clear" w:color="auto" w:fill="FFFFFF"/>
                  <w:vAlign w:val="center"/>
                </w:tcPr>
                <w:p w14:paraId="0DF79D6C">
                  <w:pPr>
                    <w:spacing w:line="240" w:lineRule="auto"/>
                    <w:ind w:firstLine="0" w:firstLineChars="0"/>
                    <w:jc w:val="center"/>
                    <w:rPr>
                      <w:rFonts w:eastAsia="Arial" w:cs="Times New Roman"/>
                      <w:sz w:val="21"/>
                      <w:szCs w:val="21"/>
                    </w:rPr>
                  </w:pPr>
                  <w:r>
                    <w:rPr>
                      <w:rFonts w:eastAsia="Arial" w:cs="Times New Roman"/>
                      <w:sz w:val="21"/>
                      <w:szCs w:val="21"/>
                    </w:rPr>
                    <w:t>-79.1</w:t>
                  </w:r>
                </w:p>
              </w:tc>
              <w:tc>
                <w:tcPr>
                  <w:tcW w:w="470" w:type="pct"/>
                  <w:tcBorders>
                    <w:tl2br w:val="nil"/>
                    <w:tr2bl w:val="nil"/>
                  </w:tcBorders>
                  <w:shd w:val="clear" w:color="auto" w:fill="FFFFFF"/>
                  <w:vAlign w:val="center"/>
                </w:tcPr>
                <w:p w14:paraId="6BA2A21D">
                  <w:pPr>
                    <w:spacing w:line="240" w:lineRule="auto"/>
                    <w:ind w:firstLine="0" w:firstLineChars="0"/>
                    <w:jc w:val="center"/>
                    <w:rPr>
                      <w:rFonts w:eastAsia="Arial" w:cs="Times New Roman"/>
                      <w:sz w:val="21"/>
                      <w:szCs w:val="21"/>
                    </w:rPr>
                  </w:pPr>
                  <w:r>
                    <w:rPr>
                      <w:rFonts w:eastAsia="Arial" w:cs="Times New Roman"/>
                      <w:sz w:val="21"/>
                      <w:szCs w:val="21"/>
                    </w:rPr>
                    <w:t>1</w:t>
                  </w:r>
                </w:p>
              </w:tc>
              <w:tc>
                <w:tcPr>
                  <w:tcW w:w="470" w:type="pct"/>
                  <w:tcBorders>
                    <w:tl2br w:val="nil"/>
                    <w:tr2bl w:val="nil"/>
                  </w:tcBorders>
                  <w:shd w:val="clear" w:color="auto" w:fill="FFFFFF"/>
                  <w:vAlign w:val="center"/>
                </w:tcPr>
                <w:p w14:paraId="3E5462E9">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0EBC9F00">
                  <w:pPr>
                    <w:spacing w:line="240" w:lineRule="auto"/>
                    <w:ind w:firstLine="0" w:firstLineChars="0"/>
                    <w:jc w:val="center"/>
                    <w:rPr>
                      <w:rFonts w:eastAsia="Arial" w:cs="Times New Roman"/>
                      <w:sz w:val="21"/>
                      <w:szCs w:val="21"/>
                    </w:rPr>
                  </w:pPr>
                  <w:r>
                    <w:rPr>
                      <w:rFonts w:eastAsia="Arial" w:cs="Times New Roman"/>
                      <w:sz w:val="21"/>
                      <w:szCs w:val="21"/>
                    </w:rPr>
                    <w:t>昼间</w:t>
                  </w:r>
                </w:p>
              </w:tc>
              <w:tc>
                <w:tcPr>
                  <w:tcW w:w="830" w:type="pct"/>
                  <w:tcBorders>
                    <w:tl2br w:val="nil"/>
                    <w:tr2bl w:val="nil"/>
                  </w:tcBorders>
                  <w:shd w:val="clear" w:color="auto" w:fill="FFFFFF"/>
                  <w:vAlign w:val="center"/>
                </w:tcPr>
                <w:p w14:paraId="295DDEA3">
                  <w:pPr>
                    <w:spacing w:line="240" w:lineRule="auto"/>
                    <w:ind w:firstLine="0" w:firstLineChars="0"/>
                    <w:jc w:val="center"/>
                    <w:rPr>
                      <w:rFonts w:eastAsia="Arial" w:cs="Times New Roman"/>
                      <w:sz w:val="21"/>
                      <w:szCs w:val="21"/>
                    </w:rPr>
                  </w:pPr>
                  <w:r>
                    <w:rPr>
                      <w:rFonts w:eastAsia="Arial" w:cs="Times New Roman"/>
                      <w:sz w:val="21"/>
                      <w:szCs w:val="21"/>
                    </w:rPr>
                    <w:t>53.2</w:t>
                  </w:r>
                </w:p>
              </w:tc>
              <w:tc>
                <w:tcPr>
                  <w:tcW w:w="831" w:type="pct"/>
                  <w:tcBorders>
                    <w:tl2br w:val="nil"/>
                    <w:tr2bl w:val="nil"/>
                  </w:tcBorders>
                  <w:shd w:val="clear" w:color="auto" w:fill="FFFFFF"/>
                  <w:vAlign w:val="center"/>
                </w:tcPr>
                <w:p w14:paraId="41D6AC22">
                  <w:pPr>
                    <w:spacing w:line="240" w:lineRule="auto"/>
                    <w:ind w:firstLine="0" w:firstLineChars="0"/>
                    <w:jc w:val="center"/>
                    <w:rPr>
                      <w:rFonts w:eastAsia="Arial" w:cs="Times New Roman"/>
                      <w:sz w:val="21"/>
                      <w:szCs w:val="21"/>
                    </w:rPr>
                  </w:pPr>
                  <w:r>
                    <w:rPr>
                      <w:rFonts w:eastAsia="Arial" w:cs="Times New Roman"/>
                      <w:sz w:val="21"/>
                      <w:szCs w:val="21"/>
                    </w:rPr>
                    <w:t>65</w:t>
                  </w:r>
                </w:p>
              </w:tc>
              <w:tc>
                <w:tcPr>
                  <w:tcW w:w="696" w:type="pct"/>
                  <w:tcBorders>
                    <w:tl2br w:val="nil"/>
                    <w:tr2bl w:val="nil"/>
                  </w:tcBorders>
                  <w:shd w:val="clear" w:color="auto" w:fill="FFFFFF"/>
                  <w:vAlign w:val="center"/>
                </w:tcPr>
                <w:p w14:paraId="45E672C6">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6198E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continue"/>
                  <w:tcBorders>
                    <w:tl2br w:val="nil"/>
                    <w:tr2bl w:val="nil"/>
                  </w:tcBorders>
                  <w:shd w:val="clear" w:color="auto" w:fill="FFFFFF"/>
                  <w:vAlign w:val="center"/>
                </w:tcPr>
                <w:p w14:paraId="3983C221">
                  <w:pPr>
                    <w:spacing w:line="240" w:lineRule="auto"/>
                    <w:ind w:firstLine="0" w:firstLineChars="0"/>
                    <w:jc w:val="center"/>
                    <w:rPr>
                      <w:rFonts w:eastAsia="Arial" w:cs="Times New Roman"/>
                      <w:sz w:val="21"/>
                      <w:szCs w:val="21"/>
                    </w:rPr>
                  </w:pPr>
                </w:p>
              </w:tc>
              <w:tc>
                <w:tcPr>
                  <w:tcW w:w="470" w:type="pct"/>
                  <w:tcBorders>
                    <w:tl2br w:val="nil"/>
                    <w:tr2bl w:val="nil"/>
                  </w:tcBorders>
                  <w:shd w:val="clear" w:color="auto" w:fill="FFFFFF"/>
                  <w:vAlign w:val="center"/>
                </w:tcPr>
                <w:p w14:paraId="1C0D4492">
                  <w:pPr>
                    <w:spacing w:line="240" w:lineRule="auto"/>
                    <w:ind w:firstLine="0" w:firstLineChars="0"/>
                    <w:jc w:val="center"/>
                    <w:rPr>
                      <w:rFonts w:eastAsia="Arial" w:cs="Times New Roman"/>
                      <w:sz w:val="21"/>
                      <w:szCs w:val="21"/>
                    </w:rPr>
                  </w:pPr>
                  <w:r>
                    <w:rPr>
                      <w:rFonts w:eastAsia="Arial" w:cs="Times New Roman"/>
                      <w:sz w:val="21"/>
                      <w:szCs w:val="21"/>
                    </w:rPr>
                    <w:t>-79.1</w:t>
                  </w:r>
                </w:p>
              </w:tc>
              <w:tc>
                <w:tcPr>
                  <w:tcW w:w="470" w:type="pct"/>
                  <w:tcBorders>
                    <w:tl2br w:val="nil"/>
                    <w:tr2bl w:val="nil"/>
                  </w:tcBorders>
                  <w:shd w:val="clear" w:color="auto" w:fill="FFFFFF"/>
                  <w:vAlign w:val="center"/>
                </w:tcPr>
                <w:p w14:paraId="1A8FFAD9">
                  <w:pPr>
                    <w:spacing w:line="240" w:lineRule="auto"/>
                    <w:ind w:firstLine="0" w:firstLineChars="0"/>
                    <w:jc w:val="center"/>
                    <w:rPr>
                      <w:rFonts w:eastAsia="Arial" w:cs="Times New Roman"/>
                      <w:sz w:val="21"/>
                      <w:szCs w:val="21"/>
                    </w:rPr>
                  </w:pPr>
                  <w:r>
                    <w:rPr>
                      <w:rFonts w:eastAsia="Arial" w:cs="Times New Roman"/>
                      <w:sz w:val="21"/>
                      <w:szCs w:val="21"/>
                    </w:rPr>
                    <w:t>1</w:t>
                  </w:r>
                </w:p>
              </w:tc>
              <w:tc>
                <w:tcPr>
                  <w:tcW w:w="470" w:type="pct"/>
                  <w:tcBorders>
                    <w:tl2br w:val="nil"/>
                    <w:tr2bl w:val="nil"/>
                  </w:tcBorders>
                  <w:shd w:val="clear" w:color="auto" w:fill="FFFFFF"/>
                  <w:vAlign w:val="center"/>
                </w:tcPr>
                <w:p w14:paraId="7D607295">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3A0F35BA">
                  <w:pPr>
                    <w:spacing w:line="240" w:lineRule="auto"/>
                    <w:ind w:firstLine="0" w:firstLineChars="0"/>
                    <w:jc w:val="center"/>
                    <w:rPr>
                      <w:rFonts w:eastAsia="Arial" w:cs="Times New Roman"/>
                      <w:sz w:val="21"/>
                      <w:szCs w:val="21"/>
                    </w:rPr>
                  </w:pPr>
                  <w:r>
                    <w:rPr>
                      <w:rFonts w:eastAsia="Arial" w:cs="Times New Roman"/>
                      <w:sz w:val="21"/>
                      <w:szCs w:val="21"/>
                    </w:rPr>
                    <w:t>夜间</w:t>
                  </w:r>
                </w:p>
              </w:tc>
              <w:tc>
                <w:tcPr>
                  <w:tcW w:w="830" w:type="pct"/>
                  <w:tcBorders>
                    <w:tl2br w:val="nil"/>
                    <w:tr2bl w:val="nil"/>
                  </w:tcBorders>
                  <w:shd w:val="clear" w:color="auto" w:fill="FFFFFF"/>
                  <w:vAlign w:val="center"/>
                </w:tcPr>
                <w:p w14:paraId="78526545">
                  <w:pPr>
                    <w:spacing w:line="240" w:lineRule="auto"/>
                    <w:ind w:firstLine="0" w:firstLineChars="0"/>
                    <w:jc w:val="center"/>
                    <w:rPr>
                      <w:rFonts w:eastAsia="Arial" w:cs="Times New Roman"/>
                      <w:sz w:val="21"/>
                      <w:szCs w:val="21"/>
                    </w:rPr>
                  </w:pPr>
                  <w:r>
                    <w:rPr>
                      <w:rFonts w:eastAsia="Arial" w:cs="Times New Roman"/>
                      <w:sz w:val="21"/>
                      <w:szCs w:val="21"/>
                    </w:rPr>
                    <w:t>53.2</w:t>
                  </w:r>
                </w:p>
              </w:tc>
              <w:tc>
                <w:tcPr>
                  <w:tcW w:w="831" w:type="pct"/>
                  <w:tcBorders>
                    <w:tl2br w:val="nil"/>
                    <w:tr2bl w:val="nil"/>
                  </w:tcBorders>
                  <w:shd w:val="clear" w:color="auto" w:fill="FFFFFF"/>
                  <w:vAlign w:val="center"/>
                </w:tcPr>
                <w:p w14:paraId="07039917">
                  <w:pPr>
                    <w:spacing w:line="240" w:lineRule="auto"/>
                    <w:ind w:firstLine="0" w:firstLineChars="0"/>
                    <w:jc w:val="center"/>
                    <w:rPr>
                      <w:rFonts w:eastAsia="Arial" w:cs="Times New Roman"/>
                      <w:sz w:val="21"/>
                      <w:szCs w:val="21"/>
                    </w:rPr>
                  </w:pPr>
                  <w:r>
                    <w:rPr>
                      <w:rFonts w:eastAsia="Arial" w:cs="Times New Roman"/>
                      <w:sz w:val="21"/>
                      <w:szCs w:val="21"/>
                    </w:rPr>
                    <w:t>55</w:t>
                  </w:r>
                </w:p>
              </w:tc>
              <w:tc>
                <w:tcPr>
                  <w:tcW w:w="696" w:type="pct"/>
                  <w:tcBorders>
                    <w:tl2br w:val="nil"/>
                    <w:tr2bl w:val="nil"/>
                  </w:tcBorders>
                  <w:shd w:val="clear" w:color="auto" w:fill="FFFFFF"/>
                  <w:vAlign w:val="center"/>
                </w:tcPr>
                <w:p w14:paraId="1F00D6CF">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2055B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restart"/>
                  <w:tcBorders>
                    <w:tl2br w:val="nil"/>
                    <w:tr2bl w:val="nil"/>
                  </w:tcBorders>
                  <w:shd w:val="clear" w:color="auto" w:fill="FFFFFF"/>
                  <w:vAlign w:val="center"/>
                </w:tcPr>
                <w:p w14:paraId="465B4BAC">
                  <w:pPr>
                    <w:spacing w:line="240" w:lineRule="auto"/>
                    <w:ind w:firstLine="0" w:firstLineChars="0"/>
                    <w:jc w:val="center"/>
                    <w:rPr>
                      <w:rFonts w:eastAsia="Arial" w:cs="Times New Roman"/>
                      <w:sz w:val="21"/>
                      <w:szCs w:val="21"/>
                    </w:rPr>
                  </w:pPr>
                  <w:r>
                    <w:rPr>
                      <w:rFonts w:eastAsia="Arial" w:cs="Times New Roman"/>
                      <w:sz w:val="21"/>
                      <w:szCs w:val="21"/>
                    </w:rPr>
                    <w:t>北侧</w:t>
                  </w:r>
                </w:p>
              </w:tc>
              <w:tc>
                <w:tcPr>
                  <w:tcW w:w="470" w:type="pct"/>
                  <w:tcBorders>
                    <w:tl2br w:val="nil"/>
                    <w:tr2bl w:val="nil"/>
                  </w:tcBorders>
                  <w:shd w:val="clear" w:color="auto" w:fill="FFFFFF"/>
                  <w:vAlign w:val="center"/>
                </w:tcPr>
                <w:p w14:paraId="725BEE01">
                  <w:pPr>
                    <w:spacing w:line="240" w:lineRule="auto"/>
                    <w:ind w:firstLine="0" w:firstLineChars="0"/>
                    <w:jc w:val="center"/>
                    <w:rPr>
                      <w:rFonts w:eastAsia="Arial" w:cs="Times New Roman"/>
                      <w:sz w:val="21"/>
                      <w:szCs w:val="21"/>
                    </w:rPr>
                  </w:pPr>
                  <w:r>
                    <w:rPr>
                      <w:rFonts w:eastAsia="Arial" w:cs="Times New Roman"/>
                      <w:sz w:val="21"/>
                      <w:szCs w:val="21"/>
                    </w:rPr>
                    <w:t>-55.8</w:t>
                  </w:r>
                </w:p>
              </w:tc>
              <w:tc>
                <w:tcPr>
                  <w:tcW w:w="470" w:type="pct"/>
                  <w:tcBorders>
                    <w:tl2br w:val="nil"/>
                    <w:tr2bl w:val="nil"/>
                  </w:tcBorders>
                  <w:shd w:val="clear" w:color="auto" w:fill="FFFFFF"/>
                  <w:vAlign w:val="center"/>
                </w:tcPr>
                <w:p w14:paraId="0DD9DF1E">
                  <w:pPr>
                    <w:spacing w:line="240" w:lineRule="auto"/>
                    <w:ind w:firstLine="0" w:firstLineChars="0"/>
                    <w:jc w:val="center"/>
                    <w:rPr>
                      <w:rFonts w:eastAsia="Arial" w:cs="Times New Roman"/>
                      <w:sz w:val="21"/>
                      <w:szCs w:val="21"/>
                    </w:rPr>
                  </w:pPr>
                  <w:r>
                    <w:rPr>
                      <w:rFonts w:eastAsia="Arial" w:cs="Times New Roman"/>
                      <w:sz w:val="21"/>
                      <w:szCs w:val="21"/>
                    </w:rPr>
                    <w:t>37</w:t>
                  </w:r>
                </w:p>
              </w:tc>
              <w:tc>
                <w:tcPr>
                  <w:tcW w:w="470" w:type="pct"/>
                  <w:tcBorders>
                    <w:tl2br w:val="nil"/>
                    <w:tr2bl w:val="nil"/>
                  </w:tcBorders>
                  <w:shd w:val="clear" w:color="auto" w:fill="FFFFFF"/>
                  <w:vAlign w:val="center"/>
                </w:tcPr>
                <w:p w14:paraId="42AEB3F0">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5F68FAD0">
                  <w:pPr>
                    <w:spacing w:line="240" w:lineRule="auto"/>
                    <w:ind w:firstLine="0" w:firstLineChars="0"/>
                    <w:jc w:val="center"/>
                    <w:rPr>
                      <w:rFonts w:eastAsia="Arial" w:cs="Times New Roman"/>
                      <w:sz w:val="21"/>
                      <w:szCs w:val="21"/>
                    </w:rPr>
                  </w:pPr>
                  <w:r>
                    <w:rPr>
                      <w:rFonts w:eastAsia="Arial" w:cs="Times New Roman"/>
                      <w:sz w:val="21"/>
                      <w:szCs w:val="21"/>
                    </w:rPr>
                    <w:t>昼间</w:t>
                  </w:r>
                </w:p>
              </w:tc>
              <w:tc>
                <w:tcPr>
                  <w:tcW w:w="830" w:type="pct"/>
                  <w:tcBorders>
                    <w:tl2br w:val="nil"/>
                    <w:tr2bl w:val="nil"/>
                  </w:tcBorders>
                  <w:shd w:val="clear" w:color="auto" w:fill="FFFFFF"/>
                  <w:vAlign w:val="center"/>
                </w:tcPr>
                <w:p w14:paraId="16D4AA7F">
                  <w:pPr>
                    <w:spacing w:line="240" w:lineRule="auto"/>
                    <w:ind w:firstLine="0" w:firstLineChars="0"/>
                    <w:jc w:val="center"/>
                    <w:rPr>
                      <w:rFonts w:eastAsia="Arial" w:cs="Times New Roman"/>
                      <w:sz w:val="21"/>
                      <w:szCs w:val="21"/>
                    </w:rPr>
                  </w:pPr>
                  <w:r>
                    <w:rPr>
                      <w:rFonts w:eastAsia="Arial" w:cs="Times New Roman"/>
                      <w:sz w:val="21"/>
                      <w:szCs w:val="21"/>
                    </w:rPr>
                    <w:t>46.8</w:t>
                  </w:r>
                </w:p>
              </w:tc>
              <w:tc>
                <w:tcPr>
                  <w:tcW w:w="831" w:type="pct"/>
                  <w:tcBorders>
                    <w:tl2br w:val="nil"/>
                    <w:tr2bl w:val="nil"/>
                  </w:tcBorders>
                  <w:shd w:val="clear" w:color="auto" w:fill="FFFFFF"/>
                  <w:vAlign w:val="center"/>
                </w:tcPr>
                <w:p w14:paraId="686B9008">
                  <w:pPr>
                    <w:spacing w:line="240" w:lineRule="auto"/>
                    <w:ind w:firstLine="0" w:firstLineChars="0"/>
                    <w:jc w:val="center"/>
                    <w:rPr>
                      <w:rFonts w:eastAsia="Arial" w:cs="Times New Roman"/>
                      <w:sz w:val="21"/>
                      <w:szCs w:val="21"/>
                    </w:rPr>
                  </w:pPr>
                  <w:r>
                    <w:rPr>
                      <w:rFonts w:eastAsia="Arial" w:cs="Times New Roman"/>
                      <w:sz w:val="21"/>
                      <w:szCs w:val="21"/>
                    </w:rPr>
                    <w:t>65</w:t>
                  </w:r>
                </w:p>
              </w:tc>
              <w:tc>
                <w:tcPr>
                  <w:tcW w:w="696" w:type="pct"/>
                  <w:tcBorders>
                    <w:tl2br w:val="nil"/>
                    <w:tr2bl w:val="nil"/>
                  </w:tcBorders>
                  <w:shd w:val="clear" w:color="auto" w:fill="FFFFFF"/>
                  <w:vAlign w:val="center"/>
                </w:tcPr>
                <w:p w14:paraId="171252FD">
                  <w:pPr>
                    <w:spacing w:line="240" w:lineRule="auto"/>
                    <w:ind w:firstLine="0" w:firstLineChars="0"/>
                    <w:jc w:val="center"/>
                    <w:rPr>
                      <w:rFonts w:eastAsia="Arial" w:cs="Times New Roman"/>
                      <w:sz w:val="21"/>
                      <w:szCs w:val="21"/>
                    </w:rPr>
                  </w:pPr>
                  <w:r>
                    <w:rPr>
                      <w:rFonts w:eastAsia="Arial" w:cs="Times New Roman"/>
                      <w:sz w:val="21"/>
                      <w:szCs w:val="21"/>
                    </w:rPr>
                    <w:t>达标</w:t>
                  </w:r>
                </w:p>
              </w:tc>
            </w:tr>
            <w:tr w14:paraId="2C641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45" w:type="pct"/>
                  <w:vMerge w:val="continue"/>
                  <w:tcBorders>
                    <w:tl2br w:val="nil"/>
                    <w:tr2bl w:val="nil"/>
                  </w:tcBorders>
                  <w:shd w:val="clear" w:color="auto" w:fill="FFFFFF"/>
                  <w:vAlign w:val="center"/>
                </w:tcPr>
                <w:p w14:paraId="410AE0CD">
                  <w:pPr>
                    <w:spacing w:line="240" w:lineRule="auto"/>
                    <w:ind w:firstLine="0" w:firstLineChars="0"/>
                    <w:jc w:val="center"/>
                    <w:rPr>
                      <w:rFonts w:eastAsia="Arial" w:cs="Times New Roman"/>
                      <w:sz w:val="21"/>
                      <w:szCs w:val="21"/>
                    </w:rPr>
                  </w:pPr>
                </w:p>
              </w:tc>
              <w:tc>
                <w:tcPr>
                  <w:tcW w:w="470" w:type="pct"/>
                  <w:tcBorders>
                    <w:tl2br w:val="nil"/>
                    <w:tr2bl w:val="nil"/>
                  </w:tcBorders>
                  <w:shd w:val="clear" w:color="auto" w:fill="FFFFFF"/>
                  <w:vAlign w:val="center"/>
                </w:tcPr>
                <w:p w14:paraId="5C678C7F">
                  <w:pPr>
                    <w:spacing w:line="240" w:lineRule="auto"/>
                    <w:ind w:firstLine="0" w:firstLineChars="0"/>
                    <w:jc w:val="center"/>
                    <w:rPr>
                      <w:rFonts w:eastAsia="Arial" w:cs="Times New Roman"/>
                      <w:sz w:val="21"/>
                      <w:szCs w:val="21"/>
                    </w:rPr>
                  </w:pPr>
                  <w:r>
                    <w:rPr>
                      <w:rFonts w:eastAsia="Arial" w:cs="Times New Roman"/>
                      <w:sz w:val="21"/>
                      <w:szCs w:val="21"/>
                    </w:rPr>
                    <w:t>-55.8</w:t>
                  </w:r>
                </w:p>
              </w:tc>
              <w:tc>
                <w:tcPr>
                  <w:tcW w:w="470" w:type="pct"/>
                  <w:tcBorders>
                    <w:tl2br w:val="nil"/>
                    <w:tr2bl w:val="nil"/>
                  </w:tcBorders>
                  <w:shd w:val="clear" w:color="auto" w:fill="FFFFFF"/>
                  <w:vAlign w:val="center"/>
                </w:tcPr>
                <w:p w14:paraId="0080AEE2">
                  <w:pPr>
                    <w:spacing w:line="240" w:lineRule="auto"/>
                    <w:ind w:firstLine="0" w:firstLineChars="0"/>
                    <w:jc w:val="center"/>
                    <w:rPr>
                      <w:rFonts w:eastAsia="Arial" w:cs="Times New Roman"/>
                      <w:sz w:val="21"/>
                      <w:szCs w:val="21"/>
                    </w:rPr>
                  </w:pPr>
                  <w:r>
                    <w:rPr>
                      <w:rFonts w:eastAsia="Arial" w:cs="Times New Roman"/>
                      <w:sz w:val="21"/>
                      <w:szCs w:val="21"/>
                    </w:rPr>
                    <w:t>37</w:t>
                  </w:r>
                </w:p>
              </w:tc>
              <w:tc>
                <w:tcPr>
                  <w:tcW w:w="470" w:type="pct"/>
                  <w:tcBorders>
                    <w:tl2br w:val="nil"/>
                    <w:tr2bl w:val="nil"/>
                  </w:tcBorders>
                  <w:shd w:val="clear" w:color="auto" w:fill="FFFFFF"/>
                  <w:vAlign w:val="center"/>
                </w:tcPr>
                <w:p w14:paraId="6DEEF2B1">
                  <w:pPr>
                    <w:spacing w:line="240" w:lineRule="auto"/>
                    <w:ind w:firstLine="0" w:firstLineChars="0"/>
                    <w:jc w:val="center"/>
                    <w:rPr>
                      <w:rFonts w:eastAsia="Arial" w:cs="Times New Roman"/>
                      <w:sz w:val="21"/>
                      <w:szCs w:val="21"/>
                    </w:rPr>
                  </w:pPr>
                  <w:r>
                    <w:rPr>
                      <w:rFonts w:eastAsia="Arial" w:cs="Times New Roman"/>
                      <w:sz w:val="21"/>
                      <w:szCs w:val="21"/>
                    </w:rPr>
                    <w:t>1.2</w:t>
                  </w:r>
                </w:p>
              </w:tc>
              <w:tc>
                <w:tcPr>
                  <w:tcW w:w="582" w:type="pct"/>
                  <w:tcBorders>
                    <w:tl2br w:val="nil"/>
                    <w:tr2bl w:val="nil"/>
                  </w:tcBorders>
                  <w:shd w:val="clear" w:color="auto" w:fill="FFFFFF"/>
                  <w:vAlign w:val="center"/>
                </w:tcPr>
                <w:p w14:paraId="17E71AE2">
                  <w:pPr>
                    <w:spacing w:line="240" w:lineRule="auto"/>
                    <w:ind w:firstLine="0" w:firstLineChars="0"/>
                    <w:jc w:val="center"/>
                    <w:rPr>
                      <w:rFonts w:eastAsia="Arial" w:cs="Times New Roman"/>
                      <w:sz w:val="21"/>
                      <w:szCs w:val="21"/>
                    </w:rPr>
                  </w:pPr>
                  <w:r>
                    <w:rPr>
                      <w:rFonts w:eastAsia="Arial" w:cs="Times New Roman"/>
                      <w:sz w:val="21"/>
                      <w:szCs w:val="21"/>
                    </w:rPr>
                    <w:t>夜间</w:t>
                  </w:r>
                </w:p>
              </w:tc>
              <w:tc>
                <w:tcPr>
                  <w:tcW w:w="830" w:type="pct"/>
                  <w:tcBorders>
                    <w:tl2br w:val="nil"/>
                    <w:tr2bl w:val="nil"/>
                  </w:tcBorders>
                  <w:shd w:val="clear" w:color="auto" w:fill="FFFFFF"/>
                  <w:vAlign w:val="center"/>
                </w:tcPr>
                <w:p w14:paraId="20024B98">
                  <w:pPr>
                    <w:spacing w:line="240" w:lineRule="auto"/>
                    <w:ind w:firstLine="0" w:firstLineChars="0"/>
                    <w:jc w:val="center"/>
                    <w:rPr>
                      <w:rFonts w:eastAsia="Arial" w:cs="Times New Roman"/>
                      <w:sz w:val="21"/>
                      <w:szCs w:val="21"/>
                    </w:rPr>
                  </w:pPr>
                  <w:r>
                    <w:rPr>
                      <w:rFonts w:eastAsia="Arial" w:cs="Times New Roman"/>
                      <w:sz w:val="21"/>
                      <w:szCs w:val="21"/>
                    </w:rPr>
                    <w:t>46.8</w:t>
                  </w:r>
                </w:p>
              </w:tc>
              <w:tc>
                <w:tcPr>
                  <w:tcW w:w="831" w:type="pct"/>
                  <w:tcBorders>
                    <w:tl2br w:val="nil"/>
                    <w:tr2bl w:val="nil"/>
                  </w:tcBorders>
                  <w:shd w:val="clear" w:color="auto" w:fill="FFFFFF"/>
                  <w:vAlign w:val="center"/>
                </w:tcPr>
                <w:p w14:paraId="21582119">
                  <w:pPr>
                    <w:spacing w:line="240" w:lineRule="auto"/>
                    <w:ind w:firstLine="0" w:firstLineChars="0"/>
                    <w:jc w:val="center"/>
                    <w:rPr>
                      <w:rFonts w:eastAsia="Arial" w:cs="Times New Roman"/>
                      <w:sz w:val="21"/>
                      <w:szCs w:val="21"/>
                    </w:rPr>
                  </w:pPr>
                  <w:r>
                    <w:rPr>
                      <w:rFonts w:eastAsia="Arial" w:cs="Times New Roman"/>
                      <w:sz w:val="21"/>
                      <w:szCs w:val="21"/>
                    </w:rPr>
                    <w:t>55</w:t>
                  </w:r>
                </w:p>
              </w:tc>
              <w:tc>
                <w:tcPr>
                  <w:tcW w:w="696" w:type="pct"/>
                  <w:tcBorders>
                    <w:tl2br w:val="nil"/>
                    <w:tr2bl w:val="nil"/>
                  </w:tcBorders>
                  <w:shd w:val="clear" w:color="auto" w:fill="FFFFFF"/>
                  <w:vAlign w:val="center"/>
                </w:tcPr>
                <w:p w14:paraId="46C4FFEB">
                  <w:pPr>
                    <w:spacing w:line="240" w:lineRule="auto"/>
                    <w:ind w:firstLine="0" w:firstLineChars="0"/>
                    <w:jc w:val="center"/>
                    <w:rPr>
                      <w:rFonts w:eastAsia="Arial" w:cs="Times New Roman"/>
                      <w:sz w:val="21"/>
                      <w:szCs w:val="21"/>
                    </w:rPr>
                  </w:pPr>
                  <w:r>
                    <w:rPr>
                      <w:rFonts w:eastAsia="Arial" w:cs="Times New Roman"/>
                      <w:sz w:val="21"/>
                      <w:szCs w:val="21"/>
                    </w:rPr>
                    <w:t>达标</w:t>
                  </w:r>
                </w:p>
              </w:tc>
            </w:tr>
          </w:tbl>
          <w:p w14:paraId="27F07A3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根据上表可知，本项目设备噪声在距离衰减情况下，四周厂界可满足《工业企业厂界环境噪声排放标准》（</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类昼间标准。本项目产生的噪声经治理后对厂区周边声环境影响较小。为了进一步减少运营期噪声对外环境的干扰，主要噪声防治措施如下：</w:t>
            </w:r>
          </w:p>
          <w:p w14:paraId="4F8E8E9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①本项目主要噪声设备布置集中，可通过距离消减有效降低厂界的噪声。</w:t>
            </w:r>
          </w:p>
          <w:p w14:paraId="2B0015B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②加强文明生产管理，减小原材料装卸作业的撞击声及人为噪声。</w:t>
            </w:r>
          </w:p>
          <w:p w14:paraId="3D4CBF9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③严格禁止运输车辆超载。</w:t>
            </w:r>
          </w:p>
          <w:p w14:paraId="094EFC78">
            <w:pPr>
              <w:spacing w:line="440" w:lineRule="exact"/>
              <w:ind w:firstLine="0" w:firstLineChars="0"/>
              <w:jc w:val="left"/>
              <w:rPr>
                <w:b/>
                <w:bCs/>
              </w:rPr>
            </w:pPr>
            <w:r>
              <w:rPr>
                <w:rFonts w:hint="eastAsia"/>
                <w:b/>
                <w:bCs/>
              </w:rPr>
              <w:t>4</w:t>
            </w:r>
            <w:r>
              <w:rPr>
                <w:b/>
                <w:bCs/>
              </w:rPr>
              <w:t>.2.</w:t>
            </w:r>
            <w:r>
              <w:rPr>
                <w:rFonts w:hint="eastAsia"/>
                <w:b/>
                <w:bCs/>
              </w:rPr>
              <w:t>4固体废物影响与评价</w:t>
            </w:r>
          </w:p>
          <w:p w14:paraId="7ED00AB3">
            <w:pPr>
              <w:pStyle w:val="68"/>
              <w:ind w:firstLine="520"/>
            </w:pPr>
            <w:bookmarkStart w:id="28" w:name="OLE_LINK17"/>
            <w:r>
              <w:rPr>
                <w:rFonts w:hint="eastAsia"/>
              </w:rPr>
              <w:t>本项目的气瓶由专业检测机构统一送检，厂区内不开展相关作业。运营期间涉及的设备维护仅包括无油润滑压缩机，该类压缩机采用自润滑材料，运行中无需添加润滑油，故不产生废润滑油。</w:t>
            </w:r>
          </w:p>
          <w:p w14:paraId="36382F9B">
            <w:pPr>
              <w:pStyle w:val="68"/>
              <w:ind w:firstLine="520"/>
            </w:pPr>
            <w:r>
              <w:rPr>
                <w:rFonts w:hint="eastAsia"/>
              </w:rPr>
              <w:t>项目运营期产生的主要固体废物为员工生活垃圾和气瓶残液。</w:t>
            </w:r>
          </w:p>
          <w:p w14:paraId="24872700">
            <w:pPr>
              <w:pStyle w:val="68"/>
              <w:ind w:firstLine="520"/>
              <w:rPr>
                <w:rFonts w:ascii="Times New Roman" w:hAnsi="Times New Roman"/>
              </w:rPr>
            </w:pPr>
            <w:r>
              <w:rPr>
                <w:rFonts w:hint="eastAsia" w:ascii="Times New Roman" w:hAnsi="Times New Roman"/>
              </w:rPr>
              <w:t>（1）</w:t>
            </w:r>
            <w:r>
              <w:rPr>
                <w:rFonts w:ascii="Times New Roman" w:hAnsi="Times New Roman"/>
              </w:rPr>
              <w:t>生活垃圾</w:t>
            </w:r>
          </w:p>
          <w:p w14:paraId="6FEFEEBC">
            <w:pPr>
              <w:ind w:firstLine="480"/>
              <w:rPr>
                <w:color w:val="000000" w:themeColor="text1"/>
                <w14:textFill>
                  <w14:solidFill>
                    <w14:schemeClr w14:val="tx1"/>
                  </w14:solidFill>
                </w14:textFill>
              </w:rPr>
            </w:pPr>
            <w:r>
              <w:t>项目劳</w:t>
            </w:r>
            <w:r>
              <w:rPr>
                <w:rFonts w:cs="Times New Roman"/>
                <w:color w:val="000000" w:themeColor="text1"/>
                <w14:textFill>
                  <w14:solidFill>
                    <w14:schemeClr w14:val="tx1"/>
                  </w14:solidFill>
                </w14:textFill>
              </w:rPr>
              <w:t>动定员12人，按每人每天产生生活垃圾0.5kg计算，项目年生产360天，则年产生量为2.16t/a。</w:t>
            </w:r>
            <w:r>
              <w:rPr>
                <w:rFonts w:hint="eastAsia"/>
                <w:color w:val="000000" w:themeColor="text1"/>
                <w:szCs w:val="21"/>
                <w14:textFill>
                  <w14:solidFill>
                    <w14:schemeClr w14:val="tx1"/>
                  </w14:solidFill>
                </w14:textFill>
              </w:rPr>
              <w:t>生活垃圾集中收集至垃圾箱后</w:t>
            </w:r>
            <w:r>
              <w:rPr>
                <w:snapToGrid w:val="0"/>
                <w:kern w:val="0"/>
                <w:szCs w:val="21"/>
              </w:rPr>
              <w:t>由环卫部门统一清运</w:t>
            </w:r>
            <w:r>
              <w:rPr>
                <w:color w:val="000000" w:themeColor="text1"/>
                <w14:textFill>
                  <w14:solidFill>
                    <w14:schemeClr w14:val="tx1"/>
                  </w14:solidFill>
                </w14:textFill>
              </w:rPr>
              <w:t>。</w:t>
            </w:r>
          </w:p>
          <w:p w14:paraId="62A683ED">
            <w:pPr>
              <w:ind w:firstLine="480"/>
              <w:rPr>
                <w:color w:val="000000" w:themeColor="text1"/>
                <w14:textFill>
                  <w14:solidFill>
                    <w14:schemeClr w14:val="tx1"/>
                  </w14:solidFill>
                </w14:textFill>
              </w:rPr>
            </w:pPr>
            <w:bookmarkStart w:id="29" w:name="OLE_LINK19"/>
            <w:r>
              <w:rPr>
                <w:color w:val="000000" w:themeColor="text1"/>
                <w14:textFill>
                  <w14:solidFill>
                    <w14:schemeClr w14:val="tx1"/>
                  </w14:solidFill>
                </w14:textFill>
              </w:rPr>
              <w:t>（2）</w:t>
            </w:r>
            <w:bookmarkStart w:id="30" w:name="OLE_LINK14"/>
            <w:r>
              <w:rPr>
                <w:color w:val="000000" w:themeColor="text1"/>
                <w14:textFill>
                  <w14:solidFill>
                    <w14:schemeClr w14:val="tx1"/>
                  </w14:solidFill>
                </w14:textFill>
              </w:rPr>
              <w:t>残液</w:t>
            </w:r>
            <w:bookmarkEnd w:id="30"/>
          </w:p>
          <w:bookmarkEnd w:id="28"/>
          <w:p w14:paraId="7716BEFC">
            <w:pPr>
              <w:ind w:firstLine="480"/>
            </w:pPr>
            <w:r>
              <w:rPr>
                <w:rFonts w:hint="eastAsia"/>
              </w:rPr>
              <w:t>用户使用完毕后的液化石油气钢瓶中仍含有少量无法气化的残液，主要是C5和C5以上的组分，这部分液体就是液化气残液。C5和C5以上的组分沸点较高，在常温下，不易气化，易留在钢瓶里</w:t>
            </w:r>
            <w:r>
              <w:t>。</w:t>
            </w:r>
          </w:p>
          <w:p w14:paraId="01DE8610">
            <w:pPr>
              <w:ind w:firstLine="480"/>
            </w:pPr>
            <w:r>
              <w:rPr>
                <w:rFonts w:hint="eastAsia"/>
              </w:rPr>
              <w:t>根据同类项目，每100kg的液化石油气会产生残液0.5kg，项目年灌装2000t液化石油气，残液产生量约为10t/a。根据《国家危险废物名录》（2025年版），液化气残液属于危险废物，其危险废物类别编号为HW09油/水、烃/水混合物或者乳化液，危废代码为900-007-09（其他工艺过程中产生的废弃的油/水、烃/水混合物或者乳化液）。</w:t>
            </w:r>
            <w:r>
              <w:t>钢瓶内的残液被抽入残液罐集中收集，并交由丁烷、丙烷供应单位回收，用作燃料等生产利用。</w:t>
            </w:r>
          </w:p>
          <w:bookmarkEnd w:id="29"/>
          <w:p w14:paraId="4DECBFDA">
            <w:pPr>
              <w:spacing w:before="163" w:beforeLines="50" w:line="240" w:lineRule="auto"/>
              <w:ind w:firstLine="0" w:firstLineChars="0"/>
              <w:jc w:val="center"/>
              <w:rPr>
                <w:rFonts w:cs="Times New Roman"/>
                <w:b/>
                <w:color w:val="000000"/>
                <w:sz w:val="21"/>
              </w:rPr>
            </w:pPr>
            <w:r>
              <w:rPr>
                <w:rFonts w:hint="eastAsia" w:cs="Times New Roman"/>
                <w:b/>
                <w:color w:val="000000"/>
                <w:sz w:val="21"/>
              </w:rPr>
              <w:t>表4</w:t>
            </w:r>
            <w:r>
              <w:rPr>
                <w:rFonts w:cs="Times New Roman"/>
                <w:b/>
                <w:color w:val="000000"/>
                <w:sz w:val="21"/>
              </w:rPr>
              <w:t xml:space="preserve">-6  </w:t>
            </w:r>
            <w:r>
              <w:rPr>
                <w:rFonts w:hint="eastAsia" w:cs="Times New Roman"/>
                <w:b/>
                <w:color w:val="000000"/>
                <w:sz w:val="21"/>
              </w:rPr>
              <w:t>固体废物产生情况一览表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7"/>
              <w:gridCol w:w="993"/>
              <w:gridCol w:w="816"/>
              <w:gridCol w:w="973"/>
              <w:gridCol w:w="642"/>
              <w:gridCol w:w="1032"/>
              <w:gridCol w:w="1314"/>
              <w:gridCol w:w="779"/>
              <w:gridCol w:w="1550"/>
            </w:tblGrid>
            <w:tr w14:paraId="7D099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33" w:type="pct"/>
                  <w:vAlign w:val="center"/>
                </w:tcPr>
                <w:p w14:paraId="0E88FF44">
                  <w:pPr>
                    <w:spacing w:line="240" w:lineRule="auto"/>
                    <w:ind w:firstLine="0" w:firstLineChars="0"/>
                    <w:contextualSpacing/>
                    <w:jc w:val="center"/>
                    <w:rPr>
                      <w:rFonts w:cs="Times New Roman"/>
                      <w:color w:val="000000"/>
                      <w:sz w:val="21"/>
                      <w:szCs w:val="21"/>
                    </w:rPr>
                  </w:pPr>
                  <w:r>
                    <w:rPr>
                      <w:rFonts w:cs="Times New Roman"/>
                      <w:color w:val="000000"/>
                      <w:sz w:val="21"/>
                      <w:szCs w:val="21"/>
                    </w:rPr>
                    <w:t>序号</w:t>
                  </w:r>
                </w:p>
              </w:tc>
              <w:tc>
                <w:tcPr>
                  <w:tcW w:w="572" w:type="pct"/>
                  <w:vAlign w:val="center"/>
                </w:tcPr>
                <w:p w14:paraId="38B58ADA">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固体废物名称</w:t>
                  </w:r>
                </w:p>
              </w:tc>
              <w:tc>
                <w:tcPr>
                  <w:tcW w:w="470" w:type="pct"/>
                  <w:vAlign w:val="center"/>
                </w:tcPr>
                <w:p w14:paraId="279C9B0C">
                  <w:pPr>
                    <w:spacing w:line="240" w:lineRule="auto"/>
                    <w:ind w:firstLine="0" w:firstLineChars="0"/>
                    <w:contextualSpacing/>
                    <w:jc w:val="center"/>
                    <w:rPr>
                      <w:rFonts w:cs="Times New Roman"/>
                      <w:color w:val="000000"/>
                      <w:sz w:val="21"/>
                      <w:szCs w:val="21"/>
                    </w:rPr>
                  </w:pPr>
                  <w:r>
                    <w:rPr>
                      <w:rFonts w:cs="Times New Roman"/>
                      <w:color w:val="000000"/>
                      <w:sz w:val="21"/>
                      <w:szCs w:val="21"/>
                    </w:rPr>
                    <w:t>产污环节</w:t>
                  </w:r>
                </w:p>
              </w:tc>
              <w:tc>
                <w:tcPr>
                  <w:tcW w:w="561" w:type="pct"/>
                  <w:vAlign w:val="center"/>
                </w:tcPr>
                <w:p w14:paraId="3DF4EAA2">
                  <w:pPr>
                    <w:spacing w:line="240" w:lineRule="auto"/>
                    <w:ind w:firstLine="0" w:firstLineChars="0"/>
                    <w:contextualSpacing/>
                    <w:jc w:val="center"/>
                    <w:rPr>
                      <w:rFonts w:cs="Times New Roman"/>
                      <w:color w:val="000000"/>
                      <w:sz w:val="21"/>
                      <w:szCs w:val="21"/>
                    </w:rPr>
                  </w:pPr>
                  <w:r>
                    <w:rPr>
                      <w:rFonts w:cs="Times New Roman"/>
                      <w:color w:val="000000"/>
                      <w:sz w:val="21"/>
                      <w:szCs w:val="21"/>
                    </w:rPr>
                    <w:t>属性</w:t>
                  </w:r>
                </w:p>
              </w:tc>
              <w:tc>
                <w:tcPr>
                  <w:tcW w:w="370" w:type="pct"/>
                  <w:vAlign w:val="center"/>
                </w:tcPr>
                <w:p w14:paraId="77DA296E">
                  <w:pPr>
                    <w:spacing w:line="240" w:lineRule="auto"/>
                    <w:ind w:firstLine="0" w:firstLineChars="0"/>
                    <w:contextualSpacing/>
                    <w:jc w:val="center"/>
                    <w:rPr>
                      <w:rFonts w:cs="Times New Roman"/>
                      <w:color w:val="000000"/>
                      <w:sz w:val="21"/>
                      <w:szCs w:val="21"/>
                    </w:rPr>
                  </w:pPr>
                  <w:r>
                    <w:rPr>
                      <w:rFonts w:cs="Times New Roman"/>
                      <w:color w:val="000000"/>
                      <w:sz w:val="21"/>
                      <w:szCs w:val="21"/>
                    </w:rPr>
                    <w:t>物理性状</w:t>
                  </w:r>
                </w:p>
              </w:tc>
              <w:tc>
                <w:tcPr>
                  <w:tcW w:w="595" w:type="pct"/>
                  <w:vAlign w:val="center"/>
                </w:tcPr>
                <w:p w14:paraId="07746656">
                  <w:pPr>
                    <w:spacing w:line="240" w:lineRule="auto"/>
                    <w:ind w:firstLine="0" w:firstLineChars="0"/>
                    <w:contextualSpacing/>
                    <w:jc w:val="center"/>
                    <w:rPr>
                      <w:rFonts w:cs="Times New Roman"/>
                      <w:color w:val="000000"/>
                      <w:sz w:val="21"/>
                      <w:szCs w:val="21"/>
                    </w:rPr>
                  </w:pPr>
                  <w:r>
                    <w:rPr>
                      <w:rFonts w:cs="Times New Roman"/>
                      <w:color w:val="000000"/>
                      <w:sz w:val="21"/>
                      <w:szCs w:val="21"/>
                    </w:rPr>
                    <w:t>主要有毒有害物质名称</w:t>
                  </w:r>
                </w:p>
              </w:tc>
              <w:tc>
                <w:tcPr>
                  <w:tcW w:w="757" w:type="pct"/>
                  <w:vAlign w:val="center"/>
                </w:tcPr>
                <w:p w14:paraId="1786B102">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固体废物及危险废物编码</w:t>
                  </w:r>
                </w:p>
              </w:tc>
              <w:tc>
                <w:tcPr>
                  <w:tcW w:w="449" w:type="pct"/>
                  <w:vAlign w:val="center"/>
                </w:tcPr>
                <w:p w14:paraId="2541634F">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环境危险特性</w:t>
                  </w:r>
                </w:p>
              </w:tc>
              <w:tc>
                <w:tcPr>
                  <w:tcW w:w="893" w:type="pct"/>
                  <w:vAlign w:val="center"/>
                </w:tcPr>
                <w:p w14:paraId="588B8F69">
                  <w:pPr>
                    <w:spacing w:line="240" w:lineRule="auto"/>
                    <w:ind w:firstLine="0" w:firstLineChars="0"/>
                    <w:contextualSpacing/>
                    <w:jc w:val="center"/>
                    <w:rPr>
                      <w:rFonts w:cs="Times New Roman"/>
                      <w:color w:val="000000"/>
                      <w:sz w:val="21"/>
                      <w:szCs w:val="21"/>
                    </w:rPr>
                  </w:pPr>
                  <w:r>
                    <w:rPr>
                      <w:rFonts w:cs="Times New Roman"/>
                      <w:color w:val="000000"/>
                      <w:sz w:val="21"/>
                      <w:szCs w:val="21"/>
                    </w:rPr>
                    <w:t>年度产生量</w:t>
                  </w:r>
                </w:p>
              </w:tc>
            </w:tr>
            <w:tr w14:paraId="1A61C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33" w:type="pct"/>
                  <w:vAlign w:val="center"/>
                </w:tcPr>
                <w:p w14:paraId="7390C96E">
                  <w:pPr>
                    <w:spacing w:line="240" w:lineRule="auto"/>
                    <w:ind w:firstLine="0" w:firstLineChars="0"/>
                    <w:contextualSpacing/>
                    <w:jc w:val="center"/>
                    <w:rPr>
                      <w:rFonts w:cs="Times New Roman"/>
                      <w:color w:val="000000"/>
                      <w:sz w:val="21"/>
                      <w:szCs w:val="21"/>
                    </w:rPr>
                  </w:pPr>
                  <w:r>
                    <w:rPr>
                      <w:rFonts w:cs="Times New Roman"/>
                      <w:color w:val="000000"/>
                      <w:sz w:val="21"/>
                      <w:szCs w:val="21"/>
                    </w:rPr>
                    <w:t>1</w:t>
                  </w:r>
                </w:p>
              </w:tc>
              <w:tc>
                <w:tcPr>
                  <w:tcW w:w="572" w:type="pct"/>
                  <w:vAlign w:val="center"/>
                </w:tcPr>
                <w:p w14:paraId="148C7015">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14:paraId="6AB4977D">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470" w:type="pct"/>
                  <w:vAlign w:val="center"/>
                </w:tcPr>
                <w:p w14:paraId="2D2489A7">
                  <w:pPr>
                    <w:spacing w:line="240" w:lineRule="auto"/>
                    <w:ind w:firstLine="0" w:firstLineChars="0"/>
                    <w:contextualSpacing/>
                    <w:jc w:val="center"/>
                    <w:rPr>
                      <w:rFonts w:cs="Times New Roman"/>
                      <w:color w:val="000000"/>
                      <w:sz w:val="21"/>
                      <w:szCs w:val="21"/>
                    </w:rPr>
                  </w:pPr>
                  <w:r>
                    <w:rPr>
                      <w:rFonts w:cs="Times New Roman"/>
                      <w:color w:val="000000"/>
                      <w:sz w:val="21"/>
                      <w:szCs w:val="21"/>
                    </w:rPr>
                    <w:t>员工</w:t>
                  </w:r>
                </w:p>
                <w:p w14:paraId="6DC18D14">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tc>
              <w:tc>
                <w:tcPr>
                  <w:tcW w:w="561" w:type="pct"/>
                  <w:vAlign w:val="center"/>
                </w:tcPr>
                <w:p w14:paraId="354E280F">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14:paraId="1263A197">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370" w:type="pct"/>
                  <w:vAlign w:val="center"/>
                </w:tcPr>
                <w:p w14:paraId="133AE50A">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595" w:type="pct"/>
                  <w:vAlign w:val="center"/>
                </w:tcPr>
                <w:p w14:paraId="55717989">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757" w:type="pct"/>
                  <w:vAlign w:val="center"/>
                </w:tcPr>
                <w:p w14:paraId="7D5072DA">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900-099-S64</w:t>
                  </w:r>
                </w:p>
              </w:tc>
              <w:tc>
                <w:tcPr>
                  <w:tcW w:w="449" w:type="pct"/>
                  <w:vAlign w:val="center"/>
                </w:tcPr>
                <w:p w14:paraId="12531F97">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893" w:type="pct"/>
                  <w:vAlign w:val="center"/>
                </w:tcPr>
                <w:p w14:paraId="19EFAA37">
                  <w:pPr>
                    <w:spacing w:line="240" w:lineRule="auto"/>
                    <w:ind w:firstLine="0" w:firstLineChars="0"/>
                    <w:contextualSpacing/>
                    <w:jc w:val="center"/>
                    <w:rPr>
                      <w:rFonts w:cs="Times New Roman"/>
                      <w:color w:val="000000"/>
                      <w:sz w:val="21"/>
                      <w:szCs w:val="21"/>
                    </w:rPr>
                  </w:pPr>
                  <w:r>
                    <w:rPr>
                      <w:rFonts w:cs="Times New Roman"/>
                      <w:color w:val="000000"/>
                      <w:sz w:val="21"/>
                      <w:szCs w:val="21"/>
                    </w:rPr>
                    <w:t>2.16t</w:t>
                  </w:r>
                </w:p>
              </w:tc>
            </w:tr>
            <w:tr w14:paraId="0A2B7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33" w:type="pct"/>
                  <w:vAlign w:val="center"/>
                </w:tcPr>
                <w:p w14:paraId="34675C0F">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2</w:t>
                  </w:r>
                </w:p>
              </w:tc>
              <w:tc>
                <w:tcPr>
                  <w:tcW w:w="572" w:type="pct"/>
                  <w:vAlign w:val="center"/>
                </w:tcPr>
                <w:p w14:paraId="7C438B5B">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残液</w:t>
                  </w:r>
                </w:p>
              </w:tc>
              <w:tc>
                <w:tcPr>
                  <w:tcW w:w="470" w:type="pct"/>
                  <w:vAlign w:val="center"/>
                </w:tcPr>
                <w:p w14:paraId="46460F14">
                  <w:pPr>
                    <w:spacing w:line="240" w:lineRule="auto"/>
                    <w:ind w:firstLine="0" w:firstLineChars="0"/>
                    <w:contextualSpacing/>
                    <w:jc w:val="center"/>
                    <w:rPr>
                      <w:rFonts w:cs="Times New Roman"/>
                      <w:color w:val="000000"/>
                      <w:sz w:val="21"/>
                      <w:szCs w:val="21"/>
                    </w:rPr>
                  </w:pPr>
                  <w:r>
                    <w:rPr>
                      <w:rFonts w:hint="eastAsia"/>
                      <w:color w:val="000000"/>
                      <w:sz w:val="21"/>
                      <w:szCs w:val="21"/>
                    </w:rPr>
                    <w:t>残液回收</w:t>
                  </w:r>
                </w:p>
              </w:tc>
              <w:tc>
                <w:tcPr>
                  <w:tcW w:w="561" w:type="pct"/>
                  <w:vAlign w:val="center"/>
                </w:tcPr>
                <w:p w14:paraId="08BD5733">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危险废物</w:t>
                  </w:r>
                </w:p>
              </w:tc>
              <w:tc>
                <w:tcPr>
                  <w:tcW w:w="370" w:type="pct"/>
                  <w:vAlign w:val="center"/>
                </w:tcPr>
                <w:p w14:paraId="62C6E657">
                  <w:pPr>
                    <w:spacing w:line="240" w:lineRule="auto"/>
                    <w:ind w:firstLine="0" w:firstLineChars="0"/>
                    <w:contextualSpacing/>
                    <w:jc w:val="center"/>
                    <w:rPr>
                      <w:rFonts w:cs="Times New Roman"/>
                      <w:color w:val="000000"/>
                      <w:sz w:val="21"/>
                      <w:szCs w:val="21"/>
                    </w:rPr>
                  </w:pPr>
                  <w:r>
                    <w:rPr>
                      <w:rFonts w:cs="Times New Roman"/>
                      <w:color w:val="000000"/>
                      <w:sz w:val="21"/>
                      <w:szCs w:val="21"/>
                    </w:rPr>
                    <w:t>液态</w:t>
                  </w:r>
                </w:p>
              </w:tc>
              <w:tc>
                <w:tcPr>
                  <w:tcW w:w="595" w:type="pct"/>
                  <w:vAlign w:val="center"/>
                </w:tcPr>
                <w:p w14:paraId="037F74E5">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HW09</w:t>
                  </w:r>
                </w:p>
              </w:tc>
              <w:tc>
                <w:tcPr>
                  <w:tcW w:w="757" w:type="pct"/>
                  <w:vAlign w:val="center"/>
                </w:tcPr>
                <w:p w14:paraId="4BB42E23">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900-007-09</w:t>
                  </w:r>
                </w:p>
              </w:tc>
              <w:tc>
                <w:tcPr>
                  <w:tcW w:w="449" w:type="pct"/>
                  <w:vAlign w:val="center"/>
                </w:tcPr>
                <w:p w14:paraId="5A5AD05A">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T</w:t>
                  </w:r>
                </w:p>
              </w:tc>
              <w:tc>
                <w:tcPr>
                  <w:tcW w:w="893" w:type="pct"/>
                  <w:vAlign w:val="center"/>
                </w:tcPr>
                <w:p w14:paraId="68F7EC27">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1</w:t>
                  </w:r>
                  <w:r>
                    <w:rPr>
                      <w:rFonts w:cs="Times New Roman"/>
                      <w:color w:val="000000"/>
                      <w:sz w:val="21"/>
                      <w:szCs w:val="21"/>
                    </w:rPr>
                    <w:t>0</w:t>
                  </w:r>
                  <w:r>
                    <w:rPr>
                      <w:rFonts w:hint="eastAsia" w:cs="Times New Roman"/>
                      <w:color w:val="000000"/>
                      <w:sz w:val="21"/>
                      <w:szCs w:val="21"/>
                    </w:rPr>
                    <w:t>t</w:t>
                  </w:r>
                </w:p>
              </w:tc>
            </w:tr>
          </w:tbl>
          <w:p w14:paraId="579EE706">
            <w:pPr>
              <w:ind w:firstLine="0" w:firstLineChars="0"/>
              <w:rPr>
                <w:rFonts w:cstheme="majorBidi"/>
                <w:b/>
                <w:bCs/>
                <w:szCs w:val="32"/>
              </w:rPr>
            </w:pPr>
            <w:r>
              <w:rPr>
                <w:rFonts w:hint="eastAsia" w:cstheme="majorBidi"/>
                <w:b/>
                <w:bCs/>
                <w:szCs w:val="32"/>
              </w:rPr>
              <w:t>4.</w:t>
            </w:r>
            <w:r>
              <w:rPr>
                <w:rFonts w:cstheme="majorBidi"/>
                <w:b/>
                <w:bCs/>
                <w:szCs w:val="32"/>
              </w:rPr>
              <w:t>3</w:t>
            </w:r>
            <w:r>
              <w:rPr>
                <w:rFonts w:hint="eastAsia" w:cstheme="majorBidi"/>
                <w:b/>
                <w:bCs/>
                <w:szCs w:val="32"/>
              </w:rPr>
              <w:t>环境管理要求</w:t>
            </w:r>
          </w:p>
          <w:p w14:paraId="7CBA8B8E">
            <w:pPr>
              <w:adjustRightInd w:val="0"/>
              <w:snapToGrid w:val="0"/>
              <w:ind w:firstLine="480"/>
            </w:pPr>
            <w:r>
              <w:rPr>
                <w:rFonts w:hint="eastAsia"/>
              </w:rPr>
              <w:t>（1）危险废物的收集和临时贮存要求</w:t>
            </w:r>
          </w:p>
          <w:p w14:paraId="1AF33FD1">
            <w:pPr>
              <w:adjustRightInd w:val="0"/>
              <w:snapToGrid w:val="0"/>
              <w:ind w:firstLine="480"/>
              <w:rPr>
                <w:rFonts w:cs="Times New Roman"/>
                <w:szCs w:val="24"/>
              </w:rPr>
            </w:pPr>
            <w:r>
              <w:rPr>
                <w:rFonts w:hint="eastAsia" w:ascii="宋体" w:hAnsi="宋体" w:cs="宋体"/>
                <w:szCs w:val="24"/>
              </w:rPr>
              <w:t>项</w:t>
            </w:r>
            <w:r>
              <w:rPr>
                <w:rFonts w:cs="Times New Roman"/>
                <w:szCs w:val="24"/>
              </w:rPr>
              <w:t>目运营过程中产生的液化石油气残液，主要成分为C5及以上高碳烃类，具有易燃性。为规范管理、防范环境风险，残液由专用密闭管道系统收集后，输送至容积为5m³的地埋式储罐区进行集中</w:t>
            </w:r>
            <w:r>
              <w:rPr>
                <w:rFonts w:hint="eastAsia" w:cs="Times New Roman"/>
                <w:szCs w:val="24"/>
              </w:rPr>
              <w:t>贮存</w:t>
            </w:r>
            <w:r>
              <w:rPr>
                <w:rFonts w:cs="Times New Roman"/>
                <w:szCs w:val="24"/>
              </w:rPr>
              <w:t>。该储罐区采取防渗、防爆、防火、防雷、防静电等安全措施，周围设置围堰和泄漏报警装置，确保残液在储存过程中不泄漏、不挥发、不引发安全事故。地埋式设计有利于降低温度、减少挥发、提高安全性，同时节省地面空间。残液定期由具备回收利用资质的丙烷、丁烷供应单位运走，作为燃料原料进行资源化利用，实现全过程闭环管理。</w:t>
            </w:r>
          </w:p>
          <w:p w14:paraId="712DB5B7">
            <w:pPr>
              <w:adjustRightInd w:val="0"/>
              <w:snapToGrid w:val="0"/>
              <w:ind w:firstLine="480"/>
            </w:pPr>
            <w:r>
              <w:rPr>
                <w:rFonts w:hint="eastAsia" w:cs="Times New Roman"/>
                <w:szCs w:val="24"/>
              </w:rPr>
              <w:t>为加强危险废物的收集与临时贮存管理，防范环境风险，确保合规处置，应严格落实以下管理要求：</w:t>
            </w:r>
          </w:p>
          <w:p w14:paraId="1C2AEDB3">
            <w:pPr>
              <w:adjustRightInd w:val="0"/>
              <w:snapToGrid w:val="0"/>
              <w:ind w:firstLine="480"/>
            </w:pPr>
            <w:r>
              <w:t>a.</w:t>
            </w:r>
            <w:r>
              <w:rPr>
                <w:rFonts w:hint="eastAsia"/>
              </w:rPr>
              <w:t>应加强危险废物管理，制定危险废物管理计划，并对全体员工开展专项培训，提升其对危废管理重要性的认知。应确保相关管理人员及从事危废收集、运输、贮存等作业的人员，全面掌握国家有关法律法规、规章和技术规范的要求，熟悉本单位的管理制度、工作流程及相关职责，熟练掌握危废分类收集、转运、贮存的正确方法与操作规程，切实提升安全防护意识和应急处置能力</w:t>
            </w:r>
            <w:r>
              <w:t>。</w:t>
            </w:r>
          </w:p>
          <w:p w14:paraId="5D982803">
            <w:pPr>
              <w:adjustRightInd w:val="0"/>
              <w:snapToGrid w:val="0"/>
              <w:ind w:firstLine="480"/>
            </w:pPr>
            <w:r>
              <w:t>b.</w:t>
            </w:r>
            <w:r>
              <w:rPr>
                <w:rFonts w:hint="eastAsia"/>
              </w:rPr>
              <w:t>建设单位必须严格按照《危险废物收集、贮存、运输技术规范》（HJ2025-2012）的要求，规范开展危险废物的收集、贮存和运输工作。危险废物应根据其物理化学特性分类收集、分类贮存，严禁混合收集、贮存、运输性质不相容且未经安全处理的危险废物。盛装危险废物的容器和包装物应完好无损，无泄漏、破裂或其他缺陷。危险废物贮存场所应按照《危险废物贮存污染控制标准》（GB18597-2023）的相关规定建设，设置醒目的危险废物警示标志和标签。</w:t>
            </w:r>
          </w:p>
          <w:p w14:paraId="35EDAA98">
            <w:pPr>
              <w:adjustRightInd w:val="0"/>
              <w:snapToGrid w:val="0"/>
              <w:ind w:firstLine="480"/>
            </w:pPr>
            <w:r>
              <w:rPr>
                <w:rFonts w:hint="eastAsia"/>
              </w:rPr>
              <w:t>危险废物的转移运输应由持有危险废物经营许可证的单位在其许可范围内组织实施，承运单位须具备交通运输主管部门核发的危险货物道路运输资质</w:t>
            </w:r>
            <w:r>
              <w:t>。</w:t>
            </w:r>
          </w:p>
          <w:p w14:paraId="79B65664">
            <w:pPr>
              <w:adjustRightInd w:val="0"/>
              <w:snapToGrid w:val="0"/>
              <w:ind w:firstLine="480"/>
            </w:pPr>
            <w:r>
              <w:t>c.</w:t>
            </w:r>
            <w:r>
              <w:rPr>
                <w:rFonts w:hint="eastAsia"/>
              </w:rPr>
              <w:t xml:space="preserve"> 应设置专用的危险废物临时贮存设施。本项目配备1台容积为5m³的地埋式密闭储罐用于液化石油气残液的临时贮存。贮存区域应设置明显的警示标识，地面须进行硬化及防渗处理，配备防风雨、防晒、防渗漏、密闭等设施。同时应建立完善的危险废物管理台账，实行专人负责制。严禁将危险废物混入非危险废物中贮存，且单次贮存时间不得超过一年</w:t>
            </w:r>
            <w:r>
              <w:t>。</w:t>
            </w:r>
          </w:p>
          <w:p w14:paraId="46763399">
            <w:pPr>
              <w:adjustRightInd w:val="0"/>
              <w:snapToGrid w:val="0"/>
              <w:ind w:firstLine="480"/>
            </w:pPr>
            <w:r>
              <w:rPr>
                <w:rFonts w:hint="eastAsia"/>
              </w:rPr>
              <w:t>根据项目运行情况，液化石油气残液（主要为丙烷、丁烷残液）年产生量约为10t，储罐有效安全贮存量约为2.5t，为确保贮存安全与合规，建议每年开展危险废物转运处置不少于4次（推荐每季度转运一次），由具备相应资质的单位依法依规进行资源化利用，实现全过程闭环管理。</w:t>
            </w:r>
          </w:p>
          <w:p w14:paraId="631D3DFA">
            <w:pPr>
              <w:pStyle w:val="24"/>
              <w:adjustRightInd w:val="0"/>
              <w:snapToGrid w:val="0"/>
              <w:spacing w:after="0"/>
            </w:pPr>
            <w:r>
              <w:t>d.</w:t>
            </w:r>
            <w:r>
              <w:rPr>
                <w:rFonts w:hint="eastAsia"/>
              </w:rPr>
              <w:t>应严格执行危险废物转移联单管理制度，严禁将危险废物提供或委托给未取得危险废物经营许可证的单位从事收集、贮存、利用、处置等活动</w:t>
            </w:r>
            <w:r>
              <w:t>。</w:t>
            </w:r>
          </w:p>
          <w:p w14:paraId="22EE6B75">
            <w:pPr>
              <w:pStyle w:val="24"/>
              <w:adjustRightInd w:val="0"/>
              <w:snapToGrid w:val="0"/>
              <w:spacing w:after="0"/>
            </w:pPr>
            <w:r>
              <w:rPr>
                <w:rFonts w:hint="eastAsia"/>
              </w:rPr>
              <w:t>（</w:t>
            </w:r>
            <w:r>
              <w:t>2</w:t>
            </w:r>
            <w:r>
              <w:rPr>
                <w:rFonts w:hint="eastAsia"/>
              </w:rPr>
              <w:t>）台账管理制度</w:t>
            </w:r>
          </w:p>
          <w:p w14:paraId="2F9D2A44">
            <w:pPr>
              <w:pStyle w:val="24"/>
              <w:adjustRightInd w:val="0"/>
              <w:snapToGrid w:val="0"/>
              <w:spacing w:after="0"/>
            </w:pPr>
            <w:r>
              <w:rPr>
                <w:rFonts w:hint="eastAsia"/>
              </w:rPr>
              <w:t>①台账录入要及时、准确、清晰，便于查看。</w:t>
            </w:r>
          </w:p>
          <w:p w14:paraId="3B6B4679">
            <w:pPr>
              <w:pStyle w:val="24"/>
              <w:adjustRightInd w:val="0"/>
              <w:snapToGrid w:val="0"/>
              <w:spacing w:after="0"/>
            </w:pPr>
            <w:r>
              <w:rPr>
                <w:rFonts w:hint="eastAsia"/>
              </w:rPr>
              <w:t>②台账要专人录入，数据、信息、记录内容要真实，与实际相符。</w:t>
            </w:r>
          </w:p>
          <w:p w14:paraId="1D7B6CA5">
            <w:pPr>
              <w:pStyle w:val="24"/>
              <w:adjustRightInd w:val="0"/>
              <w:snapToGrid w:val="0"/>
              <w:spacing w:after="0"/>
            </w:pPr>
            <w:r>
              <w:rPr>
                <w:rFonts w:hint="eastAsia"/>
              </w:rPr>
              <w:t>③台账要设专人管理，定点存放。无关人员不得随意移动、查看。</w:t>
            </w:r>
          </w:p>
          <w:p w14:paraId="2303C3DE">
            <w:pPr>
              <w:pStyle w:val="24"/>
              <w:adjustRightInd w:val="0"/>
              <w:snapToGrid w:val="0"/>
              <w:spacing w:after="0"/>
            </w:pPr>
            <w:r>
              <w:rPr>
                <w:rFonts w:hint="eastAsia"/>
              </w:rPr>
              <w:t>④重要台账必须纸版与电子版两种形式保存。</w:t>
            </w:r>
          </w:p>
          <w:p w14:paraId="627DF1E4">
            <w:pPr>
              <w:pStyle w:val="24"/>
              <w:adjustRightInd w:val="0"/>
              <w:snapToGrid w:val="0"/>
              <w:spacing w:after="0"/>
            </w:pPr>
            <w:r>
              <w:rPr>
                <w:rFonts w:hint="eastAsia"/>
              </w:rPr>
              <w:t>⑤业务部定期对台账数据进行审核，定期检查台账录入内容，确保台账数据的准确性、及时性和完整性。</w:t>
            </w:r>
          </w:p>
          <w:p w14:paraId="14B5944B">
            <w:pPr>
              <w:pStyle w:val="24"/>
              <w:adjustRightInd w:val="0"/>
              <w:snapToGrid w:val="0"/>
              <w:spacing w:after="0"/>
            </w:pPr>
            <w:r>
              <w:rPr>
                <w:rFonts w:hint="eastAsia"/>
              </w:rPr>
              <w:t>⑥安全台账应与其他台账分开放置，由专职安全员亲自管理。所有台账盒签必须统一打印，名称清楚、完整。项目产生的固体废物得到了合理处置或综合利用，不会对周围环境产生影响。</w:t>
            </w:r>
          </w:p>
          <w:p w14:paraId="3934F014">
            <w:pPr>
              <w:pStyle w:val="24"/>
              <w:adjustRightInd w:val="0"/>
              <w:snapToGrid w:val="0"/>
              <w:spacing w:after="0"/>
            </w:pPr>
            <w:r>
              <w:rPr>
                <w:rFonts w:hint="eastAsia"/>
              </w:rPr>
              <w:t>（</w:t>
            </w:r>
            <w:r>
              <w:t>3</w:t>
            </w:r>
            <w:r>
              <w:rPr>
                <w:rFonts w:hint="eastAsia"/>
              </w:rPr>
              <w:t>）危险废物转移要求：</w:t>
            </w:r>
          </w:p>
          <w:p w14:paraId="3EEB1060">
            <w:pPr>
              <w:pStyle w:val="24"/>
              <w:adjustRightInd w:val="0"/>
              <w:snapToGrid w:val="0"/>
              <w:spacing w:after="0"/>
            </w:pPr>
            <w:r>
              <w:rPr>
                <w:rFonts w:hint="eastAsia"/>
              </w:rPr>
              <w:t>危险废物委托有资质单位处置过程必须按照国家《危险废物转移管理办法》（生态 环境部 公安部 交通运输部 部令 第 23号）执行。</w:t>
            </w:r>
          </w:p>
          <w:p w14:paraId="5ADFF5EF">
            <w:pPr>
              <w:pStyle w:val="24"/>
              <w:adjustRightInd w:val="0"/>
              <w:snapToGrid w:val="0"/>
              <w:spacing w:after="0"/>
            </w:pPr>
            <w:r>
              <w:rPr>
                <w:rFonts w:hint="eastAsia"/>
              </w:rPr>
              <w:t>①危险废物转移联单应当根据危险废物管理计划中填报的危险废物转移等备案信息填写、运行。</w:t>
            </w:r>
          </w:p>
          <w:p w14:paraId="5CEAC177">
            <w:pPr>
              <w:pStyle w:val="24"/>
              <w:adjustRightInd w:val="0"/>
              <w:snapToGrid w:val="0"/>
              <w:spacing w:after="0"/>
            </w:pPr>
            <w:r>
              <w:rPr>
                <w:rFonts w:hint="eastAsia"/>
              </w:rPr>
              <w:t>②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14:paraId="350CE4CC">
            <w:pPr>
              <w:pStyle w:val="24"/>
              <w:adjustRightInd w:val="0"/>
              <w:snapToGrid w:val="0"/>
              <w:spacing w:after="0"/>
            </w:pPr>
            <w:r>
              <w:rPr>
                <w:rFonts w:hint="eastAsia"/>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14:paraId="4AB23588">
            <w:pPr>
              <w:pStyle w:val="24"/>
              <w:adjustRightInd w:val="0"/>
              <w:snapToGrid w:val="0"/>
              <w:spacing w:after="0"/>
            </w:pPr>
            <w:r>
              <w:rPr>
                <w:rFonts w:hint="eastAsia"/>
              </w:rPr>
              <w:t>④采用联运方式转移危险废物的，前一承运人和后一承运人应当明确运输交接的时间和地点。后一承运人应当核实危险废物转移联单确定的移出人信息、前一承运人信息及危险废物相关信息。</w:t>
            </w:r>
          </w:p>
          <w:p w14:paraId="31BC90ED">
            <w:pPr>
              <w:pStyle w:val="24"/>
              <w:adjustRightInd w:val="0"/>
              <w:snapToGrid w:val="0"/>
              <w:spacing w:after="0"/>
            </w:pPr>
            <w:r>
              <w:rPr>
                <w:rFonts w:hint="eastAsia"/>
              </w:rPr>
              <w:t>⑤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14:paraId="2D1C690F">
            <w:pPr>
              <w:pStyle w:val="24"/>
              <w:adjustRightInd w:val="0"/>
              <w:snapToGrid w:val="0"/>
              <w:spacing w:after="0"/>
            </w:pPr>
            <w:r>
              <w:rPr>
                <w:rFonts w:hint="eastAsia"/>
              </w:rPr>
              <w:t>⑥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14:paraId="76FDBEE1">
            <w:pPr>
              <w:pStyle w:val="24"/>
              <w:adjustRightInd w:val="0"/>
              <w:snapToGrid w:val="0"/>
              <w:spacing w:after="0"/>
            </w:pPr>
            <w:r>
              <w:rPr>
                <w:rFonts w:hint="eastAsia"/>
              </w:rPr>
              <w:t>⑦危险废物电子转移联单数据应当在信息系统中至少保存十年。因特殊原因无法运行危险废物电子转移联单的，可以先使用纸质转移联单，并于转移活动完成后十个工作日内在信息系统中补录电子转移联单。</w:t>
            </w:r>
          </w:p>
          <w:p w14:paraId="3ABF824D">
            <w:pPr>
              <w:pStyle w:val="24"/>
              <w:adjustRightInd w:val="0"/>
              <w:snapToGrid w:val="0"/>
              <w:spacing w:after="0"/>
              <w:ind w:firstLine="0" w:firstLineChars="0"/>
              <w:rPr>
                <w:b/>
                <w:bCs/>
              </w:rPr>
            </w:pPr>
            <w:r>
              <w:rPr>
                <w:b/>
                <w:bCs/>
              </w:rPr>
              <w:t>4.4项目对土壤、地下水的影响分析</w:t>
            </w:r>
          </w:p>
          <w:p w14:paraId="799A3A6C">
            <w:pPr>
              <w:pStyle w:val="24"/>
              <w:adjustRightInd w:val="0"/>
              <w:snapToGrid w:val="0"/>
              <w:spacing w:after="0"/>
              <w:rPr>
                <w:rFonts w:cs="Times New Roman"/>
                <w:color w:val="000000" w:themeColor="text1"/>
                <w14:textFill>
                  <w14:solidFill>
                    <w14:schemeClr w14:val="tx1"/>
                  </w14:solidFill>
                </w14:textFill>
              </w:rPr>
            </w:pPr>
            <w:r>
              <w:t>本项目为气体充装项目，根据《建设项目环境影响报告表编制技术指南（污染影响类）（</w:t>
            </w:r>
            <w:r>
              <w:rPr>
                <w:rFonts w:cs="Times New Roman"/>
                <w:szCs w:val="24"/>
              </w:rPr>
              <w:t>试行）》，无需开展土壤、地下水环境影响评价。虽然项目正常情况下不会对区域地下水造成污染影响，但在事故状态下（火灾、爆炸）等发生泄漏将可能对地下水、土壤产生影响。为此，厂区拟采用如下措施。</w:t>
            </w:r>
          </w:p>
          <w:p w14:paraId="6C5F93B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（1）防渗原则</w:t>
            </w:r>
          </w:p>
          <w:p w14:paraId="29B2BA0F">
            <w:pPr>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）防渗原则</w:t>
            </w:r>
          </w:p>
          <w:p w14:paraId="48989E8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针对项目可能发生的土壤、地下水污染，污染防治措施按照“源头控制、末端防治污染监控、应急响应”相结合的原则，从污染物的产生、入渗、扩散、应急响应全阶段进行控制。</w:t>
            </w:r>
          </w:p>
          <w:p w14:paraId="22075D8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①源头控制措施：采取措施防止和降低污染物跑、冒、滴、漏，将污染物泄漏的环境风险事故降到最低程度，做到污染物“早发现、早处理”。</w:t>
            </w:r>
          </w:p>
          <w:p w14:paraId="0F9C5A9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②末端控制措施：主要包括项目区地面的防渗措施和泄漏、渗漏污染物收集措施，即在污染区地面进行防渗处理，防止洒落地面的污染物渗入地下，并及时把滞留在地面的污染物收集起来，再做进一步的处理。</w:t>
            </w:r>
          </w:p>
          <w:p w14:paraId="7C4B219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③应急响应措施：包括一旦发现地下水污染事故，立即启动应急预案、采取应急措施控制地下水污染，并使污染得到治理。</w:t>
            </w:r>
          </w:p>
          <w:p w14:paraId="2F1B9A70">
            <w:pPr>
              <w:ind w:firstLine="48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）地面防渗措施</w:t>
            </w:r>
          </w:p>
          <w:p w14:paraId="510074AE">
            <w:pPr>
              <w:ind w:firstLine="480"/>
            </w:pPr>
            <w:r>
              <w:rPr>
                <w:rFonts w:hint="eastAsia" w:ascii="宋体" w:hAnsi="宋体" w:cs="宋体"/>
              </w:rPr>
              <w:t>①</w:t>
            </w:r>
            <w:r>
              <w:t>采用国际国内先进的防渗材料、技术和实施手段，确保工程建设对区域内地下水影响较小，地下水现有水体功能不发生明显改变。</w:t>
            </w:r>
          </w:p>
          <w:p w14:paraId="198927AE">
            <w:pPr>
              <w:ind w:firstLine="480"/>
            </w:pPr>
            <w:r>
              <w:rPr>
                <w:rFonts w:hint="eastAsia" w:ascii="宋体" w:hAnsi="宋体" w:cs="宋体"/>
              </w:rPr>
              <w:t>②</w:t>
            </w:r>
            <w:r>
              <w:t>坚持分区管理和控制原则，根据场址所在地的工程地质、水文地质条件和全厂可能发生泄漏的物料性质、排放量，参照相应标准要求有针对性的分区，并分别设计地面防渗层结构。</w:t>
            </w:r>
          </w:p>
          <w:p w14:paraId="3DC40A57">
            <w:pPr>
              <w:ind w:firstLine="480"/>
            </w:pPr>
            <w:r>
              <w:rPr>
                <w:rFonts w:hint="eastAsia" w:ascii="宋体" w:hAnsi="宋体" w:cs="宋体"/>
              </w:rPr>
              <w:t>③</w:t>
            </w:r>
            <w:r>
              <w:t>坚持</w:t>
            </w:r>
            <w:r>
              <w:rPr>
                <w:rFonts w:hint="eastAsia"/>
              </w:rPr>
              <w:t>“</w:t>
            </w:r>
            <w:r>
              <w:t>可视化</w:t>
            </w:r>
            <w:r>
              <w:rPr>
                <w:rFonts w:hint="eastAsia"/>
              </w:rPr>
              <w:t>”</w:t>
            </w:r>
            <w:r>
              <w:t>原则，在满足工程和防渗层结构标准要求的前提下，尽量在地表面实施防渗措施，便于泄漏物质的收集和及时发现破损的防渗层。</w:t>
            </w:r>
          </w:p>
          <w:p w14:paraId="24CD7410">
            <w:pPr>
              <w:ind w:firstLine="480"/>
            </w:pPr>
            <w:r>
              <w:rPr>
                <w:rFonts w:hint="eastAsia" w:ascii="宋体" w:hAnsi="宋体" w:cs="宋体"/>
              </w:rPr>
              <w:t>④</w:t>
            </w:r>
            <w:r>
              <w:t>防渗层上渗漏污染物和防渗层内渗漏污染物收集系统与全厂</w:t>
            </w:r>
            <w:r>
              <w:rPr>
                <w:rFonts w:hint="eastAsia"/>
              </w:rPr>
              <w:t>“</w:t>
            </w:r>
            <w:r>
              <w:t>三废</w:t>
            </w:r>
            <w:r>
              <w:rPr>
                <w:rFonts w:hint="eastAsia"/>
              </w:rPr>
              <w:t>”</w:t>
            </w:r>
            <w:r>
              <w:t>处理措施统筹考虑，统一处理。</w:t>
            </w:r>
          </w:p>
          <w:p w14:paraId="6509DCD2">
            <w:pPr>
              <w:ind w:firstLine="480"/>
            </w:pPr>
            <w:r>
              <w:t>（</w:t>
            </w:r>
            <w:r>
              <w:rPr>
                <w:rFonts w:hint="eastAsia"/>
              </w:rPr>
              <w:t>2</w:t>
            </w:r>
            <w:r>
              <w:t>）分区防治措施：</w:t>
            </w:r>
          </w:p>
          <w:p w14:paraId="46694ED6">
            <w:pPr>
              <w:ind w:firstLine="480"/>
              <w:rPr>
                <w:lang w:val="zh-CN" w:bidi="zh-CN"/>
              </w:rPr>
            </w:pPr>
            <w:r>
              <w:rPr>
                <w:rFonts w:hint="eastAsia"/>
                <w:lang w:val="zh-CN" w:bidi="zh-CN"/>
              </w:rPr>
              <w:t>根据物料或者污染物泄漏的途径和生产单元所处的位置，将项目区厂区分为重点防渗区、一般防渗区、简单防渗区。</w:t>
            </w:r>
          </w:p>
          <w:p w14:paraId="51024CD2">
            <w:pPr>
              <w:ind w:firstLine="480"/>
              <w:rPr>
                <w:lang w:val="zh-CN" w:bidi="zh-CN"/>
              </w:rPr>
            </w:pPr>
            <w:r>
              <w:rPr>
                <w:rFonts w:hint="eastAsia"/>
                <w:lang w:val="zh-CN" w:bidi="zh-CN"/>
              </w:rPr>
              <w:t>参照《环境影响评价技术导则 地下水环境》（HJ610-2016）的分区防控措施，根据场地天然包气带防污性能、污染控制难易程度和污染物特性，参照表</w:t>
            </w:r>
            <w:r>
              <w:rPr>
                <w:lang w:val="zh-CN" w:bidi="zh-CN"/>
              </w:rPr>
              <w:t>4-</w:t>
            </w:r>
            <w:r>
              <w:rPr>
                <w:lang w:bidi="zh-CN"/>
              </w:rPr>
              <w:t>7</w:t>
            </w:r>
            <w:r>
              <w:rPr>
                <w:rFonts w:hint="eastAsia"/>
                <w:lang w:val="zh-CN" w:bidi="zh-CN"/>
              </w:rPr>
              <w:t>对项目厂区提出防渗技术要求。</w:t>
            </w:r>
          </w:p>
          <w:p w14:paraId="2155D1C1">
            <w:pPr>
              <w:spacing w:line="240" w:lineRule="auto"/>
              <w:ind w:firstLine="422"/>
              <w:jc w:val="center"/>
              <w:textAlignment w:val="auto"/>
              <w:rPr>
                <w:b/>
                <w:bCs/>
                <w:sz w:val="21"/>
                <w:szCs w:val="21"/>
                <w:lang w:val="zh-CN"/>
              </w:rPr>
            </w:pPr>
            <w:r>
              <w:rPr>
                <w:rFonts w:hint="eastAsia"/>
                <w:b/>
                <w:bCs/>
                <w:sz w:val="21"/>
                <w:szCs w:val="21"/>
                <w:lang w:val="zh-CN"/>
              </w:rPr>
              <w:t>表</w:t>
            </w:r>
            <w:r>
              <w:rPr>
                <w:b/>
                <w:bCs/>
                <w:sz w:val="21"/>
                <w:szCs w:val="21"/>
                <w:lang w:val="zh-CN"/>
              </w:rPr>
              <w:t>4-</w:t>
            </w:r>
            <w:r>
              <w:rPr>
                <w:rFonts w:hint="eastAsia"/>
                <w:b/>
                <w:bCs/>
                <w:sz w:val="21"/>
                <w:szCs w:val="21"/>
              </w:rPr>
              <w:t>7</w:t>
            </w:r>
            <w:r>
              <w:rPr>
                <w:rFonts w:hint="eastAsia"/>
                <w:b/>
                <w:bCs/>
                <w:sz w:val="21"/>
                <w:szCs w:val="21"/>
                <w:lang w:val="zh-CN"/>
              </w:rPr>
              <w:t xml:space="preserve">  地下水污染防渗分区参照表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0" w:type="dxa"/>
                <w:bottom w:w="28" w:type="dxa"/>
                <w:right w:w="0" w:type="dxa"/>
              </w:tblCellMar>
            </w:tblPr>
            <w:tblGrid>
              <w:gridCol w:w="1445"/>
              <w:gridCol w:w="1414"/>
              <w:gridCol w:w="1127"/>
              <w:gridCol w:w="1733"/>
              <w:gridCol w:w="2957"/>
            </w:tblGrid>
            <w:tr w14:paraId="7ECB82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14:paraId="745C8F82">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防渗分区</w:t>
                  </w:r>
                </w:p>
              </w:tc>
              <w:tc>
                <w:tcPr>
                  <w:tcW w:w="1355" w:type="dxa"/>
                  <w:vAlign w:val="center"/>
                </w:tcPr>
                <w:p w14:paraId="1DFA697C">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8"/>
                      <w:sz w:val="21"/>
                      <w:szCs w:val="21"/>
                      <w14:textFill>
                        <w14:solidFill>
                          <w14:schemeClr w14:val="tx1"/>
                        </w14:solidFill>
                      </w14:textFill>
                    </w:rPr>
                    <w:t>天</w:t>
                  </w:r>
                  <w:r>
                    <w:rPr>
                      <w:rFonts w:cs="Times New Roman"/>
                      <w:snapToGrid w:val="0"/>
                      <w:color w:val="000000" w:themeColor="text1"/>
                      <w:spacing w:val="7"/>
                      <w:sz w:val="21"/>
                      <w:szCs w:val="21"/>
                      <w14:textFill>
                        <w14:solidFill>
                          <w14:schemeClr w14:val="tx1"/>
                        </w14:solidFill>
                      </w14:textFill>
                    </w:rPr>
                    <w:t>然包气带</w:t>
                  </w:r>
                  <w:r>
                    <w:rPr>
                      <w:rFonts w:cs="Times New Roman"/>
                      <w:snapToGrid w:val="0"/>
                      <w:color w:val="000000" w:themeColor="text1"/>
                      <w:sz w:val="21"/>
                      <w:szCs w:val="21"/>
                      <w14:textFill>
                        <w14:solidFill>
                          <w14:schemeClr w14:val="tx1"/>
                        </w14:solidFill>
                      </w14:textFill>
                    </w:rPr>
                    <w:t>防污性能</w:t>
                  </w:r>
                </w:p>
              </w:tc>
              <w:tc>
                <w:tcPr>
                  <w:tcW w:w="1080" w:type="dxa"/>
                  <w:vAlign w:val="center"/>
                </w:tcPr>
                <w:p w14:paraId="2AAD8C3F">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7"/>
                      <w:sz w:val="21"/>
                      <w:szCs w:val="21"/>
                      <w14:textFill>
                        <w14:solidFill>
                          <w14:schemeClr w14:val="tx1"/>
                        </w14:solidFill>
                      </w14:textFill>
                    </w:rPr>
                    <w:t>污染控</w:t>
                  </w:r>
                  <w:r>
                    <w:rPr>
                      <w:rFonts w:cs="Times New Roman"/>
                      <w:snapToGrid w:val="0"/>
                      <w:color w:val="000000" w:themeColor="text1"/>
                      <w:spacing w:val="6"/>
                      <w:sz w:val="21"/>
                      <w:szCs w:val="21"/>
                      <w14:textFill>
                        <w14:solidFill>
                          <w14:schemeClr w14:val="tx1"/>
                        </w14:solidFill>
                      </w14:textFill>
                    </w:rPr>
                    <w:t>制</w:t>
                  </w:r>
                  <w:r>
                    <w:rPr>
                      <w:rFonts w:cs="Times New Roman"/>
                      <w:snapToGrid w:val="0"/>
                      <w:color w:val="000000" w:themeColor="text1"/>
                      <w:spacing w:val="9"/>
                      <w:sz w:val="21"/>
                      <w:szCs w:val="21"/>
                      <w14:textFill>
                        <w14:solidFill>
                          <w14:schemeClr w14:val="tx1"/>
                        </w14:solidFill>
                      </w14:textFill>
                    </w:rPr>
                    <w:t>难</w:t>
                  </w:r>
                  <w:r>
                    <w:rPr>
                      <w:rFonts w:cs="Times New Roman"/>
                      <w:snapToGrid w:val="0"/>
                      <w:color w:val="000000" w:themeColor="text1"/>
                      <w:spacing w:val="7"/>
                      <w:sz w:val="21"/>
                      <w:szCs w:val="21"/>
                      <w14:textFill>
                        <w14:solidFill>
                          <w14:schemeClr w14:val="tx1"/>
                        </w14:solidFill>
                      </w14:textFill>
                    </w:rPr>
                    <w:t>易程度</w:t>
                  </w:r>
                </w:p>
              </w:tc>
              <w:tc>
                <w:tcPr>
                  <w:tcW w:w="1660" w:type="dxa"/>
                  <w:vAlign w:val="center"/>
                </w:tcPr>
                <w:p w14:paraId="5EEA0A54">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8"/>
                      <w:sz w:val="21"/>
                      <w:szCs w:val="21"/>
                      <w14:textFill>
                        <w14:solidFill>
                          <w14:schemeClr w14:val="tx1"/>
                        </w14:solidFill>
                      </w14:textFill>
                    </w:rPr>
                    <w:t>污染物类</w:t>
                  </w:r>
                  <w:r>
                    <w:rPr>
                      <w:rFonts w:cs="Times New Roman"/>
                      <w:snapToGrid w:val="0"/>
                      <w:color w:val="000000" w:themeColor="text1"/>
                      <w:spacing w:val="7"/>
                      <w:sz w:val="21"/>
                      <w:szCs w:val="21"/>
                      <w14:textFill>
                        <w14:solidFill>
                          <w14:schemeClr w14:val="tx1"/>
                        </w14:solidFill>
                      </w14:textFill>
                    </w:rPr>
                    <w:t>型</w:t>
                  </w:r>
                </w:p>
              </w:tc>
              <w:tc>
                <w:tcPr>
                  <w:tcW w:w="2833" w:type="dxa"/>
                  <w:vAlign w:val="center"/>
                </w:tcPr>
                <w:p w14:paraId="539B1041">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6"/>
                      <w:sz w:val="21"/>
                      <w:szCs w:val="21"/>
                      <w14:textFill>
                        <w14:solidFill>
                          <w14:schemeClr w14:val="tx1"/>
                        </w14:solidFill>
                      </w14:textFill>
                    </w:rPr>
                    <w:t>防渗技术要求</w:t>
                  </w:r>
                </w:p>
              </w:tc>
            </w:tr>
            <w:tr w14:paraId="21BCB1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restart"/>
                  <w:vAlign w:val="center"/>
                </w:tcPr>
                <w:p w14:paraId="60549062">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8"/>
                      <w:sz w:val="21"/>
                      <w:szCs w:val="21"/>
                      <w14:textFill>
                        <w14:solidFill>
                          <w14:schemeClr w14:val="tx1"/>
                        </w14:solidFill>
                      </w14:textFill>
                    </w:rPr>
                    <w:t>重点防渗</w:t>
                  </w:r>
                  <w:r>
                    <w:rPr>
                      <w:rFonts w:cs="Times New Roman"/>
                      <w:snapToGrid w:val="0"/>
                      <w:color w:val="000000" w:themeColor="text1"/>
                      <w:spacing w:val="7"/>
                      <w:sz w:val="21"/>
                      <w:szCs w:val="21"/>
                      <w14:textFill>
                        <w14:solidFill>
                          <w14:schemeClr w14:val="tx1"/>
                        </w14:solidFill>
                      </w14:textFill>
                    </w:rPr>
                    <w:t>区</w:t>
                  </w:r>
                </w:p>
              </w:tc>
              <w:tc>
                <w:tcPr>
                  <w:tcW w:w="1355" w:type="dxa"/>
                  <w:vAlign w:val="center"/>
                </w:tcPr>
                <w:p w14:paraId="2733E9C7">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弱</w:t>
                  </w:r>
                </w:p>
              </w:tc>
              <w:tc>
                <w:tcPr>
                  <w:tcW w:w="1080" w:type="dxa"/>
                  <w:vAlign w:val="center"/>
                </w:tcPr>
                <w:p w14:paraId="0D9C3988">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难</w:t>
                  </w:r>
                </w:p>
              </w:tc>
              <w:tc>
                <w:tcPr>
                  <w:tcW w:w="1660" w:type="dxa"/>
                  <w:vMerge w:val="restart"/>
                  <w:vAlign w:val="center"/>
                </w:tcPr>
                <w:p w14:paraId="3D57DFC3">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6"/>
                      <w:sz w:val="21"/>
                      <w:szCs w:val="21"/>
                      <w14:textFill>
                        <w14:solidFill>
                          <w14:schemeClr w14:val="tx1"/>
                        </w14:solidFill>
                      </w14:textFill>
                    </w:rPr>
                    <w:t>重</w:t>
                  </w:r>
                  <w:r>
                    <w:rPr>
                      <w:rFonts w:cs="Times New Roman"/>
                      <w:snapToGrid w:val="0"/>
                      <w:color w:val="000000" w:themeColor="text1"/>
                      <w:sz w:val="21"/>
                      <w:szCs w:val="21"/>
                      <w14:textFill>
                        <w14:solidFill>
                          <w14:schemeClr w14:val="tx1"/>
                        </w14:solidFill>
                      </w14:textFill>
                    </w:rPr>
                    <w:t>金</w:t>
                  </w:r>
                  <w:r>
                    <w:rPr>
                      <w:rFonts w:cs="Times New Roman"/>
                      <w:snapToGrid w:val="0"/>
                      <w:color w:val="000000" w:themeColor="text1"/>
                      <w:spacing w:val="3"/>
                      <w:sz w:val="21"/>
                      <w:szCs w:val="21"/>
                      <w14:textFill>
                        <w14:solidFill>
                          <w14:schemeClr w14:val="tx1"/>
                        </w14:solidFill>
                      </w14:textFill>
                    </w:rPr>
                    <w:t>属、持久性有</w:t>
                  </w:r>
                  <w:r>
                    <w:rPr>
                      <w:rFonts w:cs="Times New Roman"/>
                      <w:snapToGrid w:val="0"/>
                      <w:color w:val="000000" w:themeColor="text1"/>
                      <w:spacing w:val="9"/>
                      <w:sz w:val="21"/>
                      <w:szCs w:val="21"/>
                      <w14:textFill>
                        <w14:solidFill>
                          <w14:schemeClr w14:val="tx1"/>
                        </w14:solidFill>
                      </w14:textFill>
                    </w:rPr>
                    <w:t>机</w:t>
                  </w:r>
                  <w:r>
                    <w:rPr>
                      <w:rFonts w:cs="Times New Roman"/>
                      <w:snapToGrid w:val="0"/>
                      <w:color w:val="000000" w:themeColor="text1"/>
                      <w:spacing w:val="8"/>
                      <w:sz w:val="21"/>
                      <w:szCs w:val="21"/>
                      <w14:textFill>
                        <w14:solidFill>
                          <w14:schemeClr w14:val="tx1"/>
                        </w14:solidFill>
                      </w14:textFill>
                    </w:rPr>
                    <w:t>物污染物</w:t>
                  </w:r>
                </w:p>
              </w:tc>
              <w:tc>
                <w:tcPr>
                  <w:tcW w:w="2833" w:type="dxa"/>
                  <w:vMerge w:val="restart"/>
                  <w:vAlign w:val="center"/>
                </w:tcPr>
                <w:p w14:paraId="6F300F02">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4"/>
                      <w:sz w:val="21"/>
                      <w:szCs w:val="21"/>
                      <w14:textFill>
                        <w14:solidFill>
                          <w14:schemeClr w14:val="tx1"/>
                        </w14:solidFill>
                      </w14:textFill>
                    </w:rPr>
                    <w:t>等</w:t>
                  </w:r>
                  <w:r>
                    <w:rPr>
                      <w:rFonts w:cs="Times New Roman"/>
                      <w:snapToGrid w:val="0"/>
                      <w:color w:val="000000" w:themeColor="text1"/>
                      <w:spacing w:val="-10"/>
                      <w:sz w:val="21"/>
                      <w:szCs w:val="21"/>
                      <w14:textFill>
                        <w14:solidFill>
                          <w14:schemeClr w14:val="tx1"/>
                        </w14:solidFill>
                      </w14:textFill>
                    </w:rPr>
                    <w:t>效黏土防渗层</w:t>
                  </w:r>
                  <w:r>
                    <w:rPr>
                      <w:rFonts w:eastAsia="Times New Roman" w:cs="Times New Roman"/>
                      <w:snapToGrid w:val="0"/>
                      <w:color w:val="000000" w:themeColor="text1"/>
                      <w:spacing w:val="-10"/>
                      <w:sz w:val="21"/>
                      <w:szCs w:val="21"/>
                      <w14:textFill>
                        <w14:solidFill>
                          <w14:schemeClr w14:val="tx1"/>
                        </w14:solidFill>
                      </w14:textFill>
                    </w:rPr>
                    <w:t>Mb≥6.0m</w:t>
                  </w:r>
                  <w:r>
                    <w:rPr>
                      <w:rFonts w:cs="Times New Roman"/>
                      <w:snapToGrid w:val="0"/>
                      <w:color w:val="000000" w:themeColor="text1"/>
                      <w:spacing w:val="-10"/>
                      <w:sz w:val="21"/>
                      <w:szCs w:val="21"/>
                      <w14:textFill>
                        <w14:solidFill>
                          <w14:schemeClr w14:val="tx1"/>
                        </w14:solidFill>
                      </w14:textFill>
                    </w:rPr>
                    <w:t>，</w:t>
                  </w:r>
                  <w:r>
                    <w:rPr>
                      <w:rFonts w:eastAsia="Times New Roman" w:cs="Times New Roman"/>
                      <w:snapToGrid w:val="0"/>
                      <w:color w:val="000000" w:themeColor="text1"/>
                      <w:sz w:val="21"/>
                      <w:szCs w:val="21"/>
                      <w14:textFill>
                        <w14:solidFill>
                          <w14:schemeClr w14:val="tx1"/>
                        </w14:solidFill>
                      </w14:textFill>
                    </w:rPr>
                    <w:t>K</w:t>
                  </w:r>
                  <w:r>
                    <w:rPr>
                      <w:rFonts w:eastAsia="Times New Roman" w:cs="Times New Roman"/>
                      <w:snapToGrid w:val="0"/>
                      <w:color w:val="000000" w:themeColor="text1"/>
                      <w:spacing w:val="-1"/>
                      <w:sz w:val="21"/>
                      <w:szCs w:val="21"/>
                      <w14:textFill>
                        <w14:solidFill>
                          <w14:schemeClr w14:val="tx1"/>
                        </w14:solidFill>
                      </w14:textFill>
                    </w:rPr>
                    <w:t>≤1×10</w:t>
                  </w:r>
                  <w:r>
                    <w:rPr>
                      <w:rFonts w:eastAsia="Times New Roman" w:cs="Times New Roman"/>
                      <w:snapToGrid w:val="0"/>
                      <w:color w:val="000000" w:themeColor="text1"/>
                      <w:spacing w:val="-1"/>
                      <w:position w:val="6"/>
                      <w:sz w:val="13"/>
                      <w:szCs w:val="13"/>
                      <w14:textFill>
                        <w14:solidFill>
                          <w14:schemeClr w14:val="tx1"/>
                        </w14:solidFill>
                      </w14:textFill>
                    </w:rPr>
                    <w:t>-7</w:t>
                  </w:r>
                  <w:r>
                    <w:rPr>
                      <w:rFonts w:eastAsia="Times New Roman" w:cs="Times New Roman"/>
                      <w:snapToGrid w:val="0"/>
                      <w:color w:val="000000" w:themeColor="text1"/>
                      <w:sz w:val="21"/>
                      <w:szCs w:val="21"/>
                      <w14:textFill>
                        <w14:solidFill>
                          <w14:schemeClr w14:val="tx1"/>
                        </w14:solidFill>
                      </w14:textFill>
                    </w:rPr>
                    <w:t>cm</w:t>
                  </w:r>
                  <w:r>
                    <w:rPr>
                      <w:rFonts w:eastAsia="Times New Roman" w:cs="Times New Roman"/>
                      <w:snapToGrid w:val="0"/>
                      <w:color w:val="000000" w:themeColor="text1"/>
                      <w:spacing w:val="-1"/>
                      <w:sz w:val="21"/>
                      <w:szCs w:val="21"/>
                      <w14:textFill>
                        <w14:solidFill>
                          <w14:schemeClr w14:val="tx1"/>
                        </w14:solidFill>
                      </w14:textFill>
                    </w:rPr>
                    <w:t>/</w:t>
                  </w:r>
                  <w:r>
                    <w:rPr>
                      <w:rFonts w:eastAsia="Times New Roman" w:cs="Times New Roman"/>
                      <w:snapToGrid w:val="0"/>
                      <w:color w:val="000000" w:themeColor="text1"/>
                      <w:sz w:val="21"/>
                      <w:szCs w:val="21"/>
                      <w14:textFill>
                        <w14:solidFill>
                          <w14:schemeClr w14:val="tx1"/>
                        </w14:solidFill>
                      </w14:textFill>
                    </w:rPr>
                    <w:t>s</w:t>
                  </w:r>
                  <w:r>
                    <w:rPr>
                      <w:rFonts w:cs="Times New Roman"/>
                      <w:snapToGrid w:val="0"/>
                      <w:color w:val="000000" w:themeColor="text1"/>
                      <w:spacing w:val="-1"/>
                      <w:sz w:val="21"/>
                      <w:szCs w:val="21"/>
                      <w14:textFill>
                        <w14:solidFill>
                          <w14:schemeClr w14:val="tx1"/>
                        </w14:solidFill>
                      </w14:textFill>
                    </w:rPr>
                    <w:t>；或参照</w:t>
                  </w:r>
                  <w:r>
                    <w:rPr>
                      <w:rFonts w:eastAsia="Times New Roman" w:cs="Times New Roman"/>
                      <w:snapToGrid w:val="0"/>
                      <w:color w:val="000000" w:themeColor="text1"/>
                      <w:sz w:val="21"/>
                      <w:szCs w:val="21"/>
                      <w14:textFill>
                        <w14:solidFill>
                          <w14:schemeClr w14:val="tx1"/>
                        </w14:solidFill>
                      </w14:textFill>
                    </w:rPr>
                    <w:t>GB18598</w:t>
                  </w:r>
                  <w:r>
                    <w:rPr>
                      <w:rFonts w:cs="Times New Roman"/>
                      <w:snapToGrid w:val="0"/>
                      <w:color w:val="000000" w:themeColor="text1"/>
                      <w:spacing w:val="6"/>
                      <w:sz w:val="21"/>
                      <w:szCs w:val="21"/>
                      <w14:textFill>
                        <w14:solidFill>
                          <w14:schemeClr w14:val="tx1"/>
                        </w14:solidFill>
                      </w14:textFill>
                    </w:rPr>
                    <w:t>执</w:t>
                  </w:r>
                  <w:r>
                    <w:rPr>
                      <w:rFonts w:cs="Times New Roman"/>
                      <w:snapToGrid w:val="0"/>
                      <w:color w:val="000000" w:themeColor="text1"/>
                      <w:sz w:val="21"/>
                      <w:szCs w:val="21"/>
                      <w14:textFill>
                        <w14:solidFill>
                          <w14:schemeClr w14:val="tx1"/>
                        </w14:solidFill>
                      </w14:textFill>
                    </w:rPr>
                    <w:t>行。</w:t>
                  </w:r>
                </w:p>
              </w:tc>
            </w:tr>
            <w:tr w14:paraId="22CC35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5EEE384C">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1355" w:type="dxa"/>
                  <w:vAlign w:val="center"/>
                </w:tcPr>
                <w:p w14:paraId="73F295D2">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中</w:t>
                  </w:r>
                  <w:r>
                    <w:rPr>
                      <w:rFonts w:eastAsia="Times New Roman" w:cs="Times New Roman"/>
                      <w:snapToGrid w:val="0"/>
                      <w:color w:val="000000" w:themeColor="text1"/>
                      <w:spacing w:val="-1"/>
                      <w:sz w:val="21"/>
                      <w:szCs w:val="21"/>
                      <w14:textFill>
                        <w14:solidFill>
                          <w14:schemeClr w14:val="tx1"/>
                        </w14:solidFill>
                      </w14:textFill>
                    </w:rPr>
                    <w:t>-</w:t>
                  </w:r>
                  <w:r>
                    <w:rPr>
                      <w:rFonts w:cs="Times New Roman"/>
                      <w:snapToGrid w:val="0"/>
                      <w:color w:val="000000" w:themeColor="text1"/>
                      <w:spacing w:val="-1"/>
                      <w:sz w:val="21"/>
                      <w:szCs w:val="21"/>
                      <w14:textFill>
                        <w14:solidFill>
                          <w14:schemeClr w14:val="tx1"/>
                        </w14:solidFill>
                      </w14:textFill>
                    </w:rPr>
                    <w:t>强</w:t>
                  </w:r>
                </w:p>
              </w:tc>
              <w:tc>
                <w:tcPr>
                  <w:tcW w:w="1080" w:type="dxa"/>
                  <w:vAlign w:val="center"/>
                </w:tcPr>
                <w:p w14:paraId="3C6A8DCE">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难</w:t>
                  </w:r>
                </w:p>
              </w:tc>
              <w:tc>
                <w:tcPr>
                  <w:tcW w:w="1660" w:type="dxa"/>
                  <w:vMerge w:val="continue"/>
                  <w:vAlign w:val="center"/>
                </w:tcPr>
                <w:p w14:paraId="5ECEDCB2">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2833" w:type="dxa"/>
                  <w:vMerge w:val="continue"/>
                  <w:vAlign w:val="center"/>
                </w:tcPr>
                <w:p w14:paraId="40F56FBB">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r>
            <w:tr w14:paraId="7CA462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7" w:hRule="atLeast"/>
                <w:jc w:val="center"/>
              </w:trPr>
              <w:tc>
                <w:tcPr>
                  <w:tcW w:w="1384" w:type="dxa"/>
                  <w:vMerge w:val="continue"/>
                  <w:vAlign w:val="center"/>
                </w:tcPr>
                <w:p w14:paraId="0F266335">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1355" w:type="dxa"/>
                  <w:vAlign w:val="center"/>
                </w:tcPr>
                <w:p w14:paraId="4EB8A89E">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弱</w:t>
                  </w:r>
                </w:p>
              </w:tc>
              <w:tc>
                <w:tcPr>
                  <w:tcW w:w="1080" w:type="dxa"/>
                  <w:vAlign w:val="center"/>
                </w:tcPr>
                <w:p w14:paraId="1D29905D">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易</w:t>
                  </w:r>
                </w:p>
              </w:tc>
              <w:tc>
                <w:tcPr>
                  <w:tcW w:w="1660" w:type="dxa"/>
                  <w:vMerge w:val="continue"/>
                  <w:vAlign w:val="center"/>
                </w:tcPr>
                <w:p w14:paraId="5E9406E4">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2833" w:type="dxa"/>
                  <w:vMerge w:val="continue"/>
                  <w:vAlign w:val="center"/>
                </w:tcPr>
                <w:p w14:paraId="6FD94120">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r>
            <w:tr w14:paraId="084C46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restart"/>
                  <w:vAlign w:val="center"/>
                </w:tcPr>
                <w:p w14:paraId="4970691C">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9"/>
                      <w:sz w:val="21"/>
                      <w:szCs w:val="21"/>
                      <w14:textFill>
                        <w14:solidFill>
                          <w14:schemeClr w14:val="tx1"/>
                        </w14:solidFill>
                      </w14:textFill>
                    </w:rPr>
                    <w:t>一</w:t>
                  </w:r>
                  <w:r>
                    <w:rPr>
                      <w:rFonts w:cs="Times New Roman"/>
                      <w:snapToGrid w:val="0"/>
                      <w:color w:val="000000" w:themeColor="text1"/>
                      <w:spacing w:val="7"/>
                      <w:sz w:val="21"/>
                      <w:szCs w:val="21"/>
                      <w14:textFill>
                        <w14:solidFill>
                          <w14:schemeClr w14:val="tx1"/>
                        </w14:solidFill>
                      </w14:textFill>
                    </w:rPr>
                    <w:t>般防渗区</w:t>
                  </w:r>
                </w:p>
              </w:tc>
              <w:tc>
                <w:tcPr>
                  <w:tcW w:w="1355" w:type="dxa"/>
                  <w:vAlign w:val="center"/>
                </w:tcPr>
                <w:p w14:paraId="787D2804">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弱</w:t>
                  </w:r>
                </w:p>
              </w:tc>
              <w:tc>
                <w:tcPr>
                  <w:tcW w:w="1080" w:type="dxa"/>
                  <w:vAlign w:val="center"/>
                </w:tcPr>
                <w:p w14:paraId="74752147">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6"/>
                      <w:sz w:val="21"/>
                      <w:szCs w:val="21"/>
                      <w14:textFill>
                        <w14:solidFill>
                          <w14:schemeClr w14:val="tx1"/>
                        </w14:solidFill>
                      </w14:textFill>
                    </w:rPr>
                    <w:t>易</w:t>
                  </w:r>
                  <w:r>
                    <w:rPr>
                      <w:rFonts w:eastAsia="Times New Roman" w:cs="Times New Roman"/>
                      <w:snapToGrid w:val="0"/>
                      <w:color w:val="000000" w:themeColor="text1"/>
                      <w:spacing w:val="-6"/>
                      <w:sz w:val="21"/>
                      <w:szCs w:val="21"/>
                      <w14:textFill>
                        <w14:solidFill>
                          <w14:schemeClr w14:val="tx1"/>
                        </w14:solidFill>
                      </w14:textFill>
                    </w:rPr>
                    <w:t>-</w:t>
                  </w:r>
                  <w:r>
                    <w:rPr>
                      <w:rFonts w:cs="Times New Roman"/>
                      <w:snapToGrid w:val="0"/>
                      <w:color w:val="000000" w:themeColor="text1"/>
                      <w:spacing w:val="-6"/>
                      <w:sz w:val="21"/>
                      <w:szCs w:val="21"/>
                      <w14:textFill>
                        <w14:solidFill>
                          <w14:schemeClr w14:val="tx1"/>
                        </w14:solidFill>
                      </w14:textFill>
                    </w:rPr>
                    <w:t>难</w:t>
                  </w:r>
                </w:p>
              </w:tc>
              <w:tc>
                <w:tcPr>
                  <w:tcW w:w="1660" w:type="dxa"/>
                  <w:vMerge w:val="restart"/>
                  <w:vAlign w:val="center"/>
                </w:tcPr>
                <w:p w14:paraId="4C8A9C80">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7"/>
                      <w:sz w:val="21"/>
                      <w:szCs w:val="21"/>
                      <w14:textFill>
                        <w14:solidFill>
                          <w14:schemeClr w14:val="tx1"/>
                        </w14:solidFill>
                      </w14:textFill>
                    </w:rPr>
                    <w:t>其他类型</w:t>
                  </w:r>
                </w:p>
              </w:tc>
              <w:tc>
                <w:tcPr>
                  <w:tcW w:w="2833" w:type="dxa"/>
                  <w:vMerge w:val="restart"/>
                  <w:vAlign w:val="center"/>
                </w:tcPr>
                <w:p w14:paraId="7CA2B024">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4"/>
                      <w:sz w:val="21"/>
                      <w:szCs w:val="21"/>
                      <w14:textFill>
                        <w14:solidFill>
                          <w14:schemeClr w14:val="tx1"/>
                        </w14:solidFill>
                      </w14:textFill>
                    </w:rPr>
                    <w:t>等</w:t>
                  </w:r>
                  <w:r>
                    <w:rPr>
                      <w:rFonts w:cs="Times New Roman"/>
                      <w:snapToGrid w:val="0"/>
                      <w:color w:val="000000" w:themeColor="text1"/>
                      <w:spacing w:val="-10"/>
                      <w:sz w:val="21"/>
                      <w:szCs w:val="21"/>
                      <w14:textFill>
                        <w14:solidFill>
                          <w14:schemeClr w14:val="tx1"/>
                        </w14:solidFill>
                      </w14:textFill>
                    </w:rPr>
                    <w:t>效黏土防渗层</w:t>
                  </w:r>
                  <w:r>
                    <w:rPr>
                      <w:rFonts w:eastAsia="Times New Roman" w:cs="Times New Roman"/>
                      <w:snapToGrid w:val="0"/>
                      <w:color w:val="000000" w:themeColor="text1"/>
                      <w:spacing w:val="-10"/>
                      <w:sz w:val="21"/>
                      <w:szCs w:val="21"/>
                      <w14:textFill>
                        <w14:solidFill>
                          <w14:schemeClr w14:val="tx1"/>
                        </w14:solidFill>
                      </w14:textFill>
                    </w:rPr>
                    <w:t>Mb≥1.5m</w:t>
                  </w:r>
                  <w:r>
                    <w:rPr>
                      <w:rFonts w:cs="Times New Roman"/>
                      <w:snapToGrid w:val="0"/>
                      <w:color w:val="000000" w:themeColor="text1"/>
                      <w:spacing w:val="-10"/>
                      <w:sz w:val="21"/>
                      <w:szCs w:val="21"/>
                      <w14:textFill>
                        <w14:solidFill>
                          <w14:schemeClr w14:val="tx1"/>
                        </w14:solidFill>
                      </w14:textFill>
                    </w:rPr>
                    <w:t>，</w:t>
                  </w:r>
                  <w:r>
                    <w:rPr>
                      <w:rFonts w:eastAsia="Times New Roman" w:cs="Times New Roman"/>
                      <w:snapToGrid w:val="0"/>
                      <w:color w:val="000000" w:themeColor="text1"/>
                      <w:sz w:val="21"/>
                      <w:szCs w:val="21"/>
                      <w14:textFill>
                        <w14:solidFill>
                          <w14:schemeClr w14:val="tx1"/>
                        </w14:solidFill>
                      </w14:textFill>
                    </w:rPr>
                    <w:t>K</w:t>
                  </w:r>
                  <w:r>
                    <w:rPr>
                      <w:rFonts w:eastAsia="Times New Roman" w:cs="Times New Roman"/>
                      <w:snapToGrid w:val="0"/>
                      <w:color w:val="000000" w:themeColor="text1"/>
                      <w:spacing w:val="-1"/>
                      <w:sz w:val="21"/>
                      <w:szCs w:val="21"/>
                      <w14:textFill>
                        <w14:solidFill>
                          <w14:schemeClr w14:val="tx1"/>
                        </w14:solidFill>
                      </w14:textFill>
                    </w:rPr>
                    <w:t>≤1×10</w:t>
                  </w:r>
                  <w:r>
                    <w:rPr>
                      <w:rFonts w:eastAsia="Times New Roman" w:cs="Times New Roman"/>
                      <w:snapToGrid w:val="0"/>
                      <w:color w:val="000000" w:themeColor="text1"/>
                      <w:spacing w:val="-1"/>
                      <w:position w:val="6"/>
                      <w:sz w:val="13"/>
                      <w:szCs w:val="13"/>
                      <w14:textFill>
                        <w14:solidFill>
                          <w14:schemeClr w14:val="tx1"/>
                        </w14:solidFill>
                      </w14:textFill>
                    </w:rPr>
                    <w:t>-7</w:t>
                  </w:r>
                  <w:r>
                    <w:rPr>
                      <w:rFonts w:eastAsia="Times New Roman" w:cs="Times New Roman"/>
                      <w:snapToGrid w:val="0"/>
                      <w:color w:val="000000" w:themeColor="text1"/>
                      <w:sz w:val="21"/>
                      <w:szCs w:val="21"/>
                      <w14:textFill>
                        <w14:solidFill>
                          <w14:schemeClr w14:val="tx1"/>
                        </w14:solidFill>
                      </w14:textFill>
                    </w:rPr>
                    <w:t>cm</w:t>
                  </w:r>
                  <w:r>
                    <w:rPr>
                      <w:rFonts w:eastAsia="Times New Roman" w:cs="Times New Roman"/>
                      <w:snapToGrid w:val="0"/>
                      <w:color w:val="000000" w:themeColor="text1"/>
                      <w:spacing w:val="-1"/>
                      <w:sz w:val="21"/>
                      <w:szCs w:val="21"/>
                      <w14:textFill>
                        <w14:solidFill>
                          <w14:schemeClr w14:val="tx1"/>
                        </w14:solidFill>
                      </w14:textFill>
                    </w:rPr>
                    <w:t>/</w:t>
                  </w:r>
                  <w:r>
                    <w:rPr>
                      <w:rFonts w:eastAsia="Times New Roman" w:cs="Times New Roman"/>
                      <w:snapToGrid w:val="0"/>
                      <w:color w:val="000000" w:themeColor="text1"/>
                      <w:sz w:val="21"/>
                      <w:szCs w:val="21"/>
                      <w14:textFill>
                        <w14:solidFill>
                          <w14:schemeClr w14:val="tx1"/>
                        </w14:solidFill>
                      </w14:textFill>
                    </w:rPr>
                    <w:t>s</w:t>
                  </w:r>
                  <w:r>
                    <w:rPr>
                      <w:rFonts w:cs="Times New Roman"/>
                      <w:snapToGrid w:val="0"/>
                      <w:color w:val="000000" w:themeColor="text1"/>
                      <w:spacing w:val="-1"/>
                      <w:sz w:val="21"/>
                      <w:szCs w:val="21"/>
                      <w14:textFill>
                        <w14:solidFill>
                          <w14:schemeClr w14:val="tx1"/>
                        </w14:solidFill>
                      </w14:textFill>
                    </w:rPr>
                    <w:t>；或参照</w:t>
                  </w:r>
                  <w:r>
                    <w:rPr>
                      <w:rFonts w:eastAsia="Times New Roman" w:cs="Times New Roman"/>
                      <w:snapToGrid w:val="0"/>
                      <w:color w:val="000000" w:themeColor="text1"/>
                      <w:sz w:val="21"/>
                      <w:szCs w:val="21"/>
                      <w14:textFill>
                        <w14:solidFill>
                          <w14:schemeClr w14:val="tx1"/>
                        </w14:solidFill>
                      </w14:textFill>
                    </w:rPr>
                    <w:t>GB16889</w:t>
                  </w:r>
                  <w:r>
                    <w:rPr>
                      <w:rFonts w:cs="Times New Roman"/>
                      <w:snapToGrid w:val="0"/>
                      <w:color w:val="000000" w:themeColor="text1"/>
                      <w:spacing w:val="6"/>
                      <w:sz w:val="21"/>
                      <w:szCs w:val="21"/>
                      <w14:textFill>
                        <w14:solidFill>
                          <w14:schemeClr w14:val="tx1"/>
                        </w14:solidFill>
                      </w14:textFill>
                    </w:rPr>
                    <w:t>执</w:t>
                  </w:r>
                  <w:r>
                    <w:rPr>
                      <w:rFonts w:cs="Times New Roman"/>
                      <w:snapToGrid w:val="0"/>
                      <w:color w:val="000000" w:themeColor="text1"/>
                      <w:sz w:val="21"/>
                      <w:szCs w:val="21"/>
                      <w14:textFill>
                        <w14:solidFill>
                          <w14:schemeClr w14:val="tx1"/>
                        </w14:solidFill>
                      </w14:textFill>
                    </w:rPr>
                    <w:t>行。</w:t>
                  </w:r>
                </w:p>
              </w:tc>
            </w:tr>
            <w:tr w14:paraId="0F6724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713A3674">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1355" w:type="dxa"/>
                  <w:vAlign w:val="center"/>
                </w:tcPr>
                <w:p w14:paraId="6147EDAF">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中</w:t>
                  </w:r>
                  <w:r>
                    <w:rPr>
                      <w:rFonts w:eastAsia="Times New Roman" w:cs="Times New Roman"/>
                      <w:snapToGrid w:val="0"/>
                      <w:color w:val="000000" w:themeColor="text1"/>
                      <w:spacing w:val="-1"/>
                      <w:sz w:val="21"/>
                      <w:szCs w:val="21"/>
                      <w14:textFill>
                        <w14:solidFill>
                          <w14:schemeClr w14:val="tx1"/>
                        </w14:solidFill>
                      </w14:textFill>
                    </w:rPr>
                    <w:t>-</w:t>
                  </w:r>
                  <w:r>
                    <w:rPr>
                      <w:rFonts w:cs="Times New Roman"/>
                      <w:snapToGrid w:val="0"/>
                      <w:color w:val="000000" w:themeColor="text1"/>
                      <w:spacing w:val="-1"/>
                      <w:sz w:val="21"/>
                      <w:szCs w:val="21"/>
                      <w14:textFill>
                        <w14:solidFill>
                          <w14:schemeClr w14:val="tx1"/>
                        </w14:solidFill>
                      </w14:textFill>
                    </w:rPr>
                    <w:t>强</w:t>
                  </w:r>
                </w:p>
              </w:tc>
              <w:tc>
                <w:tcPr>
                  <w:tcW w:w="1080" w:type="dxa"/>
                  <w:vAlign w:val="center"/>
                </w:tcPr>
                <w:p w14:paraId="1F7641FF">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难</w:t>
                  </w:r>
                </w:p>
              </w:tc>
              <w:tc>
                <w:tcPr>
                  <w:tcW w:w="1660" w:type="dxa"/>
                  <w:vMerge w:val="continue"/>
                  <w:vAlign w:val="center"/>
                </w:tcPr>
                <w:p w14:paraId="16CE8AF0">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2833" w:type="dxa"/>
                  <w:vMerge w:val="continue"/>
                  <w:vAlign w:val="center"/>
                </w:tcPr>
                <w:p w14:paraId="0CB4CE9D">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r>
            <w:tr w14:paraId="1CF5F9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02DF8183">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1355" w:type="dxa"/>
                  <w:vAlign w:val="center"/>
                </w:tcPr>
                <w:p w14:paraId="53783031">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中</w:t>
                  </w:r>
                </w:p>
              </w:tc>
              <w:tc>
                <w:tcPr>
                  <w:tcW w:w="1080" w:type="dxa"/>
                  <w:vAlign w:val="center"/>
                </w:tcPr>
                <w:p w14:paraId="44DDAB15">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易</w:t>
                  </w:r>
                </w:p>
              </w:tc>
              <w:tc>
                <w:tcPr>
                  <w:tcW w:w="1660" w:type="dxa"/>
                  <w:vMerge w:val="restart"/>
                  <w:vAlign w:val="center"/>
                </w:tcPr>
                <w:p w14:paraId="06F928F6">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6"/>
                      <w:sz w:val="21"/>
                      <w:szCs w:val="21"/>
                      <w14:textFill>
                        <w14:solidFill>
                          <w14:schemeClr w14:val="tx1"/>
                        </w14:solidFill>
                      </w14:textFill>
                    </w:rPr>
                    <w:t>重</w:t>
                  </w:r>
                  <w:r>
                    <w:rPr>
                      <w:rFonts w:cs="Times New Roman"/>
                      <w:snapToGrid w:val="0"/>
                      <w:color w:val="000000" w:themeColor="text1"/>
                      <w:sz w:val="21"/>
                      <w:szCs w:val="21"/>
                      <w14:textFill>
                        <w14:solidFill>
                          <w14:schemeClr w14:val="tx1"/>
                        </w14:solidFill>
                      </w14:textFill>
                    </w:rPr>
                    <w:t>金</w:t>
                  </w:r>
                  <w:r>
                    <w:rPr>
                      <w:rFonts w:cs="Times New Roman"/>
                      <w:snapToGrid w:val="0"/>
                      <w:color w:val="000000" w:themeColor="text1"/>
                      <w:spacing w:val="3"/>
                      <w:sz w:val="21"/>
                      <w:szCs w:val="21"/>
                      <w14:textFill>
                        <w14:solidFill>
                          <w14:schemeClr w14:val="tx1"/>
                        </w14:solidFill>
                      </w14:textFill>
                    </w:rPr>
                    <w:t>属、持久性有</w:t>
                  </w:r>
                  <w:r>
                    <w:rPr>
                      <w:rFonts w:cs="Times New Roman"/>
                      <w:snapToGrid w:val="0"/>
                      <w:color w:val="000000" w:themeColor="text1"/>
                      <w:spacing w:val="9"/>
                      <w:sz w:val="21"/>
                      <w:szCs w:val="21"/>
                      <w14:textFill>
                        <w14:solidFill>
                          <w14:schemeClr w14:val="tx1"/>
                        </w14:solidFill>
                      </w14:textFill>
                    </w:rPr>
                    <w:t>机</w:t>
                  </w:r>
                  <w:r>
                    <w:rPr>
                      <w:rFonts w:cs="Times New Roman"/>
                      <w:snapToGrid w:val="0"/>
                      <w:color w:val="000000" w:themeColor="text1"/>
                      <w:spacing w:val="8"/>
                      <w:sz w:val="21"/>
                      <w:szCs w:val="21"/>
                      <w14:textFill>
                        <w14:solidFill>
                          <w14:schemeClr w14:val="tx1"/>
                        </w14:solidFill>
                      </w14:textFill>
                    </w:rPr>
                    <w:t>物污染物</w:t>
                  </w:r>
                </w:p>
              </w:tc>
              <w:tc>
                <w:tcPr>
                  <w:tcW w:w="2833" w:type="dxa"/>
                  <w:vMerge w:val="continue"/>
                  <w:vAlign w:val="center"/>
                </w:tcPr>
                <w:p w14:paraId="1FA5212A">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r>
            <w:tr w14:paraId="517EAD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7" w:hRule="atLeast"/>
                <w:jc w:val="center"/>
              </w:trPr>
              <w:tc>
                <w:tcPr>
                  <w:tcW w:w="1384" w:type="dxa"/>
                  <w:vMerge w:val="continue"/>
                  <w:vAlign w:val="center"/>
                </w:tcPr>
                <w:p w14:paraId="237C7055">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1355" w:type="dxa"/>
                  <w:vAlign w:val="center"/>
                </w:tcPr>
                <w:p w14:paraId="77EE3E53">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强</w:t>
                  </w:r>
                </w:p>
              </w:tc>
              <w:tc>
                <w:tcPr>
                  <w:tcW w:w="1080" w:type="dxa"/>
                  <w:vAlign w:val="center"/>
                </w:tcPr>
                <w:p w14:paraId="09D9E101">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易</w:t>
                  </w:r>
                </w:p>
              </w:tc>
              <w:tc>
                <w:tcPr>
                  <w:tcW w:w="1660" w:type="dxa"/>
                  <w:vMerge w:val="continue"/>
                  <w:vAlign w:val="center"/>
                </w:tcPr>
                <w:p w14:paraId="069997BE">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c>
                <w:tcPr>
                  <w:tcW w:w="2833" w:type="dxa"/>
                  <w:vMerge w:val="continue"/>
                  <w:vAlign w:val="center"/>
                </w:tcPr>
                <w:p w14:paraId="4D5F063A">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p>
              </w:tc>
            </w:tr>
            <w:tr w14:paraId="4A01CF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7" w:hRule="atLeast"/>
                <w:jc w:val="center"/>
              </w:trPr>
              <w:tc>
                <w:tcPr>
                  <w:tcW w:w="1384" w:type="dxa"/>
                  <w:vAlign w:val="center"/>
                </w:tcPr>
                <w:p w14:paraId="03CDE83D">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8"/>
                      <w:sz w:val="21"/>
                      <w:szCs w:val="21"/>
                      <w14:textFill>
                        <w14:solidFill>
                          <w14:schemeClr w14:val="tx1"/>
                        </w14:solidFill>
                      </w14:textFill>
                    </w:rPr>
                    <w:t>简</w:t>
                  </w:r>
                  <w:r>
                    <w:rPr>
                      <w:rFonts w:cs="Times New Roman"/>
                      <w:snapToGrid w:val="0"/>
                      <w:color w:val="000000" w:themeColor="text1"/>
                      <w:spacing w:val="7"/>
                      <w:sz w:val="21"/>
                      <w:szCs w:val="21"/>
                      <w14:textFill>
                        <w14:solidFill>
                          <w14:schemeClr w14:val="tx1"/>
                        </w14:solidFill>
                      </w14:textFill>
                    </w:rPr>
                    <w:t>单防渗区</w:t>
                  </w:r>
                </w:p>
              </w:tc>
              <w:tc>
                <w:tcPr>
                  <w:tcW w:w="1355" w:type="dxa"/>
                  <w:vAlign w:val="center"/>
                </w:tcPr>
                <w:p w14:paraId="0D530DA8">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1"/>
                      <w:sz w:val="21"/>
                      <w:szCs w:val="21"/>
                      <w14:textFill>
                        <w14:solidFill>
                          <w14:schemeClr w14:val="tx1"/>
                        </w14:solidFill>
                      </w14:textFill>
                    </w:rPr>
                    <w:t>中</w:t>
                  </w:r>
                  <w:r>
                    <w:rPr>
                      <w:rFonts w:eastAsia="Times New Roman" w:cs="Times New Roman"/>
                      <w:snapToGrid w:val="0"/>
                      <w:color w:val="000000" w:themeColor="text1"/>
                      <w:spacing w:val="-1"/>
                      <w:sz w:val="21"/>
                      <w:szCs w:val="21"/>
                      <w14:textFill>
                        <w14:solidFill>
                          <w14:schemeClr w14:val="tx1"/>
                        </w14:solidFill>
                      </w14:textFill>
                    </w:rPr>
                    <w:t>-</w:t>
                  </w:r>
                  <w:r>
                    <w:rPr>
                      <w:rFonts w:cs="Times New Roman"/>
                      <w:snapToGrid w:val="0"/>
                      <w:color w:val="000000" w:themeColor="text1"/>
                      <w:spacing w:val="-1"/>
                      <w:sz w:val="21"/>
                      <w:szCs w:val="21"/>
                      <w14:textFill>
                        <w14:solidFill>
                          <w14:schemeClr w14:val="tx1"/>
                        </w14:solidFill>
                      </w14:textFill>
                    </w:rPr>
                    <w:t>强</w:t>
                  </w:r>
                </w:p>
              </w:tc>
              <w:tc>
                <w:tcPr>
                  <w:tcW w:w="1080" w:type="dxa"/>
                  <w:vAlign w:val="center"/>
                </w:tcPr>
                <w:p w14:paraId="463FA0ED">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z w:val="21"/>
                      <w:szCs w:val="21"/>
                      <w14:textFill>
                        <w14:solidFill>
                          <w14:schemeClr w14:val="tx1"/>
                        </w14:solidFill>
                      </w14:textFill>
                    </w:rPr>
                    <w:t>易</w:t>
                  </w:r>
                </w:p>
              </w:tc>
              <w:tc>
                <w:tcPr>
                  <w:tcW w:w="1660" w:type="dxa"/>
                  <w:vAlign w:val="center"/>
                </w:tcPr>
                <w:p w14:paraId="120D7519">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2"/>
                      <w:sz w:val="21"/>
                      <w:szCs w:val="21"/>
                      <w14:textFill>
                        <w14:solidFill>
                          <w14:schemeClr w14:val="tx1"/>
                        </w14:solidFill>
                      </w14:textFill>
                    </w:rPr>
                    <w:t>其</w:t>
                  </w:r>
                  <w:r>
                    <w:rPr>
                      <w:rFonts w:cs="Times New Roman"/>
                      <w:snapToGrid w:val="0"/>
                      <w:color w:val="000000" w:themeColor="text1"/>
                      <w:spacing w:val="-1"/>
                      <w:sz w:val="21"/>
                      <w:szCs w:val="21"/>
                      <w14:textFill>
                        <w14:solidFill>
                          <w14:schemeClr w14:val="tx1"/>
                        </w14:solidFill>
                      </w14:textFill>
                    </w:rPr>
                    <w:t>他类型</w:t>
                  </w:r>
                </w:p>
              </w:tc>
              <w:tc>
                <w:tcPr>
                  <w:tcW w:w="2833" w:type="dxa"/>
                  <w:vAlign w:val="center"/>
                </w:tcPr>
                <w:p w14:paraId="2952011F">
                  <w:pPr>
                    <w:spacing w:line="240" w:lineRule="auto"/>
                    <w:ind w:firstLine="0" w:firstLineChars="0"/>
                    <w:contextualSpacing/>
                    <w:jc w:val="center"/>
                    <w:rPr>
                      <w:rFonts w:cs="Times New Roman"/>
                      <w:snapToGrid w:val="0"/>
                      <w:color w:val="000000" w:themeColor="text1"/>
                      <w:sz w:val="21"/>
                      <w:szCs w:val="21"/>
                      <w14:textFill>
                        <w14:solidFill>
                          <w14:schemeClr w14:val="tx1"/>
                        </w14:solidFill>
                      </w14:textFill>
                    </w:rPr>
                  </w:pPr>
                  <w:r>
                    <w:rPr>
                      <w:rFonts w:cs="Times New Roman"/>
                      <w:snapToGrid w:val="0"/>
                      <w:color w:val="000000" w:themeColor="text1"/>
                      <w:spacing w:val="-2"/>
                      <w:sz w:val="21"/>
                      <w:szCs w:val="21"/>
                      <w14:textFill>
                        <w14:solidFill>
                          <w14:schemeClr w14:val="tx1"/>
                        </w14:solidFill>
                      </w14:textFill>
                    </w:rPr>
                    <w:t>一般地面硬</w:t>
                  </w:r>
                  <w:r>
                    <w:rPr>
                      <w:rFonts w:cs="Times New Roman"/>
                      <w:snapToGrid w:val="0"/>
                      <w:color w:val="000000" w:themeColor="text1"/>
                      <w:spacing w:val="-1"/>
                      <w:sz w:val="21"/>
                      <w:szCs w:val="21"/>
                      <w14:textFill>
                        <w14:solidFill>
                          <w14:schemeClr w14:val="tx1"/>
                        </w14:solidFill>
                      </w14:textFill>
                    </w:rPr>
                    <w:t>化</w:t>
                  </w:r>
                </w:p>
              </w:tc>
            </w:tr>
          </w:tbl>
          <w:p w14:paraId="0354AFB8">
            <w:pPr>
              <w:ind w:firstLine="536"/>
              <w:rPr>
                <w:snapToGrid w:val="0"/>
              </w:rPr>
            </w:pPr>
            <w:r>
              <w:rPr>
                <w:snapToGrid w:val="0"/>
                <w:spacing w:val="14"/>
              </w:rPr>
              <w:t>根据《</w:t>
            </w:r>
            <w:r>
              <w:rPr>
                <w:snapToGrid w:val="0"/>
              </w:rPr>
              <w:t>环境影响评价技术导则</w:t>
            </w:r>
            <w:r>
              <w:rPr>
                <w:rFonts w:hint="eastAsia"/>
                <w:snapToGrid w:val="0"/>
              </w:rPr>
              <w:t xml:space="preserve"> </w:t>
            </w:r>
            <w:r>
              <w:rPr>
                <w:snapToGrid w:val="0"/>
              </w:rPr>
              <w:t xml:space="preserve"> 地下水环境》（</w:t>
            </w:r>
            <w:r>
              <w:rPr>
                <w:rFonts w:eastAsia="Times New Roman"/>
                <w:snapToGrid w:val="0"/>
              </w:rPr>
              <w:t>HJ610-2016</w:t>
            </w:r>
            <w:r>
              <w:rPr>
                <w:snapToGrid w:val="0"/>
              </w:rPr>
              <w:t>）要求，结合本项目的</w:t>
            </w:r>
            <w:r>
              <w:rPr>
                <w:snapToGrid w:val="0"/>
                <w:spacing w:val="16"/>
              </w:rPr>
              <w:t>性</w:t>
            </w:r>
            <w:r>
              <w:rPr>
                <w:snapToGrid w:val="0"/>
              </w:rPr>
              <w:t>质，厂区分区防渗设置如下：</w:t>
            </w:r>
          </w:p>
          <w:p w14:paraId="62E5CB9B">
            <w:pPr>
              <w:spacing w:line="240" w:lineRule="auto"/>
              <w:ind w:firstLine="0" w:firstLineChars="0"/>
              <w:jc w:val="center"/>
              <w:textAlignment w:val="auto"/>
              <w:rPr>
                <w:b/>
                <w:bCs/>
                <w:color w:val="000000" w:themeColor="text1"/>
                <w:sz w:val="21"/>
                <w:szCs w:val="21"/>
                <w:lang w:val="zh-CN"/>
                <w14:textFill>
                  <w14:solidFill>
                    <w14:schemeClr w14:val="tx1"/>
                  </w14:solidFill>
                </w14:textFill>
              </w:rPr>
            </w:pPr>
            <w:r>
              <w:rPr>
                <w:rFonts w:hint="eastAsia"/>
                <w:b/>
                <w:bCs/>
                <w:sz w:val="21"/>
                <w:szCs w:val="21"/>
              </w:rPr>
              <w:t>表4-</w:t>
            </w:r>
            <w:r>
              <w:rPr>
                <w:b/>
                <w:bCs/>
                <w:sz w:val="21"/>
                <w:szCs w:val="21"/>
              </w:rPr>
              <w:t xml:space="preserve">8  </w:t>
            </w:r>
            <w:r>
              <w:rPr>
                <w:rFonts w:hint="eastAsia"/>
                <w:b/>
                <w:bCs/>
                <w:color w:val="000000" w:themeColor="text1"/>
                <w:sz w:val="21"/>
                <w:szCs w:val="21"/>
                <w:lang w:val="zh-CN"/>
                <w14:textFill>
                  <w14:solidFill>
                    <w14:schemeClr w14:val="tx1"/>
                  </w14:solidFill>
                </w14:textFill>
              </w:rPr>
              <w:t>工程防渗措施要求一览表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1942"/>
              <w:gridCol w:w="3191"/>
              <w:gridCol w:w="2169"/>
            </w:tblGrid>
            <w:tr w14:paraId="72E4B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792" w:type="pct"/>
                  <w:vAlign w:val="center"/>
                </w:tcPr>
                <w:p w14:paraId="24C0E82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防渗分区</w:t>
                  </w:r>
                </w:p>
              </w:tc>
              <w:tc>
                <w:tcPr>
                  <w:tcW w:w="1119" w:type="pct"/>
                  <w:vAlign w:val="center"/>
                </w:tcPr>
                <w:p w14:paraId="17961D4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防渗区域</w:t>
                  </w:r>
                </w:p>
              </w:tc>
              <w:tc>
                <w:tcPr>
                  <w:tcW w:w="1839" w:type="pct"/>
                  <w:vAlign w:val="center"/>
                </w:tcPr>
                <w:p w14:paraId="74EDAD64">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防渗要求</w:t>
                  </w:r>
                </w:p>
              </w:tc>
              <w:tc>
                <w:tcPr>
                  <w:tcW w:w="1250" w:type="pct"/>
                  <w:vAlign w:val="center"/>
                </w:tcPr>
                <w:p w14:paraId="5D21C08D">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执行标准</w:t>
                  </w:r>
                </w:p>
              </w:tc>
            </w:tr>
            <w:tr w14:paraId="4194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92" w:type="pct"/>
                  <w:vAlign w:val="center"/>
                </w:tcPr>
                <w:p w14:paraId="4B81AB24">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重点防渗区</w:t>
                  </w:r>
                </w:p>
              </w:tc>
              <w:tc>
                <w:tcPr>
                  <w:tcW w:w="1119" w:type="pct"/>
                  <w:vAlign w:val="center"/>
                </w:tcPr>
                <w:p w14:paraId="488F5886">
                  <w:pPr>
                    <w:spacing w:line="240" w:lineRule="auto"/>
                    <w:ind w:firstLine="0" w:firstLineChars="0"/>
                    <w:jc w:val="center"/>
                    <w:textAlignment w:val="auto"/>
                    <w:rPr>
                      <w:rFonts w:cs="Times New Roman"/>
                      <w:snapToGrid w:val="0"/>
                      <w:kern w:val="0"/>
                      <w:sz w:val="21"/>
                      <w:szCs w:val="24"/>
                    </w:rPr>
                  </w:pPr>
                  <w:r>
                    <w:rPr>
                      <w:rFonts w:hint="eastAsia" w:cs="Times New Roman"/>
                      <w:snapToGrid w:val="0"/>
                      <w:kern w:val="0"/>
                      <w:sz w:val="21"/>
                      <w:szCs w:val="24"/>
                    </w:rPr>
                    <w:t>储罐区</w:t>
                  </w:r>
                </w:p>
              </w:tc>
              <w:tc>
                <w:tcPr>
                  <w:tcW w:w="1839" w:type="pct"/>
                  <w:vAlign w:val="center"/>
                </w:tcPr>
                <w:p w14:paraId="3E43DB5B">
                  <w:pPr>
                    <w:widowControl/>
                    <w:spacing w:line="240" w:lineRule="auto"/>
                    <w:ind w:firstLine="0" w:firstLineChars="0"/>
                    <w:jc w:val="center"/>
                    <w:textAlignment w:val="auto"/>
                    <w:rPr>
                      <w:rFonts w:cs="Times New Roman"/>
                      <w:snapToGrid w:val="0"/>
                      <w:kern w:val="0"/>
                      <w:szCs w:val="24"/>
                    </w:rPr>
                  </w:pPr>
                  <w:r>
                    <w:rPr>
                      <w:rFonts w:cs="Times New Roman"/>
                      <w:snapToGrid w:val="0"/>
                      <w:kern w:val="0"/>
                      <w:sz w:val="21"/>
                      <w:szCs w:val="24"/>
                    </w:rPr>
                    <w:t>等效黏土防渗层Mb</w:t>
                  </w:r>
                  <w:r>
                    <w:rPr>
                      <w:rFonts w:hint="eastAsia" w:ascii="宋体" w:hAnsi="宋体" w:cs="宋体"/>
                      <w:snapToGrid w:val="0"/>
                      <w:kern w:val="0"/>
                      <w:sz w:val="21"/>
                      <w:szCs w:val="24"/>
                    </w:rPr>
                    <w:t>≧</w:t>
                  </w:r>
                  <w:r>
                    <w:rPr>
                      <w:rFonts w:cs="Times New Roman"/>
                      <w:snapToGrid w:val="0"/>
                      <w:kern w:val="0"/>
                      <w:sz w:val="21"/>
                      <w:szCs w:val="24"/>
                    </w:rPr>
                    <w:t>6.0m，K≤1.0×10</w:t>
                  </w:r>
                  <w:r>
                    <w:rPr>
                      <w:rFonts w:cs="Times New Roman"/>
                      <w:snapToGrid w:val="0"/>
                      <w:kern w:val="0"/>
                      <w:sz w:val="21"/>
                      <w:szCs w:val="24"/>
                      <w:vertAlign w:val="superscript"/>
                    </w:rPr>
                    <w:t>-7</w:t>
                  </w:r>
                  <w:r>
                    <w:rPr>
                      <w:rFonts w:cs="Times New Roman"/>
                      <w:snapToGrid w:val="0"/>
                      <w:kern w:val="0"/>
                      <w:sz w:val="21"/>
                      <w:szCs w:val="24"/>
                    </w:rPr>
                    <w:t>cm/s；或参照GB18598执行</w:t>
                  </w:r>
                </w:p>
              </w:tc>
              <w:tc>
                <w:tcPr>
                  <w:tcW w:w="1250" w:type="pct"/>
                  <w:vMerge w:val="restart"/>
                  <w:vAlign w:val="center"/>
                </w:tcPr>
                <w:p w14:paraId="4C430142">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《环境影响评价技术导则 地下水环境》HJ610-2016</w:t>
                  </w:r>
                </w:p>
              </w:tc>
            </w:tr>
            <w:tr w14:paraId="49085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92" w:type="pct"/>
                  <w:vAlign w:val="center"/>
                </w:tcPr>
                <w:p w14:paraId="69CCF5FC">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一般防渗区</w:t>
                  </w:r>
                </w:p>
              </w:tc>
              <w:tc>
                <w:tcPr>
                  <w:tcW w:w="1119" w:type="pct"/>
                  <w:vAlign w:val="center"/>
                </w:tcPr>
                <w:p w14:paraId="7705AA4C">
                  <w:pPr>
                    <w:spacing w:line="240" w:lineRule="auto"/>
                    <w:ind w:firstLine="0" w:firstLineChars="0"/>
                    <w:jc w:val="center"/>
                    <w:textAlignment w:val="auto"/>
                    <w:rPr>
                      <w:rFonts w:cs="Times New Roman"/>
                      <w:snapToGrid w:val="0"/>
                      <w:kern w:val="0"/>
                      <w:sz w:val="21"/>
                      <w:szCs w:val="24"/>
                    </w:rPr>
                  </w:pPr>
                  <w:r>
                    <w:rPr>
                      <w:rFonts w:hint="eastAsia" w:cs="Times New Roman"/>
                      <w:sz w:val="21"/>
                      <w:szCs w:val="21"/>
                    </w:rPr>
                    <w:t>化粪池、灌装间、消防泵房、消防水池</w:t>
                  </w:r>
                </w:p>
              </w:tc>
              <w:tc>
                <w:tcPr>
                  <w:tcW w:w="1839" w:type="pct"/>
                  <w:vAlign w:val="center"/>
                </w:tcPr>
                <w:p w14:paraId="2F631913">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等效黏土防渗层Mb≥1.5m，K≤1.0×10</w:t>
                  </w:r>
                  <w:r>
                    <w:rPr>
                      <w:rFonts w:cs="Times New Roman"/>
                      <w:snapToGrid w:val="0"/>
                      <w:kern w:val="0"/>
                      <w:sz w:val="21"/>
                      <w:szCs w:val="24"/>
                      <w:vertAlign w:val="superscript"/>
                    </w:rPr>
                    <w:t>-7</w:t>
                  </w:r>
                  <w:r>
                    <w:rPr>
                      <w:rFonts w:cs="Times New Roman"/>
                      <w:snapToGrid w:val="0"/>
                      <w:kern w:val="0"/>
                      <w:sz w:val="21"/>
                      <w:szCs w:val="24"/>
                    </w:rPr>
                    <w:t>cm/s；或参照GB16889执行</w:t>
                  </w:r>
                </w:p>
              </w:tc>
              <w:tc>
                <w:tcPr>
                  <w:tcW w:w="1250" w:type="pct"/>
                  <w:vMerge w:val="continue"/>
                  <w:vAlign w:val="center"/>
                </w:tcPr>
                <w:p w14:paraId="07C5C44C">
                  <w:pPr>
                    <w:spacing w:line="240" w:lineRule="auto"/>
                    <w:ind w:firstLine="0" w:firstLineChars="0"/>
                    <w:jc w:val="center"/>
                    <w:textAlignment w:val="auto"/>
                    <w:rPr>
                      <w:rFonts w:cs="Times New Roman"/>
                      <w:snapToGrid w:val="0"/>
                      <w:kern w:val="0"/>
                      <w:sz w:val="21"/>
                      <w:szCs w:val="24"/>
                    </w:rPr>
                  </w:pPr>
                </w:p>
              </w:tc>
            </w:tr>
            <w:tr w14:paraId="306C4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792" w:type="pct"/>
                  <w:vAlign w:val="center"/>
                </w:tcPr>
                <w:p w14:paraId="60B0A015">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简单防渗区</w:t>
                  </w:r>
                </w:p>
              </w:tc>
              <w:tc>
                <w:tcPr>
                  <w:tcW w:w="1119" w:type="pct"/>
                  <w:vAlign w:val="center"/>
                </w:tcPr>
                <w:p w14:paraId="72FA28FB">
                  <w:pPr>
                    <w:spacing w:line="240" w:lineRule="auto"/>
                    <w:ind w:firstLine="0" w:firstLineChars="0"/>
                    <w:jc w:val="center"/>
                    <w:textAlignment w:val="auto"/>
                    <w:rPr>
                      <w:rFonts w:cs="Times New Roman"/>
                      <w:snapToGrid w:val="0"/>
                      <w:kern w:val="0"/>
                      <w:sz w:val="21"/>
                      <w:szCs w:val="24"/>
                    </w:rPr>
                  </w:pPr>
                  <w:r>
                    <w:rPr>
                      <w:rFonts w:cs="Times New Roman"/>
                      <w:snapToGrid w:val="0"/>
                      <w:kern w:val="0"/>
                      <w:sz w:val="21"/>
                      <w:szCs w:val="24"/>
                    </w:rPr>
                    <w:t>除重点防渗区及一般防渗区外区域</w:t>
                  </w:r>
                </w:p>
              </w:tc>
              <w:tc>
                <w:tcPr>
                  <w:tcW w:w="1839" w:type="pct"/>
                  <w:vAlign w:val="center"/>
                </w:tcPr>
                <w:p w14:paraId="02031FD8">
                  <w:pPr>
                    <w:widowControl/>
                    <w:spacing w:line="240" w:lineRule="auto"/>
                    <w:ind w:firstLine="0" w:firstLineChars="0"/>
                    <w:jc w:val="center"/>
                    <w:textAlignment w:val="auto"/>
                    <w:rPr>
                      <w:rFonts w:cs="Times New Roman"/>
                      <w:snapToGrid w:val="0"/>
                      <w:kern w:val="0"/>
                      <w:szCs w:val="24"/>
                    </w:rPr>
                  </w:pPr>
                  <w:r>
                    <w:rPr>
                      <w:rFonts w:cs="Times New Roman"/>
                      <w:snapToGrid w:val="0"/>
                      <w:kern w:val="0"/>
                      <w:sz w:val="21"/>
                      <w:szCs w:val="24"/>
                    </w:rPr>
                    <w:t>一般地面硬化</w:t>
                  </w:r>
                </w:p>
              </w:tc>
              <w:tc>
                <w:tcPr>
                  <w:tcW w:w="1250" w:type="pct"/>
                  <w:vMerge w:val="continue"/>
                  <w:vAlign w:val="center"/>
                </w:tcPr>
                <w:p w14:paraId="4CE96248">
                  <w:pPr>
                    <w:spacing w:line="240" w:lineRule="auto"/>
                    <w:ind w:firstLine="0" w:firstLineChars="0"/>
                    <w:jc w:val="center"/>
                    <w:textAlignment w:val="auto"/>
                    <w:rPr>
                      <w:rFonts w:cs="Times New Roman"/>
                      <w:snapToGrid w:val="0"/>
                      <w:kern w:val="0"/>
                      <w:sz w:val="21"/>
                      <w:szCs w:val="24"/>
                    </w:rPr>
                  </w:pPr>
                </w:p>
              </w:tc>
            </w:tr>
          </w:tbl>
          <w:p w14:paraId="1A57C1C6">
            <w:pPr>
              <w:ind w:firstLine="480"/>
              <w:textAlignment w:val="auto"/>
            </w:pPr>
            <w:r>
              <w:rPr>
                <w:rFonts w:hint="eastAsia"/>
              </w:rPr>
              <w:t>本项目主要涉及丙烷和丁烷的储存与充装。两者在常温常压下为气态，加压条件下以液态储存于密闭系统中。充装过程中可能存在少量泄漏风险，但可通过良好的密封措施和泄漏检测系统有效控制。丙烷和丁烷在水中的溶解度低，且密度小于水，发生泄漏后不易渗入地下水体。因此，项目对地下水环境的影响较小。</w:t>
            </w:r>
          </w:p>
          <w:p w14:paraId="2CF3D6C8">
            <w:pPr>
              <w:ind w:firstLine="480"/>
              <w:rPr>
                <w:rFonts w:cs="Times New Roman"/>
                <w:bCs/>
                <w:szCs w:val="24"/>
              </w:rPr>
            </w:pPr>
            <w:r>
              <w:rPr>
                <w:rFonts w:hint="eastAsia"/>
              </w:rPr>
              <w:t>在落实上述防护措施的前提下，可有效防止污染物渗漏，避免对地下水、土壤及地表水造成污染，不会对地下水和土壤环境产生明显不利影响</w:t>
            </w:r>
            <w:r>
              <w:rPr>
                <w:rFonts w:hint="eastAsia" w:cs="Times New Roman"/>
                <w:bCs/>
                <w:szCs w:val="24"/>
              </w:rPr>
              <w:t>。</w:t>
            </w:r>
          </w:p>
          <w:p w14:paraId="68D62BB7">
            <w:pPr>
              <w:ind w:firstLine="0" w:firstLineChars="0"/>
              <w:rPr>
                <w:b/>
                <w:bCs/>
              </w:rPr>
            </w:pPr>
            <w:r>
              <w:rPr>
                <w:rFonts w:hint="eastAsia"/>
                <w:b/>
                <w:bCs/>
              </w:rPr>
              <w:t>4</w:t>
            </w:r>
            <w:r>
              <w:rPr>
                <w:b/>
                <w:bCs/>
              </w:rPr>
              <w:t>.5</w:t>
            </w:r>
            <w:r>
              <w:rPr>
                <w:rFonts w:hint="eastAsia"/>
                <w:b/>
                <w:bCs/>
              </w:rPr>
              <w:t>生态环境影响分析</w:t>
            </w:r>
          </w:p>
          <w:p w14:paraId="7B5801F0">
            <w:pPr>
              <w:ind w:firstLine="480"/>
              <w:rPr>
                <w:rFonts w:cs="Times New Roman"/>
                <w:bCs/>
                <w:szCs w:val="24"/>
              </w:rPr>
            </w:pPr>
            <w:r>
              <w:rPr>
                <w:rFonts w:hint="eastAsia"/>
                <w:bCs/>
              </w:rPr>
              <w:t>本项目在充装过程中，管道连接断开瞬间仅有少量气体逸出。由于项目区地势开阔，大气扩散条件良好且自然净化能力较强，因此运营期非甲烷总烃排放对周边环境空气质量的影响轻微</w:t>
            </w:r>
            <w:r>
              <w:rPr>
                <w:rFonts w:hint="eastAsia" w:cs="Times New Roman"/>
              </w:rPr>
              <w:t>。本项目采用成熟可靠的储运工艺技术，并配备完善的安全监控和应急系统，发生泄漏等突发环境事故的概率极低，对周边生态环境的影响处于可控范围内</w:t>
            </w:r>
          </w:p>
          <w:p w14:paraId="7A4F5B0E">
            <w:pPr>
              <w:ind w:firstLine="480"/>
              <w:rPr>
                <w:rFonts w:cs="Times New Roman"/>
              </w:rPr>
            </w:pPr>
            <w:r>
              <w:rPr>
                <w:rFonts w:hint="eastAsia" w:cs="Times New Roman"/>
              </w:rPr>
              <w:t>项目的主要生态影响防治措施为绿化。绿化不仅能够改善和美化项目区环境，还能减少污染，充分发挥草木调温、调湿、吸尘等作用。本项目总绿化面积约为4120平方米，对改善当地生态环境具有积极作用</w:t>
            </w:r>
            <w:r>
              <w:rPr>
                <w:rFonts w:cs="Times New Roman"/>
              </w:rPr>
              <w:t>。</w:t>
            </w:r>
          </w:p>
          <w:p w14:paraId="5165267D">
            <w:pPr>
              <w:ind w:firstLine="0" w:firstLineChars="0"/>
              <w:rPr>
                <w:b/>
                <w:bCs/>
              </w:rPr>
            </w:pPr>
            <w:r>
              <w:rPr>
                <w:rFonts w:hint="eastAsia"/>
                <w:b/>
                <w:bCs/>
              </w:rPr>
              <w:t>4</w:t>
            </w:r>
            <w:r>
              <w:rPr>
                <w:b/>
                <w:bCs/>
              </w:rPr>
              <w:t>.6</w:t>
            </w:r>
            <w:r>
              <w:rPr>
                <w:rFonts w:hint="eastAsia"/>
                <w:b/>
                <w:bCs/>
              </w:rPr>
              <w:t>排污许可管理</w:t>
            </w:r>
          </w:p>
          <w:p w14:paraId="308273BC">
            <w:pPr>
              <w:pStyle w:val="24"/>
            </w:pPr>
            <w:r>
              <w:rPr>
                <w:rFonts w:hint="eastAsia" w:cs="Times New Roman"/>
                <w:color w:val="000000"/>
                <w:kern w:val="0"/>
                <w:lang w:bidi="ar"/>
              </w:rPr>
              <w:t>目前，厂区现有项目已按要求取得固定污染源排污登记回执，登记编号：916528275725122713001X，有效期为2023年8月2日至2028年8月1日。对照《固定污染源排污许可分类管理名录（2019年版）》，本项目属于“二十一、化学原料和化学制品制造业”中的“其他基础化学原料制造2619（除重点管理、简化管理以外的）”类别，属于登记管理</w:t>
            </w:r>
            <w:r>
              <w:rPr>
                <w:rFonts w:hint="eastAsia"/>
              </w:rPr>
              <w:t>。本项目建成后，需对排污许可内容进行变更。</w:t>
            </w:r>
          </w:p>
          <w:p w14:paraId="179EC379">
            <w:pPr>
              <w:pStyle w:val="3"/>
              <w:rPr>
                <w:color w:val="000000" w:themeColor="text1"/>
                <w14:textFill>
                  <w14:solidFill>
                    <w14:schemeClr w14:val="tx1"/>
                  </w14:solidFill>
                </w14:textFill>
              </w:rPr>
            </w:pPr>
            <w:r>
              <w:rPr>
                <w:color w:val="000000" w:themeColor="text1"/>
                <w14:textFill>
                  <w14:solidFill>
                    <w14:schemeClr w14:val="tx1"/>
                  </w14:solidFill>
                </w14:textFill>
              </w:rPr>
              <w:t>4.7</w:t>
            </w:r>
            <w:r>
              <w:rPr>
                <w:rFonts w:hint="eastAsia"/>
                <w:color w:val="000000" w:themeColor="text1"/>
                <w14:textFill>
                  <w14:solidFill>
                    <w14:schemeClr w14:val="tx1"/>
                  </w14:solidFill>
                </w14:textFill>
              </w:rPr>
              <w:t>环境风险</w:t>
            </w:r>
          </w:p>
          <w:p w14:paraId="40BDBA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环境风险专项评价设置原则为有毒有害和易燃易爆危险物质存储量超过临界量的建设项目，临界量及其计算方法参考《建设项目环境风险评价技术导则》（HJ169-2018）附录B、附录C；根据《建设项目环境风险评价技术导则》（HJ169-2018）附录B中相关风险物质临界量对比，本项目涉及的风险物质主要为丁烷和丙烷。丙烷的最大储存量为1</w:t>
            </w:r>
            <w:r>
              <w:rPr>
                <w:color w:val="000000" w:themeColor="text1"/>
                <w14:textFill>
                  <w14:solidFill>
                    <w14:schemeClr w14:val="tx1"/>
                  </w14:solidFill>
                </w14:textFill>
              </w:rPr>
              <w:t>8.36</w:t>
            </w:r>
            <w:r>
              <w:rPr>
                <w:rFonts w:hint="eastAsia"/>
                <w:color w:val="000000" w:themeColor="text1"/>
                <w14:textFill>
                  <w14:solidFill>
                    <w14:schemeClr w14:val="tx1"/>
                  </w14:solidFill>
                </w14:textFill>
              </w:rPr>
              <w:t>t，临界量为10t；丁烷的最大储存量为</w:t>
            </w:r>
            <w:r>
              <w:rPr>
                <w:color w:val="000000" w:themeColor="text1"/>
                <w14:textFill>
                  <w14:solidFill>
                    <w14:schemeClr w14:val="tx1"/>
                  </w14:solidFill>
                </w14:textFill>
              </w:rPr>
              <w:t>20.84</w:t>
            </w:r>
            <w:r>
              <w:rPr>
                <w:rFonts w:hint="eastAsia"/>
                <w:color w:val="000000" w:themeColor="text1"/>
                <w14:textFill>
                  <w14:solidFill>
                    <w14:schemeClr w14:val="tx1"/>
                  </w14:solidFill>
                </w14:textFill>
              </w:rPr>
              <w:t>t，临界量为10t。由于储存量超过了临界量，需进行环境风险专项评价（具体见环境风险专项评价）。</w:t>
            </w:r>
          </w:p>
          <w:p w14:paraId="49981875">
            <w:pPr>
              <w:ind w:firstLine="480"/>
              <w:textAlignment w:val="auto"/>
              <w:rPr>
                <w:rFonts w:cs="等线"/>
                <w:color w:val="000000" w:themeColor="text1"/>
                <w:szCs w:val="20"/>
                <w14:textFill>
                  <w14:solidFill>
                    <w14:schemeClr w14:val="tx1"/>
                  </w14:solidFill>
                </w14:textFill>
              </w:rPr>
            </w:pPr>
            <w:r>
              <w:rPr>
                <w:rFonts w:hint="eastAsia"/>
                <w:color w:val="000000" w:themeColor="text1"/>
                <w14:textFill>
                  <w14:solidFill>
                    <w14:schemeClr w14:val="tx1"/>
                  </w14:solidFill>
                </w14:textFill>
              </w:rPr>
              <w:t>项目生产工艺技术成熟，在生产过程中，严格按照安全生产规范操作，严格管理厂区存在的风险物质，可减小风险事故的发生概率。根据项目预测结果及分析，在发生环境风险事故时，建设单位立即相应环境风险应急预案，采取有效的风险防范措施，控制事态扩大，项目环境风险在可控范围内。</w:t>
            </w:r>
          </w:p>
          <w:p w14:paraId="6AEF2B20">
            <w:pPr>
              <w:pStyle w:val="3"/>
              <w:rPr>
                <w:rFonts w:cs="Times New Roman"/>
              </w:rPr>
            </w:pPr>
            <w:r>
              <w:rPr>
                <w:color w:val="000000" w:themeColor="text1"/>
                <w14:textFill>
                  <w14:solidFill>
                    <w14:schemeClr w14:val="tx1"/>
                  </w14:solidFill>
                </w14:textFill>
              </w:rPr>
              <w:t>4.8</w:t>
            </w:r>
            <w:r>
              <w:rPr>
                <w:rFonts w:cs="Times New Roman"/>
              </w:rPr>
              <w:t>环境保护计划</w:t>
            </w:r>
          </w:p>
          <w:p w14:paraId="745656AB">
            <w:pPr>
              <w:ind w:firstLine="480"/>
              <w:textAlignment w:val="auto"/>
              <w:rPr>
                <w:rFonts w:cs="Times New Roman"/>
                <w:color w:val="000000" w:themeColor="text1"/>
                <w14:textFill>
                  <w14:solidFill>
                    <w14:schemeClr w14:val="tx1"/>
                  </w14:solidFill>
                </w14:textFill>
              </w:rPr>
            </w:pPr>
            <w:r>
              <w:rPr>
                <w:rFonts w:hint="eastAsia"/>
              </w:rPr>
              <w:t>根据</w:t>
            </w:r>
            <w:r>
              <w:rPr>
                <w:rFonts w:hint="eastAsia" w:cs="Times New Roman"/>
                <w:color w:val="000000" w:themeColor="text1"/>
                <w14:textFill>
                  <w14:solidFill>
                    <w14:schemeClr w14:val="tx1"/>
                  </w14:solidFill>
                </w14:textFill>
              </w:rPr>
              <w:t>《排污单位自行监测技术指南</w:t>
            </w:r>
            <w:r>
              <w:rPr>
                <w:rFonts w:cs="Times New Roman"/>
                <w:color w:val="000000" w:themeColor="text1"/>
                <w14:textFill>
                  <w14:solidFill>
                    <w14:schemeClr w14:val="tx1"/>
                  </w14:solidFill>
                </w14:textFill>
              </w:rPr>
              <w:t xml:space="preserve"> </w:t>
            </w:r>
            <w:r>
              <w:rPr>
                <w:rFonts w:hint="eastAsia" w:cs="Times New Roman"/>
                <w:color w:val="000000" w:themeColor="text1"/>
                <w14:textFill>
                  <w14:solidFill>
                    <w14:schemeClr w14:val="tx1"/>
                  </w14:solidFill>
                </w14:textFill>
              </w:rPr>
              <w:t>总则》（</w:t>
            </w:r>
            <w:r>
              <w:rPr>
                <w:rFonts w:cs="Times New Roman"/>
                <w:color w:val="000000" w:themeColor="text1"/>
                <w14:textFill>
                  <w14:solidFill>
                    <w14:schemeClr w14:val="tx1"/>
                  </w14:solidFill>
                </w14:textFill>
              </w:rPr>
              <w:t>HJ819-2017</w:t>
            </w:r>
            <w:r>
              <w:rPr>
                <w:rFonts w:hint="eastAsia" w:cs="Times New Roman"/>
                <w:color w:val="000000" w:themeColor="text1"/>
                <w14:textFill>
                  <w14:solidFill>
                    <w14:schemeClr w14:val="tx1"/>
                  </w14:solidFill>
                </w14:textFill>
              </w:rPr>
              <w:t>），环境监测计划见表4</w:t>
            </w:r>
            <w:r>
              <w:rPr>
                <w:rFonts w:cs="Times New Roman"/>
                <w:color w:val="000000" w:themeColor="text1"/>
                <w14:textFill>
                  <w14:solidFill>
                    <w14:schemeClr w14:val="tx1"/>
                  </w14:solidFill>
                </w14:textFill>
              </w:rPr>
              <w:t>-9</w:t>
            </w:r>
            <w:r>
              <w:rPr>
                <w:rFonts w:hint="eastAsia" w:cs="Times New Roman"/>
                <w:color w:val="000000" w:themeColor="text1"/>
                <w14:textFill>
                  <w14:solidFill>
                    <w14:schemeClr w14:val="tx1"/>
                  </w14:solidFill>
                </w14:textFill>
              </w:rPr>
              <w:t>。</w:t>
            </w:r>
          </w:p>
          <w:p w14:paraId="2F47DBA1">
            <w:pPr>
              <w:spacing w:line="240" w:lineRule="auto"/>
              <w:ind w:firstLine="0" w:firstLineChars="0"/>
              <w:jc w:val="center"/>
              <w:textAlignment w:val="auto"/>
              <w:rPr>
                <w:rFonts w:cs="Times New Roman"/>
                <w:b/>
                <w:bCs/>
                <w:snapToGrid w:val="0"/>
                <w:kern w:val="0"/>
                <w:sz w:val="21"/>
                <w:szCs w:val="21"/>
              </w:rPr>
            </w:pPr>
            <w:r>
              <w:rPr>
                <w:rFonts w:hint="eastAsia" w:cs="Times New Roman"/>
                <w:b/>
                <w:bCs/>
                <w:snapToGrid w:val="0"/>
                <w:kern w:val="0"/>
                <w:sz w:val="21"/>
                <w:szCs w:val="21"/>
              </w:rPr>
              <w:t>表4-</w:t>
            </w:r>
            <w:r>
              <w:rPr>
                <w:rFonts w:cs="Times New Roman"/>
                <w:b/>
                <w:bCs/>
                <w:snapToGrid w:val="0"/>
                <w:kern w:val="0"/>
                <w:sz w:val="21"/>
                <w:szCs w:val="21"/>
              </w:rPr>
              <w:t>9</w:t>
            </w:r>
            <w:r>
              <w:rPr>
                <w:rFonts w:hint="eastAsia" w:cs="Times New Roman"/>
                <w:b/>
                <w:bCs/>
                <w:snapToGrid w:val="0"/>
                <w:kern w:val="0"/>
                <w:sz w:val="21"/>
                <w:szCs w:val="21"/>
              </w:rPr>
              <w:t xml:space="preserve"> </w:t>
            </w:r>
            <w:r>
              <w:rPr>
                <w:rFonts w:cs="Times New Roman"/>
                <w:b/>
                <w:bCs/>
                <w:snapToGrid w:val="0"/>
                <w:kern w:val="0"/>
                <w:sz w:val="21"/>
                <w:szCs w:val="21"/>
              </w:rPr>
              <w:t xml:space="preserve"> </w:t>
            </w:r>
            <w:r>
              <w:rPr>
                <w:rFonts w:hint="eastAsia" w:cs="Times New Roman"/>
                <w:b/>
                <w:bCs/>
                <w:snapToGrid w:val="0"/>
                <w:kern w:val="0"/>
                <w:sz w:val="21"/>
                <w:szCs w:val="21"/>
              </w:rPr>
              <w:t>运营期监测计划</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823"/>
              <w:gridCol w:w="1318"/>
              <w:gridCol w:w="4278"/>
            </w:tblGrid>
            <w:tr w14:paraId="4E600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l2br w:val="nil"/>
                    <w:tr2bl w:val="nil"/>
                  </w:tcBorders>
                  <w:tcMar>
                    <w:left w:w="0" w:type="dxa"/>
                    <w:right w:w="0" w:type="dxa"/>
                  </w:tcMar>
                  <w:vAlign w:val="center"/>
                </w:tcPr>
                <w:p w14:paraId="72C16C8D">
                  <w:pPr>
                    <w:spacing w:line="240" w:lineRule="auto"/>
                    <w:ind w:firstLine="0" w:firstLineChars="0"/>
                    <w:jc w:val="center"/>
                    <w:textAlignment w:val="auto"/>
                    <w:rPr>
                      <w:rFonts w:cs="Times New Roman"/>
                      <w:b/>
                      <w:snapToGrid w:val="0"/>
                      <w:kern w:val="0"/>
                      <w:sz w:val="21"/>
                      <w:szCs w:val="21"/>
                    </w:rPr>
                  </w:pPr>
                  <w:r>
                    <w:rPr>
                      <w:rFonts w:cs="Times New Roman"/>
                      <w:b/>
                      <w:snapToGrid w:val="0"/>
                      <w:kern w:val="0"/>
                      <w:sz w:val="21"/>
                      <w:szCs w:val="21"/>
                    </w:rPr>
                    <w:t>监测点位</w:t>
                  </w:r>
                </w:p>
              </w:tc>
              <w:tc>
                <w:tcPr>
                  <w:tcW w:w="1721" w:type="dxa"/>
                  <w:tcBorders>
                    <w:tl2br w:val="nil"/>
                    <w:tr2bl w:val="nil"/>
                  </w:tcBorders>
                  <w:tcMar>
                    <w:left w:w="0" w:type="dxa"/>
                    <w:right w:w="0" w:type="dxa"/>
                  </w:tcMar>
                  <w:vAlign w:val="center"/>
                </w:tcPr>
                <w:p w14:paraId="016E5EDA">
                  <w:pPr>
                    <w:spacing w:line="240" w:lineRule="auto"/>
                    <w:ind w:firstLine="0" w:firstLineChars="0"/>
                    <w:jc w:val="center"/>
                    <w:textAlignment w:val="auto"/>
                    <w:rPr>
                      <w:rFonts w:cs="Times New Roman"/>
                      <w:b/>
                      <w:snapToGrid w:val="0"/>
                      <w:kern w:val="0"/>
                      <w:sz w:val="21"/>
                      <w:szCs w:val="21"/>
                    </w:rPr>
                  </w:pPr>
                  <w:r>
                    <w:rPr>
                      <w:rFonts w:cs="Times New Roman"/>
                      <w:b/>
                      <w:snapToGrid w:val="0"/>
                      <w:kern w:val="0"/>
                      <w:sz w:val="21"/>
                      <w:szCs w:val="21"/>
                    </w:rPr>
                    <w:t>监测指标</w:t>
                  </w:r>
                </w:p>
              </w:tc>
              <w:tc>
                <w:tcPr>
                  <w:tcW w:w="1244" w:type="dxa"/>
                  <w:tcBorders>
                    <w:tl2br w:val="nil"/>
                    <w:tr2bl w:val="nil"/>
                  </w:tcBorders>
                  <w:tcMar>
                    <w:left w:w="0" w:type="dxa"/>
                    <w:right w:w="0" w:type="dxa"/>
                  </w:tcMar>
                  <w:vAlign w:val="center"/>
                </w:tcPr>
                <w:p w14:paraId="02398DF7">
                  <w:pPr>
                    <w:spacing w:line="240" w:lineRule="auto"/>
                    <w:ind w:firstLine="0" w:firstLineChars="0"/>
                    <w:jc w:val="center"/>
                    <w:textAlignment w:val="auto"/>
                    <w:rPr>
                      <w:rFonts w:cs="Times New Roman"/>
                      <w:b/>
                      <w:snapToGrid w:val="0"/>
                      <w:kern w:val="0"/>
                      <w:sz w:val="21"/>
                      <w:szCs w:val="21"/>
                    </w:rPr>
                  </w:pPr>
                  <w:r>
                    <w:rPr>
                      <w:rFonts w:cs="Times New Roman"/>
                      <w:b/>
                      <w:snapToGrid w:val="0"/>
                      <w:kern w:val="0"/>
                      <w:sz w:val="21"/>
                      <w:szCs w:val="21"/>
                    </w:rPr>
                    <w:t>监测频次</w:t>
                  </w:r>
                </w:p>
              </w:tc>
              <w:tc>
                <w:tcPr>
                  <w:tcW w:w="4038" w:type="dxa"/>
                  <w:tcBorders>
                    <w:tl2br w:val="nil"/>
                    <w:tr2bl w:val="nil"/>
                  </w:tcBorders>
                  <w:tcMar>
                    <w:left w:w="0" w:type="dxa"/>
                    <w:right w:w="0" w:type="dxa"/>
                  </w:tcMar>
                  <w:vAlign w:val="center"/>
                </w:tcPr>
                <w:p w14:paraId="7507FC1E">
                  <w:pPr>
                    <w:spacing w:line="240" w:lineRule="auto"/>
                    <w:ind w:firstLine="0" w:firstLineChars="0"/>
                    <w:jc w:val="center"/>
                    <w:textAlignment w:val="auto"/>
                    <w:rPr>
                      <w:rFonts w:cs="Times New Roman"/>
                      <w:b/>
                      <w:snapToGrid w:val="0"/>
                      <w:kern w:val="0"/>
                      <w:sz w:val="21"/>
                      <w:szCs w:val="21"/>
                    </w:rPr>
                  </w:pPr>
                  <w:r>
                    <w:rPr>
                      <w:rFonts w:cs="Times New Roman"/>
                      <w:b/>
                      <w:snapToGrid w:val="0"/>
                      <w:kern w:val="0"/>
                      <w:sz w:val="21"/>
                      <w:szCs w:val="21"/>
                    </w:rPr>
                    <w:t>执行排放标准</w:t>
                  </w:r>
                </w:p>
              </w:tc>
            </w:tr>
            <w:tr w14:paraId="7FF30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86" w:type="dxa"/>
                  <w:tcBorders>
                    <w:tl2br w:val="nil"/>
                    <w:tr2bl w:val="nil"/>
                  </w:tcBorders>
                  <w:tcMar>
                    <w:left w:w="0" w:type="dxa"/>
                    <w:right w:w="0" w:type="dxa"/>
                  </w:tcMar>
                  <w:vAlign w:val="center"/>
                </w:tcPr>
                <w:p w14:paraId="55673149">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厂区内</w:t>
                  </w:r>
                </w:p>
              </w:tc>
              <w:tc>
                <w:tcPr>
                  <w:tcW w:w="1721" w:type="dxa"/>
                  <w:tcBorders>
                    <w:tl2br w:val="nil"/>
                    <w:tr2bl w:val="nil"/>
                  </w:tcBorders>
                  <w:tcMar>
                    <w:left w:w="0" w:type="dxa"/>
                    <w:right w:w="0" w:type="dxa"/>
                  </w:tcMar>
                  <w:vAlign w:val="center"/>
                </w:tcPr>
                <w:p w14:paraId="72DA9ABA">
                  <w:pPr>
                    <w:spacing w:line="240" w:lineRule="auto"/>
                    <w:ind w:firstLine="0" w:firstLineChars="0"/>
                    <w:jc w:val="center"/>
                    <w:textAlignment w:val="auto"/>
                    <w:rPr>
                      <w:rFonts w:cs="Times New Roman"/>
                      <w:snapToGrid w:val="0"/>
                      <w:kern w:val="0"/>
                      <w:sz w:val="21"/>
                      <w:szCs w:val="21"/>
                    </w:rPr>
                  </w:pPr>
                  <w:r>
                    <w:rPr>
                      <w:rFonts w:hint="eastAsia" w:cs="Times New Roman"/>
                      <w:sz w:val="21"/>
                      <w:szCs w:val="21"/>
                    </w:rPr>
                    <w:t>无组织非甲烷总烃</w:t>
                  </w:r>
                </w:p>
              </w:tc>
              <w:tc>
                <w:tcPr>
                  <w:tcW w:w="1244" w:type="dxa"/>
                  <w:tcBorders>
                    <w:tl2br w:val="nil"/>
                    <w:tr2bl w:val="nil"/>
                  </w:tcBorders>
                  <w:tcMar>
                    <w:left w:w="0" w:type="dxa"/>
                    <w:right w:w="0" w:type="dxa"/>
                  </w:tcMar>
                  <w:vAlign w:val="center"/>
                </w:tcPr>
                <w:p w14:paraId="476ED046">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每年1次</w:t>
                  </w:r>
                </w:p>
              </w:tc>
              <w:tc>
                <w:tcPr>
                  <w:tcW w:w="4038" w:type="dxa"/>
                  <w:tcBorders>
                    <w:tl2br w:val="nil"/>
                    <w:tr2bl w:val="nil"/>
                  </w:tcBorders>
                  <w:tcMar>
                    <w:left w:w="0" w:type="dxa"/>
                    <w:right w:w="0" w:type="dxa"/>
                  </w:tcMar>
                  <w:vAlign w:val="center"/>
                </w:tcPr>
                <w:p w14:paraId="0138ED44">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w:t>
                  </w:r>
                  <w:r>
                    <w:rPr>
                      <w:rFonts w:cs="Times New Roman"/>
                      <w:snapToGrid w:val="0"/>
                      <w:kern w:val="0"/>
                      <w:sz w:val="21"/>
                      <w:szCs w:val="21"/>
                    </w:rPr>
                    <w:t>挥发性有机物无组织排放控制标准</w:t>
                  </w:r>
                  <w:r>
                    <w:rPr>
                      <w:rFonts w:hint="eastAsia" w:cs="Times New Roman"/>
                      <w:snapToGrid w:val="0"/>
                      <w:kern w:val="0"/>
                      <w:sz w:val="21"/>
                      <w:szCs w:val="21"/>
                    </w:rPr>
                    <w:t>》（GB37822-2019）表A.1中排放限值</w:t>
                  </w:r>
                </w:p>
              </w:tc>
            </w:tr>
            <w:tr w14:paraId="1ED34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86" w:type="dxa"/>
                  <w:tcBorders>
                    <w:tl2br w:val="nil"/>
                    <w:tr2bl w:val="nil"/>
                  </w:tcBorders>
                  <w:tcMar>
                    <w:left w:w="0" w:type="dxa"/>
                    <w:right w:w="0" w:type="dxa"/>
                  </w:tcMar>
                  <w:vAlign w:val="center"/>
                </w:tcPr>
                <w:p w14:paraId="29BC2A4E">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厂界外</w:t>
                  </w:r>
                </w:p>
              </w:tc>
              <w:tc>
                <w:tcPr>
                  <w:tcW w:w="1721" w:type="dxa"/>
                  <w:tcBorders>
                    <w:tl2br w:val="nil"/>
                    <w:tr2bl w:val="nil"/>
                  </w:tcBorders>
                  <w:tcMar>
                    <w:left w:w="0" w:type="dxa"/>
                    <w:right w:w="0" w:type="dxa"/>
                  </w:tcMar>
                  <w:vAlign w:val="center"/>
                </w:tcPr>
                <w:p w14:paraId="32AFC3C9">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无组织非甲烷总烃</w:t>
                  </w:r>
                </w:p>
              </w:tc>
              <w:tc>
                <w:tcPr>
                  <w:tcW w:w="1244" w:type="dxa"/>
                  <w:tcBorders>
                    <w:tl2br w:val="nil"/>
                    <w:tr2bl w:val="nil"/>
                  </w:tcBorders>
                  <w:tcMar>
                    <w:left w:w="0" w:type="dxa"/>
                    <w:right w:w="0" w:type="dxa"/>
                  </w:tcMar>
                  <w:vAlign w:val="center"/>
                </w:tcPr>
                <w:p w14:paraId="1BF6BA82">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每年1次</w:t>
                  </w:r>
                </w:p>
              </w:tc>
              <w:tc>
                <w:tcPr>
                  <w:tcW w:w="4038" w:type="dxa"/>
                  <w:tcBorders>
                    <w:tl2br w:val="nil"/>
                    <w:tr2bl w:val="nil"/>
                  </w:tcBorders>
                  <w:tcMar>
                    <w:left w:w="0" w:type="dxa"/>
                    <w:right w:w="0" w:type="dxa"/>
                  </w:tcMar>
                  <w:vAlign w:val="center"/>
                </w:tcPr>
                <w:p w14:paraId="635DC173">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《大气污染物综合排放标准》（GB16297-1996）表2中的无组织排放监控点浓度限值要求（4</w:t>
                  </w:r>
                  <w:r>
                    <w:rPr>
                      <w:rFonts w:cs="Times New Roman"/>
                      <w:snapToGrid w:val="0"/>
                      <w:kern w:val="0"/>
                      <w:sz w:val="21"/>
                      <w:szCs w:val="21"/>
                    </w:rPr>
                    <w:t>.0mg/m</w:t>
                  </w:r>
                  <w:r>
                    <w:rPr>
                      <w:rFonts w:cs="Times New Roman"/>
                      <w:snapToGrid w:val="0"/>
                      <w:kern w:val="0"/>
                      <w:sz w:val="21"/>
                      <w:szCs w:val="21"/>
                      <w:vertAlign w:val="superscript"/>
                    </w:rPr>
                    <w:t>3</w:t>
                  </w:r>
                  <w:r>
                    <w:rPr>
                      <w:rFonts w:hint="eastAsia" w:cs="Times New Roman"/>
                      <w:snapToGrid w:val="0"/>
                      <w:kern w:val="0"/>
                      <w:sz w:val="21"/>
                      <w:szCs w:val="21"/>
                    </w:rPr>
                    <w:t>）</w:t>
                  </w:r>
                </w:p>
              </w:tc>
            </w:tr>
            <w:tr w14:paraId="68E37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86" w:type="dxa"/>
                  <w:tcBorders>
                    <w:tl2br w:val="nil"/>
                    <w:tr2bl w:val="nil"/>
                  </w:tcBorders>
                  <w:tcMar>
                    <w:left w:w="0" w:type="dxa"/>
                    <w:right w:w="0" w:type="dxa"/>
                  </w:tcMar>
                  <w:vAlign w:val="center"/>
                </w:tcPr>
                <w:p w14:paraId="2AC1E11C">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厂界</w:t>
                  </w:r>
                  <w:r>
                    <w:rPr>
                      <w:rFonts w:hint="eastAsia" w:cs="Times New Roman"/>
                      <w:snapToGrid w:val="0"/>
                      <w:kern w:val="0"/>
                      <w:sz w:val="21"/>
                      <w:szCs w:val="21"/>
                    </w:rPr>
                    <w:t>四周</w:t>
                  </w:r>
                </w:p>
              </w:tc>
              <w:tc>
                <w:tcPr>
                  <w:tcW w:w="1721" w:type="dxa"/>
                  <w:tcBorders>
                    <w:tl2br w:val="nil"/>
                    <w:tr2bl w:val="nil"/>
                  </w:tcBorders>
                  <w:tcMar>
                    <w:left w:w="0" w:type="dxa"/>
                    <w:right w:w="0" w:type="dxa"/>
                  </w:tcMar>
                  <w:vAlign w:val="center"/>
                </w:tcPr>
                <w:p w14:paraId="6AE5C124">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噪声</w:t>
                  </w:r>
                </w:p>
              </w:tc>
              <w:tc>
                <w:tcPr>
                  <w:tcW w:w="1244" w:type="dxa"/>
                  <w:tcBorders>
                    <w:tl2br w:val="nil"/>
                    <w:tr2bl w:val="nil"/>
                  </w:tcBorders>
                  <w:tcMar>
                    <w:left w:w="0" w:type="dxa"/>
                    <w:right w:w="0" w:type="dxa"/>
                  </w:tcMar>
                  <w:vAlign w:val="center"/>
                </w:tcPr>
                <w:p w14:paraId="0B2F7758">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每季度1次</w:t>
                  </w:r>
                </w:p>
              </w:tc>
              <w:tc>
                <w:tcPr>
                  <w:tcW w:w="4038" w:type="dxa"/>
                  <w:tcBorders>
                    <w:tl2br w:val="nil"/>
                    <w:tr2bl w:val="nil"/>
                  </w:tcBorders>
                  <w:tcMar>
                    <w:left w:w="0" w:type="dxa"/>
                    <w:right w:w="0" w:type="dxa"/>
                  </w:tcMar>
                  <w:vAlign w:val="center"/>
                </w:tcPr>
                <w:p w14:paraId="370228C9">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《工业企业厂界环境噪声排放标准》（GB12348-2008）3类</w:t>
                  </w:r>
                </w:p>
              </w:tc>
            </w:tr>
          </w:tbl>
          <w:p w14:paraId="79FBB34A">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环保投资</w:t>
            </w:r>
          </w:p>
          <w:p w14:paraId="481A1FC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本项目总投资约</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万元，其中环保投资</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万元，占总投资的</w:t>
            </w:r>
            <w:r>
              <w:rPr>
                <w:color w:val="000000" w:themeColor="text1"/>
                <w14:textFill>
                  <w14:solidFill>
                    <w14:schemeClr w14:val="tx1"/>
                  </w14:solidFill>
                </w14:textFill>
              </w:rPr>
              <w:t>5.8%</w:t>
            </w:r>
            <w:r>
              <w:rPr>
                <w:rFonts w:hint="eastAsia"/>
                <w:color w:val="000000" w:themeColor="text1"/>
                <w14:textFill>
                  <w14:solidFill>
                    <w14:schemeClr w14:val="tx1"/>
                  </w14:solidFill>
                </w14:textFill>
              </w:rPr>
              <w:t>。环保投资估算一览表见表</w:t>
            </w:r>
            <w:r>
              <w:rPr>
                <w:color w:val="000000" w:themeColor="text1"/>
                <w14:textFill>
                  <w14:solidFill>
                    <w14:schemeClr w14:val="tx1"/>
                  </w14:solidFill>
                </w14:textFill>
              </w:rPr>
              <w:t>4-10</w:t>
            </w:r>
            <w:r>
              <w:rPr>
                <w:rFonts w:hint="eastAsia"/>
                <w:color w:val="000000" w:themeColor="text1"/>
                <w14:textFill>
                  <w14:solidFill>
                    <w14:schemeClr w14:val="tx1"/>
                  </w14:solidFill>
                </w14:textFill>
              </w:rPr>
              <w:t>。</w:t>
            </w:r>
          </w:p>
          <w:p w14:paraId="2D4320D7">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环保投资一览表</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64"/>
              <w:gridCol w:w="1678"/>
              <w:gridCol w:w="1079"/>
              <w:gridCol w:w="4194"/>
              <w:gridCol w:w="1161"/>
            </w:tblGrid>
            <w:tr w14:paraId="3B5C1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trPr>
              <w:tc>
                <w:tcPr>
                  <w:tcW w:w="1914" w:type="pct"/>
                  <w:gridSpan w:val="3"/>
                  <w:tcBorders>
                    <w:tl2br w:val="nil"/>
                    <w:tr2bl w:val="nil"/>
                  </w:tcBorders>
                  <w:vAlign w:val="center"/>
                </w:tcPr>
                <w:p w14:paraId="034FAD61">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w:t>
                  </w:r>
                </w:p>
              </w:tc>
              <w:tc>
                <w:tcPr>
                  <w:tcW w:w="2417" w:type="pct"/>
                  <w:tcBorders>
                    <w:tl2br w:val="nil"/>
                    <w:tr2bl w:val="nil"/>
                  </w:tcBorders>
                  <w:vAlign w:val="center"/>
                </w:tcPr>
                <w:p w14:paraId="22BB0A7A">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治理措施</w:t>
                  </w:r>
                </w:p>
              </w:tc>
              <w:tc>
                <w:tcPr>
                  <w:tcW w:w="669" w:type="pct"/>
                  <w:tcBorders>
                    <w:tl2br w:val="nil"/>
                    <w:tr2bl w:val="nil"/>
                  </w:tcBorders>
                  <w:vAlign w:val="center"/>
                </w:tcPr>
                <w:p w14:paraId="7C8DB28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投资</w:t>
                  </w:r>
                </w:p>
                <w:p w14:paraId="6307BFF6">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r>
            <w:tr w14:paraId="26A5A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trPr>
              <w:tc>
                <w:tcPr>
                  <w:tcW w:w="325" w:type="pct"/>
                  <w:vMerge w:val="restart"/>
                  <w:tcBorders>
                    <w:tl2br w:val="nil"/>
                    <w:tr2bl w:val="nil"/>
                  </w:tcBorders>
                  <w:vAlign w:val="center"/>
                </w:tcPr>
                <w:p w14:paraId="576634E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运营期环保措施</w:t>
                  </w:r>
                </w:p>
              </w:tc>
              <w:tc>
                <w:tcPr>
                  <w:tcW w:w="967" w:type="pct"/>
                  <w:tcBorders>
                    <w:tl2br w:val="nil"/>
                    <w:tr2bl w:val="nil"/>
                  </w:tcBorders>
                  <w:vAlign w:val="center"/>
                </w:tcPr>
                <w:p w14:paraId="0709417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w:t>
                  </w:r>
                </w:p>
              </w:tc>
              <w:tc>
                <w:tcPr>
                  <w:tcW w:w="622" w:type="pct"/>
                  <w:tcBorders>
                    <w:tl2br w:val="nil"/>
                    <w:tr2bl w:val="nil"/>
                  </w:tcBorders>
                  <w:vAlign w:val="center"/>
                </w:tcPr>
                <w:p w14:paraId="092226A4">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液化气废气</w:t>
                  </w:r>
                </w:p>
              </w:tc>
              <w:tc>
                <w:tcPr>
                  <w:tcW w:w="2417" w:type="pct"/>
                  <w:tcBorders>
                    <w:tl2br w:val="nil"/>
                    <w:tr2bl w:val="nil"/>
                  </w:tcBorders>
                  <w:vAlign w:val="center"/>
                </w:tcPr>
                <w:p w14:paraId="7E3106F7">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充装车间和气体瓶库内安装可燃气体泄漏报警器，确保安全运行；车间设置通风系统；灌装工艺和储存气瓶少量泄漏废气经通风系统无组织排放</w:t>
                  </w:r>
                </w:p>
              </w:tc>
              <w:tc>
                <w:tcPr>
                  <w:tcW w:w="669" w:type="pct"/>
                  <w:tcBorders>
                    <w:tl2br w:val="nil"/>
                    <w:tr2bl w:val="nil"/>
                  </w:tcBorders>
                  <w:vAlign w:val="center"/>
                </w:tcPr>
                <w:p w14:paraId="39E52412">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4A7E7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325" w:type="pct"/>
                  <w:vMerge w:val="continue"/>
                  <w:tcBorders>
                    <w:tl2br w:val="nil"/>
                    <w:tr2bl w:val="nil"/>
                  </w:tcBorders>
                  <w:vAlign w:val="center"/>
                </w:tcPr>
                <w:p w14:paraId="3C1A6E7F">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5D0DCB89">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废水</w:t>
                  </w:r>
                </w:p>
              </w:tc>
              <w:tc>
                <w:tcPr>
                  <w:tcW w:w="622" w:type="pct"/>
                  <w:tcBorders>
                    <w:tl2br w:val="nil"/>
                    <w:tr2bl w:val="nil"/>
                  </w:tcBorders>
                  <w:vAlign w:val="center"/>
                </w:tcPr>
                <w:p w14:paraId="754638F5">
                  <w:pPr>
                    <w:pStyle w:val="32"/>
                    <w:rPr>
                      <w:color w:val="000000" w:themeColor="text1"/>
                      <w:szCs w:val="21"/>
                      <w14:textFill>
                        <w14:solidFill>
                          <w14:schemeClr w14:val="tx1"/>
                        </w14:solidFill>
                      </w14:textFill>
                    </w:rPr>
                  </w:pPr>
                  <w:r>
                    <w:rPr>
                      <w:rFonts w:hint="eastAsia"/>
                      <w:szCs w:val="21"/>
                    </w:rPr>
                    <w:t>生活污水</w:t>
                  </w:r>
                </w:p>
              </w:tc>
              <w:tc>
                <w:tcPr>
                  <w:tcW w:w="2417" w:type="pct"/>
                  <w:tcBorders>
                    <w:tl2br w:val="nil"/>
                    <w:tr2bl w:val="nil"/>
                  </w:tcBorders>
                  <w:vAlign w:val="center"/>
                </w:tcPr>
                <w:p w14:paraId="22040851">
                  <w:pPr>
                    <w:pStyle w:val="32"/>
                    <w:rPr>
                      <w:color w:val="000000" w:themeColor="text1"/>
                      <w:szCs w:val="21"/>
                      <w14:textFill>
                        <w14:solidFill>
                          <w14:schemeClr w14:val="tx1"/>
                        </w14:solidFill>
                      </w14:textFill>
                    </w:rPr>
                  </w:pPr>
                  <w:r>
                    <w:rPr>
                      <w:rFonts w:hint="eastAsia"/>
                      <w:szCs w:val="21"/>
                    </w:rPr>
                    <w:t>生活污水经化粪池预处理后由吸污车拉运至和静县污水处理厂处理</w:t>
                  </w:r>
                </w:p>
              </w:tc>
              <w:tc>
                <w:tcPr>
                  <w:tcW w:w="669" w:type="pct"/>
                  <w:tcBorders>
                    <w:tl2br w:val="nil"/>
                    <w:tr2bl w:val="nil"/>
                  </w:tcBorders>
                  <w:vAlign w:val="center"/>
                </w:tcPr>
                <w:p w14:paraId="0FBFC1E7">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14:paraId="7D872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25" w:type="pct"/>
                  <w:vMerge w:val="continue"/>
                  <w:tcBorders>
                    <w:tl2br w:val="nil"/>
                    <w:tr2bl w:val="nil"/>
                  </w:tcBorders>
                  <w:vAlign w:val="center"/>
                </w:tcPr>
                <w:p w14:paraId="6FAB86DE">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2261F63A">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噪声</w:t>
                  </w:r>
                </w:p>
              </w:tc>
              <w:tc>
                <w:tcPr>
                  <w:tcW w:w="622" w:type="pct"/>
                  <w:tcBorders>
                    <w:tl2br w:val="nil"/>
                    <w:tr2bl w:val="nil"/>
                  </w:tcBorders>
                  <w:vAlign w:val="center"/>
                </w:tcPr>
                <w:p w14:paraId="232FC10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设备噪声</w:t>
                  </w:r>
                </w:p>
              </w:tc>
              <w:tc>
                <w:tcPr>
                  <w:tcW w:w="2417" w:type="pct"/>
                  <w:tcBorders>
                    <w:tl2br w:val="nil"/>
                    <w:tr2bl w:val="nil"/>
                  </w:tcBorders>
                  <w:vAlign w:val="center"/>
                </w:tcPr>
                <w:p w14:paraId="7A0DC91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项目选用低噪声设备，并采取基础减震、隔声等降噪措施，同时结合厂区绿化，有效降低噪声污染</w:t>
                  </w:r>
                  <w:r>
                    <w:rPr>
                      <w:color w:val="000000" w:themeColor="text1"/>
                      <w:szCs w:val="21"/>
                      <w14:textFill>
                        <w14:solidFill>
                          <w14:schemeClr w14:val="tx1"/>
                        </w14:solidFill>
                      </w14:textFill>
                    </w:rPr>
                    <w:t xml:space="preserve"> </w:t>
                  </w:r>
                </w:p>
              </w:tc>
              <w:tc>
                <w:tcPr>
                  <w:tcW w:w="669" w:type="pct"/>
                  <w:tcBorders>
                    <w:tl2br w:val="nil"/>
                    <w:tr2bl w:val="nil"/>
                  </w:tcBorders>
                  <w:vAlign w:val="center"/>
                </w:tcPr>
                <w:p w14:paraId="7DE962FB">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r>
            <w:tr w14:paraId="25E75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325" w:type="pct"/>
                  <w:vMerge w:val="continue"/>
                  <w:tcBorders>
                    <w:tl2br w:val="nil"/>
                    <w:tr2bl w:val="nil"/>
                  </w:tcBorders>
                  <w:vAlign w:val="center"/>
                </w:tcPr>
                <w:p w14:paraId="448A838F">
                  <w:pPr>
                    <w:pStyle w:val="32"/>
                    <w:rPr>
                      <w:color w:val="000000" w:themeColor="text1"/>
                      <w:szCs w:val="21"/>
                      <w14:textFill>
                        <w14:solidFill>
                          <w14:schemeClr w14:val="tx1"/>
                        </w14:solidFill>
                      </w14:textFill>
                    </w:rPr>
                  </w:pPr>
                </w:p>
              </w:tc>
              <w:tc>
                <w:tcPr>
                  <w:tcW w:w="967" w:type="pct"/>
                  <w:vMerge w:val="restart"/>
                  <w:tcBorders>
                    <w:tl2br w:val="nil"/>
                    <w:tr2bl w:val="nil"/>
                  </w:tcBorders>
                  <w:vAlign w:val="center"/>
                </w:tcPr>
                <w:p w14:paraId="10E5F053">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固体废物</w:t>
                  </w:r>
                </w:p>
              </w:tc>
              <w:tc>
                <w:tcPr>
                  <w:tcW w:w="622" w:type="pct"/>
                  <w:tcBorders>
                    <w:tl2br w:val="nil"/>
                    <w:tr2bl w:val="nil"/>
                  </w:tcBorders>
                  <w:vAlign w:val="center"/>
                </w:tcPr>
                <w:p w14:paraId="60415ECA">
                  <w:pPr>
                    <w:pStyle w:val="32"/>
                    <w:rPr>
                      <w:rFonts w:ascii="宋体" w:hAnsi="宋体" w:cs="宋体"/>
                      <w:szCs w:val="21"/>
                    </w:rPr>
                  </w:pPr>
                  <w:r>
                    <w:rPr>
                      <w:rFonts w:hint="eastAsia" w:ascii="宋体" w:hAnsi="宋体" w:cs="宋体"/>
                      <w:szCs w:val="21"/>
                    </w:rPr>
                    <w:t>生活垃圾</w:t>
                  </w:r>
                </w:p>
              </w:tc>
              <w:tc>
                <w:tcPr>
                  <w:tcW w:w="2417" w:type="pct"/>
                  <w:tcBorders>
                    <w:tl2br w:val="nil"/>
                    <w:tr2bl w:val="nil"/>
                  </w:tcBorders>
                  <w:vAlign w:val="center"/>
                </w:tcPr>
                <w:p w14:paraId="46DE65E4">
                  <w:pPr>
                    <w:pStyle w:val="32"/>
                    <w:rPr>
                      <w:color w:val="000000" w:themeColor="text1"/>
                      <w:szCs w:val="21"/>
                      <w14:textFill>
                        <w14:solidFill>
                          <w14:schemeClr w14:val="tx1"/>
                        </w14:solidFill>
                      </w14:textFill>
                    </w:rPr>
                  </w:pPr>
                  <w:r>
                    <w:rPr>
                      <w:rFonts w:hint="eastAsia" w:cs="Times New Roman"/>
                      <w:color w:val="000000"/>
                    </w:rPr>
                    <w:t>生活垃圾集中收集至垃圾箱后由环卫部门统一清运</w:t>
                  </w:r>
                </w:p>
              </w:tc>
              <w:tc>
                <w:tcPr>
                  <w:tcW w:w="669" w:type="pct"/>
                  <w:tcBorders>
                    <w:tl2br w:val="nil"/>
                    <w:tr2bl w:val="nil"/>
                  </w:tcBorders>
                  <w:vAlign w:val="center"/>
                </w:tcPr>
                <w:p w14:paraId="5CF7B4F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14:paraId="0044C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325" w:type="pct"/>
                  <w:vMerge w:val="continue"/>
                  <w:tcBorders>
                    <w:tl2br w:val="nil"/>
                    <w:tr2bl w:val="nil"/>
                  </w:tcBorders>
                  <w:vAlign w:val="center"/>
                </w:tcPr>
                <w:p w14:paraId="368CB61F">
                  <w:pPr>
                    <w:pStyle w:val="32"/>
                    <w:rPr>
                      <w:color w:val="000000" w:themeColor="text1"/>
                      <w:szCs w:val="21"/>
                      <w14:textFill>
                        <w14:solidFill>
                          <w14:schemeClr w14:val="tx1"/>
                        </w14:solidFill>
                      </w14:textFill>
                    </w:rPr>
                  </w:pPr>
                </w:p>
              </w:tc>
              <w:tc>
                <w:tcPr>
                  <w:tcW w:w="967" w:type="pct"/>
                  <w:vMerge w:val="continue"/>
                  <w:tcBorders>
                    <w:tl2br w:val="nil"/>
                    <w:tr2bl w:val="nil"/>
                  </w:tcBorders>
                  <w:vAlign w:val="center"/>
                </w:tcPr>
                <w:p w14:paraId="4F338E1D">
                  <w:pPr>
                    <w:pStyle w:val="32"/>
                    <w:rPr>
                      <w:color w:val="000000" w:themeColor="text1"/>
                      <w:szCs w:val="21"/>
                      <w14:textFill>
                        <w14:solidFill>
                          <w14:schemeClr w14:val="tx1"/>
                        </w14:solidFill>
                      </w14:textFill>
                    </w:rPr>
                  </w:pPr>
                </w:p>
              </w:tc>
              <w:tc>
                <w:tcPr>
                  <w:tcW w:w="622" w:type="pct"/>
                  <w:tcBorders>
                    <w:tl2br w:val="nil"/>
                    <w:tr2bl w:val="nil"/>
                  </w:tcBorders>
                  <w:vAlign w:val="center"/>
                </w:tcPr>
                <w:p w14:paraId="07DFD9FC">
                  <w:pPr>
                    <w:pStyle w:val="32"/>
                    <w:rPr>
                      <w:rFonts w:ascii="宋体" w:hAnsi="宋体" w:cs="宋体"/>
                      <w:szCs w:val="21"/>
                    </w:rPr>
                  </w:pPr>
                  <w:r>
                    <w:rPr>
                      <w:rFonts w:hint="eastAsia" w:ascii="宋体" w:hAnsi="宋体" w:cs="宋体"/>
                      <w:szCs w:val="21"/>
                    </w:rPr>
                    <w:t>残液回收</w:t>
                  </w:r>
                </w:p>
              </w:tc>
              <w:tc>
                <w:tcPr>
                  <w:tcW w:w="2417" w:type="pct"/>
                  <w:tcBorders>
                    <w:tl2br w:val="nil"/>
                    <w:tr2bl w:val="nil"/>
                  </w:tcBorders>
                  <w:vAlign w:val="center"/>
                </w:tcPr>
                <w:p w14:paraId="31BA5E28">
                  <w:pPr>
                    <w:pStyle w:val="32"/>
                    <w:rPr>
                      <w:rFonts w:cs="Times New Roman"/>
                      <w:color w:val="000000"/>
                    </w:rPr>
                  </w:pPr>
                  <w:r>
                    <w:rPr>
                      <w:rFonts w:hint="eastAsia" w:cs="Times New Roman"/>
                      <w:color w:val="000000"/>
                      <w:szCs w:val="24"/>
                    </w:rPr>
                    <w:t>钢瓶内的残液被抽入残液罐集中收集，并交由丁烷、丙烷供应单位回收，用作燃料等生产利用</w:t>
                  </w:r>
                </w:p>
              </w:tc>
              <w:tc>
                <w:tcPr>
                  <w:tcW w:w="669" w:type="pct"/>
                  <w:tcBorders>
                    <w:tl2br w:val="nil"/>
                    <w:tr2bl w:val="nil"/>
                  </w:tcBorders>
                  <w:vAlign w:val="center"/>
                </w:tcPr>
                <w:p w14:paraId="55BAF48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14:paraId="0E4F2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25" w:type="pct"/>
                  <w:vMerge w:val="continue"/>
                  <w:tcBorders>
                    <w:tl2br w:val="nil"/>
                    <w:tr2bl w:val="nil"/>
                  </w:tcBorders>
                  <w:vAlign w:val="center"/>
                </w:tcPr>
                <w:p w14:paraId="694B38C9">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05CE60E6">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地下水、土壤</w:t>
                  </w:r>
                </w:p>
              </w:tc>
              <w:tc>
                <w:tcPr>
                  <w:tcW w:w="3039" w:type="pct"/>
                  <w:gridSpan w:val="2"/>
                  <w:tcBorders>
                    <w:tl2br w:val="nil"/>
                    <w:tr2bl w:val="nil"/>
                  </w:tcBorders>
                  <w:vAlign w:val="center"/>
                </w:tcPr>
                <w:p w14:paraId="59680C4E">
                  <w:pPr>
                    <w:pStyle w:val="32"/>
                    <w:rPr>
                      <w:color w:val="000000"/>
                      <w:szCs w:val="21"/>
                    </w:rPr>
                  </w:pPr>
                  <w:r>
                    <w:rPr>
                      <w:rFonts w:hint="eastAsia"/>
                      <w:color w:val="000000"/>
                      <w:szCs w:val="21"/>
                    </w:rPr>
                    <w:t>源头控制、分区防渗系统</w:t>
                  </w:r>
                </w:p>
              </w:tc>
              <w:tc>
                <w:tcPr>
                  <w:tcW w:w="669" w:type="pct"/>
                  <w:tcBorders>
                    <w:tl2br w:val="nil"/>
                    <w:tr2bl w:val="nil"/>
                  </w:tcBorders>
                  <w:vAlign w:val="center"/>
                </w:tcPr>
                <w:p w14:paraId="07ACE162">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r>
            <w:tr w14:paraId="12EB0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325" w:type="pct"/>
                  <w:vMerge w:val="continue"/>
                  <w:tcBorders>
                    <w:tl2br w:val="nil"/>
                    <w:tr2bl w:val="nil"/>
                  </w:tcBorders>
                  <w:vAlign w:val="center"/>
                </w:tcPr>
                <w:p w14:paraId="0D7D0635">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1063D581">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环境风险</w:t>
                  </w:r>
                </w:p>
              </w:tc>
              <w:tc>
                <w:tcPr>
                  <w:tcW w:w="3039" w:type="pct"/>
                  <w:gridSpan w:val="2"/>
                  <w:tcBorders>
                    <w:tl2br w:val="nil"/>
                    <w:tr2bl w:val="nil"/>
                  </w:tcBorders>
                  <w:vAlign w:val="center"/>
                </w:tcPr>
                <w:p w14:paraId="61027CD2">
                  <w:pPr>
                    <w:pStyle w:val="32"/>
                    <w:rPr>
                      <w:color w:val="000000"/>
                      <w:szCs w:val="21"/>
                    </w:rPr>
                  </w:pPr>
                  <w:r>
                    <w:rPr>
                      <w:rFonts w:hint="eastAsia"/>
                      <w:color w:val="000000"/>
                      <w:szCs w:val="21"/>
                    </w:rPr>
                    <w:t>严格控制丁烷、丙烷的气质；进一步提高工艺管线、阀门及用气设备和钢瓶质量，加强日常维护保养；站区设置可燃气体报警器；加强</w:t>
                  </w:r>
                  <w:r>
                    <w:rPr>
                      <w:rFonts w:hint="eastAsia"/>
                      <w:color w:val="000000" w:themeColor="text1"/>
                      <w:szCs w:val="21"/>
                      <w14:textFill>
                        <w14:solidFill>
                          <w14:schemeClr w14:val="tx1"/>
                        </w14:solidFill>
                      </w14:textFill>
                    </w:rPr>
                    <w:t>丁烷、丙烷</w:t>
                  </w:r>
                  <w:r>
                    <w:rPr>
                      <w:rFonts w:hint="eastAsia"/>
                      <w:color w:val="000000"/>
                      <w:szCs w:val="21"/>
                    </w:rPr>
                    <w:t>运输管理措施；</w:t>
                  </w:r>
                  <w:r>
                    <w:rPr>
                      <w:rFonts w:hint="eastAsia"/>
                      <w:bCs/>
                    </w:rPr>
                    <w:t>应定期修订环境应急预案</w:t>
                  </w:r>
                </w:p>
              </w:tc>
              <w:tc>
                <w:tcPr>
                  <w:tcW w:w="669" w:type="pct"/>
                  <w:tcBorders>
                    <w:tl2br w:val="nil"/>
                    <w:tr2bl w:val="nil"/>
                  </w:tcBorders>
                  <w:vAlign w:val="center"/>
                </w:tcPr>
                <w:p w14:paraId="377B5EA7">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r>
            <w:tr w14:paraId="64104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325" w:type="pct"/>
                  <w:vMerge w:val="continue"/>
                  <w:tcBorders>
                    <w:tl2br w:val="nil"/>
                    <w:tr2bl w:val="nil"/>
                  </w:tcBorders>
                  <w:vAlign w:val="center"/>
                </w:tcPr>
                <w:p w14:paraId="5DBBB704">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05690BAB">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绿化</w:t>
                  </w:r>
                </w:p>
              </w:tc>
              <w:tc>
                <w:tcPr>
                  <w:tcW w:w="3039" w:type="pct"/>
                  <w:gridSpan w:val="2"/>
                  <w:tcBorders>
                    <w:tl2br w:val="nil"/>
                    <w:tr2bl w:val="nil"/>
                  </w:tcBorders>
                  <w:vAlign w:val="center"/>
                </w:tcPr>
                <w:p w14:paraId="29F15239">
                  <w:pPr>
                    <w:pStyle w:val="32"/>
                    <w:rPr>
                      <w:color w:val="000000"/>
                      <w:szCs w:val="21"/>
                    </w:rPr>
                  </w:pPr>
                  <w:r>
                    <w:rPr>
                      <w:rFonts w:hint="eastAsia"/>
                      <w:color w:val="000000"/>
                      <w:szCs w:val="21"/>
                    </w:rPr>
                    <w:t>绿化面积约</w:t>
                  </w:r>
                  <w:r>
                    <w:rPr>
                      <w:color w:val="000000"/>
                      <w:szCs w:val="21"/>
                    </w:rPr>
                    <w:t>4120</w:t>
                  </w:r>
                  <w:r>
                    <w:rPr>
                      <w:rFonts w:hint="eastAsia"/>
                      <w:color w:val="000000"/>
                      <w:szCs w:val="21"/>
                    </w:rPr>
                    <w:t>m</w:t>
                  </w:r>
                  <w:r>
                    <w:rPr>
                      <w:rFonts w:hint="eastAsia"/>
                      <w:color w:val="000000"/>
                      <w:szCs w:val="21"/>
                      <w:vertAlign w:val="superscript"/>
                    </w:rPr>
                    <w:t>2</w:t>
                  </w:r>
                </w:p>
              </w:tc>
              <w:tc>
                <w:tcPr>
                  <w:tcW w:w="669" w:type="pct"/>
                  <w:tcBorders>
                    <w:tl2br w:val="nil"/>
                    <w:tr2bl w:val="nil"/>
                  </w:tcBorders>
                  <w:vAlign w:val="center"/>
                </w:tcPr>
                <w:p w14:paraId="29EC29E7">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r>
            <w:tr w14:paraId="196AC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6" w:hRule="atLeast"/>
              </w:trPr>
              <w:tc>
                <w:tcPr>
                  <w:tcW w:w="325" w:type="pct"/>
                  <w:vMerge w:val="continue"/>
                  <w:tcBorders>
                    <w:tl2br w:val="nil"/>
                    <w:tr2bl w:val="nil"/>
                  </w:tcBorders>
                  <w:vAlign w:val="center"/>
                </w:tcPr>
                <w:p w14:paraId="6008CF93">
                  <w:pPr>
                    <w:pStyle w:val="32"/>
                    <w:rPr>
                      <w:color w:val="000000" w:themeColor="text1"/>
                      <w:szCs w:val="21"/>
                      <w14:textFill>
                        <w14:solidFill>
                          <w14:schemeClr w14:val="tx1"/>
                        </w14:solidFill>
                      </w14:textFill>
                    </w:rPr>
                  </w:pPr>
                </w:p>
              </w:tc>
              <w:tc>
                <w:tcPr>
                  <w:tcW w:w="967" w:type="pct"/>
                  <w:tcBorders>
                    <w:tl2br w:val="nil"/>
                    <w:tr2bl w:val="nil"/>
                  </w:tcBorders>
                  <w:vAlign w:val="center"/>
                </w:tcPr>
                <w:p w14:paraId="4D1017C3">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环境管理和人员培训</w:t>
                  </w:r>
                </w:p>
              </w:tc>
              <w:tc>
                <w:tcPr>
                  <w:tcW w:w="3039" w:type="pct"/>
                  <w:gridSpan w:val="2"/>
                  <w:tcBorders>
                    <w:tl2br w:val="nil"/>
                    <w:tr2bl w:val="nil"/>
                  </w:tcBorders>
                  <w:vAlign w:val="center"/>
                </w:tcPr>
                <w:p w14:paraId="7D6C7A1D">
                  <w:pPr>
                    <w:pStyle w:val="32"/>
                    <w:rPr>
                      <w:color w:val="000000"/>
                      <w:szCs w:val="21"/>
                    </w:rPr>
                  </w:pPr>
                  <w:r>
                    <w:rPr>
                      <w:rFonts w:hint="eastAsia"/>
                      <w:color w:val="000000"/>
                      <w:szCs w:val="21"/>
                    </w:rPr>
                    <w:t>设立专职环境管理机构，环保人员负责环境管理，落实环境监测计划，对废气、废水、噪声等排放进行监测和控制；定期进行人员安全培训，建立健全安全管理制度，制定各种人员的安全责任制</w:t>
                  </w:r>
                </w:p>
              </w:tc>
              <w:tc>
                <w:tcPr>
                  <w:tcW w:w="669" w:type="pct"/>
                  <w:tcBorders>
                    <w:tl2br w:val="nil"/>
                    <w:tr2bl w:val="nil"/>
                  </w:tcBorders>
                  <w:vAlign w:val="center"/>
                </w:tcPr>
                <w:p w14:paraId="4595A86A">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r>
            <w:tr w14:paraId="47DCA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4331" w:type="pct"/>
                  <w:gridSpan w:val="4"/>
                  <w:tcBorders>
                    <w:tl2br w:val="nil"/>
                    <w:tr2bl w:val="nil"/>
                  </w:tcBorders>
                  <w:vAlign w:val="center"/>
                </w:tcPr>
                <w:p w14:paraId="30E151A9">
                  <w:pPr>
                    <w:pStyle w:val="32"/>
                    <w:rPr>
                      <w:rFonts w:ascii="宋体" w:cs="宋体" w:hAnsiTheme="minorHAnsi"/>
                      <w:color w:val="000000" w:themeColor="text1"/>
                      <w:kern w:val="0"/>
                      <w:szCs w:val="21"/>
                      <w14:textFill>
                        <w14:solidFill>
                          <w14:schemeClr w14:val="tx1"/>
                        </w14:solidFill>
                      </w14:textFill>
                    </w:rPr>
                  </w:pPr>
                  <w:r>
                    <w:rPr>
                      <w:rFonts w:hint="eastAsia" w:ascii="宋体" w:cs="宋体" w:hAnsiTheme="minorHAnsi"/>
                      <w:color w:val="000000" w:themeColor="text1"/>
                      <w:kern w:val="0"/>
                      <w:szCs w:val="21"/>
                      <w14:textFill>
                        <w14:solidFill>
                          <w14:schemeClr w14:val="tx1"/>
                        </w14:solidFill>
                      </w14:textFill>
                    </w:rPr>
                    <w:t>合计</w:t>
                  </w:r>
                </w:p>
              </w:tc>
              <w:tc>
                <w:tcPr>
                  <w:tcW w:w="669" w:type="pct"/>
                  <w:tcBorders>
                    <w:tl2br w:val="nil"/>
                    <w:tr2bl w:val="nil"/>
                  </w:tcBorders>
                  <w:vAlign w:val="center"/>
                </w:tcPr>
                <w:p w14:paraId="4F068301">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9</w:t>
                  </w:r>
                </w:p>
              </w:tc>
            </w:tr>
          </w:tbl>
          <w:p w14:paraId="7761B7E0">
            <w:pPr>
              <w:pStyle w:val="3"/>
              <w:rPr>
                <w:rFonts w:cs="Times New Roman"/>
              </w:rPr>
            </w:pPr>
            <w:bookmarkStart w:id="31" w:name="_Toc46264568"/>
            <w:r>
              <w:rPr>
                <w:rFonts w:hint="eastAsia" w:cs="Times New Roman"/>
              </w:rPr>
              <w:t>4.</w:t>
            </w:r>
            <w:r>
              <w:rPr>
                <w:rFonts w:cs="Times New Roman"/>
              </w:rPr>
              <w:t>10项目“三同时”验收要求</w:t>
            </w:r>
            <w:bookmarkEnd w:id="31"/>
          </w:p>
          <w:p w14:paraId="7AD7FFE9">
            <w:pPr>
              <w:ind w:firstLine="480"/>
              <w:rPr>
                <w:rFonts w:cs="Times New Roman"/>
                <w:color w:val="000000"/>
                <w:kern w:val="0"/>
                <w:szCs w:val="20"/>
              </w:rPr>
            </w:pPr>
            <w:r>
              <w:rPr>
                <w:rFonts w:cs="Times New Roman"/>
                <w:color w:val="000000"/>
                <w:kern w:val="0"/>
                <w:szCs w:val="20"/>
              </w:rPr>
              <w:t>根据《中华人民共和国环境保护法》规定，建设项目污染防治设施必须与主体</w:t>
            </w:r>
            <w:r>
              <w:rPr>
                <w:rFonts w:hint="eastAsia" w:cs="Times New Roman"/>
                <w:color w:val="000000"/>
                <w:kern w:val="0"/>
                <w:szCs w:val="20"/>
              </w:rPr>
              <w:t>项目</w:t>
            </w:r>
            <w:r>
              <w:rPr>
                <w:rFonts w:cs="Times New Roman"/>
                <w:color w:val="000000"/>
                <w:kern w:val="0"/>
                <w:szCs w:val="20"/>
              </w:rPr>
              <w:t>同时设计、同时施工、同时投入运行，而污染防治设施建设“三同时”验收是严格控制新污染源和污染物排放总量、遏制环境恶化趋势的有力措施。“三同时”验收具体见下表</w:t>
            </w:r>
            <w:r>
              <w:rPr>
                <w:rFonts w:hint="eastAsia" w:cs="Times New Roman"/>
                <w:color w:val="000000"/>
                <w:kern w:val="0"/>
                <w:szCs w:val="20"/>
              </w:rPr>
              <w:t>4-1</w:t>
            </w:r>
            <w:r>
              <w:rPr>
                <w:rFonts w:cs="Times New Roman"/>
                <w:color w:val="000000"/>
                <w:kern w:val="0"/>
                <w:szCs w:val="20"/>
              </w:rPr>
              <w:t>1。</w:t>
            </w:r>
          </w:p>
          <w:p w14:paraId="4B819171">
            <w:pPr>
              <w:ind w:firstLine="480"/>
              <w:rPr>
                <w:rFonts w:cs="Times New Roman"/>
              </w:rPr>
            </w:pPr>
            <w:r>
              <w:rPr>
                <w:rFonts w:cs="Times New Roman"/>
                <w:color w:val="000000"/>
                <w:kern w:val="0"/>
                <w:szCs w:val="20"/>
              </w:rPr>
              <w:t>项目建成后，建设单位应按照国务院环境保护行政主管部门规定的标准和程序，对配套建设的环境保护设施进行验收，并编制验收报告。</w:t>
            </w:r>
          </w:p>
          <w:p w14:paraId="44B5895F">
            <w:pPr>
              <w:pStyle w:val="37"/>
              <w:spacing w:before="163"/>
              <w:rPr>
                <w:rFonts w:cs="Times New Roman"/>
              </w:rPr>
            </w:pPr>
            <w:r>
              <w:rPr>
                <w:rFonts w:cs="Times New Roman"/>
              </w:rPr>
              <w:t>表</w:t>
            </w:r>
            <w:r>
              <w:rPr>
                <w:rFonts w:hint="eastAsia" w:cs="Times New Roman"/>
              </w:rPr>
              <w:t>4-1</w:t>
            </w:r>
            <w:r>
              <w:rPr>
                <w:rFonts w:cs="Times New Roman"/>
              </w:rPr>
              <w:t>1  竣工环保验收一览表（建议）</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8"/>
              <w:gridCol w:w="1277"/>
              <w:gridCol w:w="2978"/>
              <w:gridCol w:w="3623"/>
            </w:tblGrid>
            <w:tr w14:paraId="48C17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0" w:type="pct"/>
                  <w:tcBorders>
                    <w:tl2br w:val="nil"/>
                    <w:tr2bl w:val="nil"/>
                  </w:tcBorders>
                  <w:vAlign w:val="center"/>
                </w:tcPr>
                <w:p w14:paraId="0363DBE1">
                  <w:pPr>
                    <w:spacing w:line="240" w:lineRule="auto"/>
                    <w:ind w:firstLine="0" w:firstLineChars="0"/>
                    <w:contextualSpacing/>
                    <w:jc w:val="center"/>
                    <w:rPr>
                      <w:rFonts w:cs="Times New Roman"/>
                      <w:color w:val="000000"/>
                      <w:sz w:val="21"/>
                    </w:rPr>
                  </w:pPr>
                  <w:r>
                    <w:rPr>
                      <w:rFonts w:cs="Times New Roman"/>
                      <w:color w:val="000000"/>
                      <w:sz w:val="21"/>
                    </w:rPr>
                    <w:t>污染源</w:t>
                  </w:r>
                </w:p>
              </w:tc>
              <w:tc>
                <w:tcPr>
                  <w:tcW w:w="736" w:type="pct"/>
                  <w:tcBorders>
                    <w:tl2br w:val="nil"/>
                    <w:tr2bl w:val="nil"/>
                  </w:tcBorders>
                  <w:vAlign w:val="center"/>
                </w:tcPr>
                <w:p w14:paraId="28F6FC77">
                  <w:pPr>
                    <w:spacing w:line="240" w:lineRule="auto"/>
                    <w:ind w:firstLine="0" w:firstLineChars="0"/>
                    <w:contextualSpacing/>
                    <w:jc w:val="center"/>
                    <w:rPr>
                      <w:rFonts w:cs="Times New Roman"/>
                      <w:color w:val="000000"/>
                      <w:sz w:val="21"/>
                    </w:rPr>
                  </w:pPr>
                  <w:r>
                    <w:rPr>
                      <w:rFonts w:cs="Times New Roman"/>
                      <w:color w:val="000000"/>
                      <w:sz w:val="21"/>
                    </w:rPr>
                    <w:t>污染物</w:t>
                  </w:r>
                </w:p>
              </w:tc>
              <w:tc>
                <w:tcPr>
                  <w:tcW w:w="1716" w:type="pct"/>
                  <w:tcBorders>
                    <w:tl2br w:val="nil"/>
                    <w:tr2bl w:val="nil"/>
                  </w:tcBorders>
                  <w:vAlign w:val="center"/>
                </w:tcPr>
                <w:p w14:paraId="26401DC6">
                  <w:pPr>
                    <w:spacing w:line="240" w:lineRule="auto"/>
                    <w:ind w:firstLine="0" w:firstLineChars="0"/>
                    <w:contextualSpacing/>
                    <w:jc w:val="center"/>
                    <w:rPr>
                      <w:rFonts w:cs="Times New Roman"/>
                      <w:color w:val="000000"/>
                      <w:sz w:val="21"/>
                    </w:rPr>
                  </w:pPr>
                  <w:r>
                    <w:rPr>
                      <w:rFonts w:cs="Times New Roman"/>
                      <w:color w:val="000000"/>
                      <w:sz w:val="21"/>
                    </w:rPr>
                    <w:t>环境治理措施</w:t>
                  </w:r>
                </w:p>
              </w:tc>
              <w:tc>
                <w:tcPr>
                  <w:tcW w:w="2087" w:type="pct"/>
                  <w:tcBorders>
                    <w:tl2br w:val="nil"/>
                    <w:tr2bl w:val="nil"/>
                  </w:tcBorders>
                  <w:vAlign w:val="center"/>
                </w:tcPr>
                <w:p w14:paraId="04C305C8">
                  <w:pPr>
                    <w:spacing w:line="240" w:lineRule="auto"/>
                    <w:ind w:firstLine="0" w:firstLineChars="0"/>
                    <w:contextualSpacing/>
                    <w:jc w:val="center"/>
                    <w:rPr>
                      <w:rFonts w:cs="Times New Roman"/>
                      <w:color w:val="000000"/>
                      <w:sz w:val="21"/>
                    </w:rPr>
                  </w:pPr>
                  <w:r>
                    <w:rPr>
                      <w:rFonts w:cs="Times New Roman"/>
                      <w:color w:val="000000"/>
                      <w:sz w:val="21"/>
                    </w:rPr>
                    <w:t>验收标准</w:t>
                  </w:r>
                </w:p>
              </w:tc>
            </w:tr>
            <w:tr w14:paraId="157E7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460" w:type="pct"/>
                  <w:vMerge w:val="restart"/>
                  <w:tcBorders>
                    <w:tl2br w:val="nil"/>
                    <w:tr2bl w:val="nil"/>
                  </w:tcBorders>
                  <w:vAlign w:val="center"/>
                </w:tcPr>
                <w:p w14:paraId="41DBF3AC">
                  <w:pPr>
                    <w:spacing w:line="240" w:lineRule="auto"/>
                    <w:ind w:firstLine="0" w:firstLineChars="0"/>
                    <w:contextualSpacing/>
                    <w:jc w:val="center"/>
                    <w:rPr>
                      <w:rFonts w:cs="Times New Roman"/>
                      <w:color w:val="000000"/>
                      <w:sz w:val="21"/>
                    </w:rPr>
                  </w:pPr>
                  <w:r>
                    <w:rPr>
                      <w:rFonts w:cs="Times New Roman"/>
                      <w:color w:val="000000"/>
                      <w:sz w:val="21"/>
                    </w:rPr>
                    <w:t>废气</w:t>
                  </w:r>
                </w:p>
              </w:tc>
              <w:tc>
                <w:tcPr>
                  <w:tcW w:w="736" w:type="pct"/>
                  <w:tcBorders>
                    <w:tl2br w:val="nil"/>
                    <w:tr2bl w:val="nil"/>
                  </w:tcBorders>
                  <w:vAlign w:val="center"/>
                </w:tcPr>
                <w:p w14:paraId="2E1FD51E">
                  <w:pPr>
                    <w:spacing w:line="240" w:lineRule="auto"/>
                    <w:ind w:firstLine="0" w:firstLineChars="0"/>
                    <w:contextualSpacing/>
                    <w:jc w:val="center"/>
                    <w:rPr>
                      <w:rFonts w:cs="Times New Roman"/>
                      <w:color w:val="000000"/>
                      <w:sz w:val="21"/>
                    </w:rPr>
                  </w:pPr>
                  <w:r>
                    <w:rPr>
                      <w:rFonts w:hint="eastAsia"/>
                      <w:sz w:val="21"/>
                      <w:szCs w:val="21"/>
                    </w:rPr>
                    <w:t>无组织非甲烷总烃</w:t>
                  </w:r>
                </w:p>
              </w:tc>
              <w:tc>
                <w:tcPr>
                  <w:tcW w:w="1716" w:type="pct"/>
                  <w:tcBorders>
                    <w:tl2br w:val="nil"/>
                    <w:tr2bl w:val="nil"/>
                  </w:tcBorders>
                  <w:vAlign w:val="center"/>
                </w:tcPr>
                <w:p w14:paraId="163FAC41">
                  <w:pPr>
                    <w:spacing w:line="240" w:lineRule="auto"/>
                    <w:ind w:firstLine="0" w:firstLineChars="0"/>
                    <w:contextualSpacing/>
                    <w:rPr>
                      <w:rFonts w:cs="Times New Roman"/>
                      <w:color w:val="000000"/>
                      <w:sz w:val="21"/>
                    </w:rPr>
                  </w:pPr>
                  <w:r>
                    <w:rPr>
                      <w:rFonts w:hint="eastAsia"/>
                      <w:sz w:val="21"/>
                      <w:szCs w:val="21"/>
                    </w:rPr>
                    <w:t>充装车间和气体瓶库内安装可燃气体泄漏报警器，确保安全运行；车间设置通风系统；灌装工艺和储存气瓶少量泄漏废气经通风系统无组织排放</w:t>
                  </w:r>
                </w:p>
              </w:tc>
              <w:tc>
                <w:tcPr>
                  <w:tcW w:w="2087" w:type="pct"/>
                  <w:tcBorders>
                    <w:tl2br w:val="nil"/>
                    <w:tr2bl w:val="nil"/>
                  </w:tcBorders>
                  <w:vAlign w:val="center"/>
                </w:tcPr>
                <w:p w14:paraId="23BFF09D">
                  <w:pPr>
                    <w:spacing w:line="240" w:lineRule="auto"/>
                    <w:ind w:firstLine="0" w:firstLineChars="0"/>
                    <w:contextualSpacing/>
                    <w:jc w:val="center"/>
                    <w:rPr>
                      <w:rFonts w:cs="Times New Roman"/>
                      <w:color w:val="000000"/>
                      <w:sz w:val="21"/>
                    </w:rPr>
                  </w:pPr>
                  <w:r>
                    <w:rPr>
                      <w:rFonts w:cs="Times New Roman"/>
                      <w:color w:val="000000"/>
                      <w:sz w:val="21"/>
                      <w:szCs w:val="21"/>
                    </w:rPr>
                    <w:t>《大气污染物</w:t>
                  </w:r>
                  <w:r>
                    <w:rPr>
                      <w:rFonts w:hint="eastAsia" w:cs="Times New Roman"/>
                      <w:color w:val="000000"/>
                      <w:sz w:val="21"/>
                      <w:szCs w:val="21"/>
                    </w:rPr>
                    <w:t>综合</w:t>
                  </w:r>
                  <w:r>
                    <w:rPr>
                      <w:rFonts w:cs="Times New Roman"/>
                      <w:color w:val="000000"/>
                      <w:sz w:val="21"/>
                      <w:szCs w:val="21"/>
                    </w:rPr>
                    <w:t>排放标准》（GB</w:t>
                  </w:r>
                  <w:r>
                    <w:rPr>
                      <w:rFonts w:hint="eastAsia" w:cs="Times New Roman"/>
                      <w:color w:val="000000"/>
                      <w:sz w:val="21"/>
                      <w:szCs w:val="21"/>
                    </w:rPr>
                    <w:t>16297</w:t>
                  </w:r>
                  <w:r>
                    <w:rPr>
                      <w:rFonts w:cs="Times New Roman"/>
                      <w:color w:val="000000"/>
                      <w:sz w:val="21"/>
                      <w:szCs w:val="21"/>
                    </w:rPr>
                    <w:t>-</w:t>
                  </w:r>
                  <w:r>
                    <w:rPr>
                      <w:rFonts w:hint="eastAsia" w:cs="Times New Roman"/>
                      <w:color w:val="000000"/>
                      <w:sz w:val="21"/>
                      <w:szCs w:val="21"/>
                    </w:rPr>
                    <w:t>1996</w:t>
                  </w:r>
                  <w:r>
                    <w:rPr>
                      <w:rFonts w:cs="Times New Roman"/>
                      <w:color w:val="000000"/>
                      <w:sz w:val="21"/>
                      <w:szCs w:val="21"/>
                    </w:rPr>
                    <w:t>）</w:t>
                  </w:r>
                  <w:r>
                    <w:rPr>
                      <w:rFonts w:hint="eastAsia" w:cs="Times New Roman"/>
                      <w:color w:val="000000"/>
                      <w:sz w:val="21"/>
                      <w:szCs w:val="21"/>
                    </w:rPr>
                    <w:t>表2中的</w:t>
                  </w:r>
                  <w:r>
                    <w:rPr>
                      <w:rFonts w:cs="Times New Roman"/>
                      <w:color w:val="000000"/>
                      <w:sz w:val="21"/>
                      <w:szCs w:val="21"/>
                    </w:rPr>
                    <w:t>无组织排放监控点浓度限值</w:t>
                  </w:r>
                  <w:r>
                    <w:rPr>
                      <w:rFonts w:hint="eastAsia" w:cs="Times New Roman"/>
                      <w:color w:val="000000"/>
                      <w:sz w:val="21"/>
                      <w:szCs w:val="21"/>
                    </w:rPr>
                    <w:t>要求（</w:t>
                  </w:r>
                  <w:r>
                    <w:rPr>
                      <w:rFonts w:cs="Times New Roman"/>
                      <w:color w:val="000000"/>
                      <w:sz w:val="21"/>
                      <w:szCs w:val="21"/>
                    </w:rPr>
                    <w:t>4</w:t>
                  </w:r>
                  <w:r>
                    <w:rPr>
                      <w:rFonts w:hint="eastAsia" w:cs="Times New Roman"/>
                      <w:color w:val="000000"/>
                      <w:sz w:val="21"/>
                      <w:szCs w:val="21"/>
                    </w:rPr>
                    <w:t>mg/m</w:t>
                  </w:r>
                  <w:r>
                    <w:rPr>
                      <w:rFonts w:hint="eastAsia" w:cs="Times New Roman"/>
                      <w:color w:val="000000"/>
                      <w:sz w:val="21"/>
                      <w:szCs w:val="21"/>
                      <w:vertAlign w:val="superscript"/>
                    </w:rPr>
                    <w:t>3</w:t>
                  </w:r>
                  <w:r>
                    <w:rPr>
                      <w:rFonts w:hint="eastAsia" w:cs="Times New Roman"/>
                      <w:color w:val="000000"/>
                      <w:sz w:val="21"/>
                      <w:szCs w:val="21"/>
                    </w:rPr>
                    <w:t>）</w:t>
                  </w:r>
                </w:p>
              </w:tc>
            </w:tr>
            <w:tr w14:paraId="33F62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60" w:type="pct"/>
                  <w:vMerge w:val="continue"/>
                  <w:tcBorders>
                    <w:tl2br w:val="nil"/>
                    <w:tr2bl w:val="nil"/>
                  </w:tcBorders>
                  <w:vAlign w:val="center"/>
                </w:tcPr>
                <w:p w14:paraId="2FA61FCB">
                  <w:pPr>
                    <w:spacing w:line="240" w:lineRule="auto"/>
                    <w:ind w:firstLine="0" w:firstLineChars="0"/>
                    <w:contextualSpacing/>
                    <w:jc w:val="center"/>
                    <w:rPr>
                      <w:rFonts w:cs="Times New Roman"/>
                      <w:color w:val="000000"/>
                      <w:sz w:val="21"/>
                    </w:rPr>
                  </w:pPr>
                </w:p>
              </w:tc>
              <w:tc>
                <w:tcPr>
                  <w:tcW w:w="736" w:type="pct"/>
                  <w:tcBorders>
                    <w:tl2br w:val="nil"/>
                    <w:tr2bl w:val="nil"/>
                  </w:tcBorders>
                  <w:vAlign w:val="center"/>
                </w:tcPr>
                <w:p w14:paraId="131E8E95">
                  <w:pPr>
                    <w:spacing w:line="240" w:lineRule="auto"/>
                    <w:ind w:firstLine="0" w:firstLineChars="0"/>
                    <w:contextualSpacing/>
                    <w:jc w:val="center"/>
                    <w:rPr>
                      <w:sz w:val="21"/>
                      <w:szCs w:val="21"/>
                    </w:rPr>
                  </w:pPr>
                  <w:r>
                    <w:rPr>
                      <w:rFonts w:hint="eastAsia" w:cs="Times New Roman"/>
                      <w:color w:val="000000"/>
                      <w:sz w:val="21"/>
                      <w:szCs w:val="21"/>
                    </w:rPr>
                    <w:t>厂区内非甲烷总烃</w:t>
                  </w:r>
                </w:p>
              </w:tc>
              <w:tc>
                <w:tcPr>
                  <w:tcW w:w="1716" w:type="pct"/>
                  <w:tcBorders>
                    <w:tl2br w:val="nil"/>
                    <w:tr2bl w:val="nil"/>
                  </w:tcBorders>
                  <w:vAlign w:val="center"/>
                </w:tcPr>
                <w:p w14:paraId="1650A9D2">
                  <w:pPr>
                    <w:spacing w:line="240" w:lineRule="auto"/>
                    <w:ind w:firstLine="0" w:firstLineChars="0"/>
                    <w:contextualSpacing/>
                    <w:jc w:val="center"/>
                    <w:rPr>
                      <w:rFonts w:cs="Times New Roman"/>
                      <w:color w:val="000000"/>
                      <w:sz w:val="21"/>
                    </w:rPr>
                  </w:pPr>
                  <w:r>
                    <w:rPr>
                      <w:rFonts w:hint="eastAsia" w:cs="Times New Roman"/>
                      <w:color w:val="000000"/>
                      <w:sz w:val="21"/>
                    </w:rPr>
                    <w:t>采用密闭充装</w:t>
                  </w:r>
                </w:p>
              </w:tc>
              <w:tc>
                <w:tcPr>
                  <w:tcW w:w="2087" w:type="pct"/>
                  <w:tcBorders>
                    <w:tl2br w:val="nil"/>
                    <w:tr2bl w:val="nil"/>
                  </w:tcBorders>
                  <w:vAlign w:val="center"/>
                </w:tcPr>
                <w:p w14:paraId="2F8F9FE7">
                  <w:pPr>
                    <w:spacing w:line="240" w:lineRule="auto"/>
                    <w:ind w:firstLine="0" w:firstLineChars="0"/>
                    <w:contextualSpacing/>
                    <w:jc w:val="center"/>
                    <w:rPr>
                      <w:sz w:val="21"/>
                      <w:szCs w:val="21"/>
                    </w:rPr>
                  </w:pPr>
                  <w:r>
                    <w:rPr>
                      <w:rFonts w:hint="eastAsia" w:cs="Times New Roman"/>
                      <w:color w:val="000000"/>
                      <w:sz w:val="21"/>
                      <w:szCs w:val="21"/>
                    </w:rPr>
                    <w:t>《挥发性有机物无组织排放控制标准》（GB37822-2019）表A.1厂区内VOCs无组织排放限值</w:t>
                  </w:r>
                </w:p>
              </w:tc>
            </w:tr>
            <w:tr w14:paraId="7AAB0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60" w:type="pct"/>
                  <w:tcBorders>
                    <w:tl2br w:val="nil"/>
                    <w:tr2bl w:val="nil"/>
                  </w:tcBorders>
                  <w:vAlign w:val="center"/>
                </w:tcPr>
                <w:p w14:paraId="053978AF">
                  <w:pPr>
                    <w:spacing w:line="240" w:lineRule="auto"/>
                    <w:ind w:firstLine="0" w:firstLineChars="0"/>
                    <w:contextualSpacing/>
                    <w:jc w:val="center"/>
                    <w:rPr>
                      <w:rFonts w:cs="Times New Roman"/>
                      <w:color w:val="000000"/>
                      <w:sz w:val="21"/>
                    </w:rPr>
                  </w:pPr>
                  <w:r>
                    <w:rPr>
                      <w:rFonts w:cs="Times New Roman"/>
                      <w:color w:val="000000"/>
                      <w:sz w:val="21"/>
                    </w:rPr>
                    <w:t>废水</w:t>
                  </w:r>
                </w:p>
              </w:tc>
              <w:tc>
                <w:tcPr>
                  <w:tcW w:w="736" w:type="pct"/>
                  <w:tcBorders>
                    <w:tl2br w:val="nil"/>
                    <w:tr2bl w:val="nil"/>
                  </w:tcBorders>
                  <w:vAlign w:val="center"/>
                </w:tcPr>
                <w:p w14:paraId="08D77864">
                  <w:pPr>
                    <w:spacing w:line="240" w:lineRule="auto"/>
                    <w:ind w:firstLine="0" w:firstLineChars="0"/>
                    <w:contextualSpacing/>
                    <w:jc w:val="center"/>
                    <w:rPr>
                      <w:rFonts w:cs="Times New Roman"/>
                      <w:color w:val="000000"/>
                      <w:sz w:val="21"/>
                    </w:rPr>
                  </w:pPr>
                  <w:r>
                    <w:rPr>
                      <w:rFonts w:cs="Times New Roman"/>
                      <w:color w:val="000000"/>
                      <w:sz w:val="21"/>
                    </w:rPr>
                    <w:t>生</w:t>
                  </w:r>
                  <w:r>
                    <w:rPr>
                      <w:rFonts w:hint="eastAsia" w:cs="Times New Roman"/>
                      <w:color w:val="000000"/>
                      <w:sz w:val="21"/>
                    </w:rPr>
                    <w:t>活污</w:t>
                  </w:r>
                  <w:r>
                    <w:rPr>
                      <w:rFonts w:cs="Times New Roman"/>
                      <w:color w:val="000000"/>
                      <w:sz w:val="21"/>
                    </w:rPr>
                    <w:t>水</w:t>
                  </w:r>
                </w:p>
              </w:tc>
              <w:tc>
                <w:tcPr>
                  <w:tcW w:w="1716" w:type="pct"/>
                  <w:tcBorders>
                    <w:tl2br w:val="nil"/>
                    <w:tr2bl w:val="nil"/>
                  </w:tcBorders>
                  <w:vAlign w:val="center"/>
                </w:tcPr>
                <w:p w14:paraId="4D324B40">
                  <w:pPr>
                    <w:spacing w:line="240" w:lineRule="auto"/>
                    <w:ind w:firstLine="0" w:firstLineChars="0"/>
                    <w:contextualSpacing/>
                    <w:jc w:val="center"/>
                    <w:rPr>
                      <w:rFonts w:cs="Times New Roman"/>
                      <w:color w:val="000000"/>
                      <w:sz w:val="21"/>
                    </w:rPr>
                  </w:pPr>
                  <w:r>
                    <w:rPr>
                      <w:rFonts w:hint="eastAsia" w:cs="Times New Roman"/>
                      <w:color w:val="000000"/>
                      <w:sz w:val="21"/>
                    </w:rPr>
                    <w:t>生活污水经化粪池预处理后由吸污车拉运至和静县污水处理厂处理</w:t>
                  </w:r>
                </w:p>
              </w:tc>
              <w:tc>
                <w:tcPr>
                  <w:tcW w:w="2087" w:type="pct"/>
                  <w:tcBorders>
                    <w:tl2br w:val="nil"/>
                    <w:tr2bl w:val="nil"/>
                  </w:tcBorders>
                  <w:vAlign w:val="center"/>
                </w:tcPr>
                <w:p w14:paraId="1D7DB590">
                  <w:pPr>
                    <w:spacing w:line="240" w:lineRule="auto"/>
                    <w:ind w:firstLine="0" w:firstLineChars="0"/>
                    <w:contextualSpacing/>
                    <w:jc w:val="center"/>
                    <w:rPr>
                      <w:rFonts w:cs="Times New Roman"/>
                      <w:color w:val="000000"/>
                      <w:sz w:val="21"/>
                    </w:rPr>
                  </w:pPr>
                  <w:r>
                    <w:rPr>
                      <w:rFonts w:hint="eastAsia" w:cs="Times New Roman"/>
                      <w:color w:val="000000"/>
                      <w:sz w:val="21"/>
                    </w:rPr>
                    <w:t>《污水综合排放标准》（GB8978-1996）表4三级标准要求</w:t>
                  </w:r>
                </w:p>
              </w:tc>
            </w:tr>
            <w:tr w14:paraId="1BA25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0" w:type="pct"/>
                  <w:tcBorders>
                    <w:tl2br w:val="nil"/>
                    <w:tr2bl w:val="nil"/>
                  </w:tcBorders>
                  <w:vAlign w:val="center"/>
                </w:tcPr>
                <w:p w14:paraId="0EC1FBF4">
                  <w:pPr>
                    <w:spacing w:line="240" w:lineRule="auto"/>
                    <w:ind w:firstLine="0" w:firstLineChars="0"/>
                    <w:contextualSpacing/>
                    <w:jc w:val="center"/>
                    <w:rPr>
                      <w:rFonts w:cs="Times New Roman"/>
                      <w:color w:val="000000"/>
                      <w:sz w:val="21"/>
                    </w:rPr>
                  </w:pPr>
                  <w:r>
                    <w:rPr>
                      <w:rFonts w:cs="Times New Roman"/>
                      <w:color w:val="000000"/>
                      <w:sz w:val="21"/>
                    </w:rPr>
                    <w:t>噪声</w:t>
                  </w:r>
                </w:p>
              </w:tc>
              <w:tc>
                <w:tcPr>
                  <w:tcW w:w="736" w:type="pct"/>
                  <w:tcBorders>
                    <w:tl2br w:val="nil"/>
                    <w:tr2bl w:val="nil"/>
                  </w:tcBorders>
                  <w:vAlign w:val="center"/>
                </w:tcPr>
                <w:p w14:paraId="42EB8300">
                  <w:pPr>
                    <w:spacing w:line="240" w:lineRule="auto"/>
                    <w:ind w:firstLine="0" w:firstLineChars="0"/>
                    <w:contextualSpacing/>
                    <w:jc w:val="center"/>
                    <w:rPr>
                      <w:rFonts w:cs="Times New Roman"/>
                      <w:color w:val="000000"/>
                      <w:sz w:val="21"/>
                    </w:rPr>
                  </w:pPr>
                  <w:r>
                    <w:rPr>
                      <w:rFonts w:cs="Times New Roman"/>
                      <w:color w:val="000000"/>
                      <w:sz w:val="21"/>
                    </w:rPr>
                    <w:t>设备噪声</w:t>
                  </w:r>
                </w:p>
              </w:tc>
              <w:tc>
                <w:tcPr>
                  <w:tcW w:w="1716" w:type="pct"/>
                  <w:tcBorders>
                    <w:tl2br w:val="nil"/>
                    <w:tr2bl w:val="nil"/>
                  </w:tcBorders>
                  <w:vAlign w:val="center"/>
                </w:tcPr>
                <w:p w14:paraId="600D7C27">
                  <w:pPr>
                    <w:spacing w:line="240" w:lineRule="auto"/>
                    <w:ind w:firstLine="0" w:firstLineChars="0"/>
                    <w:contextualSpacing/>
                    <w:jc w:val="center"/>
                    <w:rPr>
                      <w:rFonts w:cs="Times New Roman"/>
                      <w:color w:val="000000"/>
                      <w:sz w:val="21"/>
                    </w:rPr>
                  </w:pPr>
                  <w:r>
                    <w:rPr>
                      <w:rFonts w:hint="eastAsia" w:cs="Times New Roman"/>
                      <w:color w:val="000000"/>
                      <w:sz w:val="21"/>
                    </w:rPr>
                    <w:t>项目选用低噪声设备，并采取基础减震、隔声等降噪措施，同时结合厂区绿化，有效降低噪声污染</w:t>
                  </w:r>
                </w:p>
              </w:tc>
              <w:tc>
                <w:tcPr>
                  <w:tcW w:w="2087" w:type="pct"/>
                  <w:tcBorders>
                    <w:tl2br w:val="nil"/>
                    <w:tr2bl w:val="nil"/>
                  </w:tcBorders>
                  <w:vAlign w:val="center"/>
                </w:tcPr>
                <w:p w14:paraId="0060C641">
                  <w:pPr>
                    <w:spacing w:line="240" w:lineRule="auto"/>
                    <w:ind w:firstLine="0" w:firstLineChars="0"/>
                    <w:contextualSpacing/>
                    <w:jc w:val="center"/>
                    <w:rPr>
                      <w:rFonts w:cs="Times New Roman"/>
                      <w:color w:val="000000"/>
                      <w:sz w:val="21"/>
                    </w:rPr>
                  </w:pPr>
                  <w:r>
                    <w:rPr>
                      <w:rFonts w:cs="Times New Roman"/>
                      <w:color w:val="000000"/>
                      <w:sz w:val="21"/>
                      <w:lang w:bidi="ar"/>
                    </w:rPr>
                    <w:t>《工业企业厂界环境噪声排放标准》（GB12348-2008）3类标准</w:t>
                  </w:r>
                </w:p>
              </w:tc>
            </w:tr>
            <w:tr w14:paraId="7AD7E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 w:hRule="atLeast"/>
              </w:trPr>
              <w:tc>
                <w:tcPr>
                  <w:tcW w:w="460" w:type="pct"/>
                  <w:vMerge w:val="restart"/>
                  <w:tcBorders>
                    <w:tl2br w:val="nil"/>
                    <w:tr2bl w:val="nil"/>
                  </w:tcBorders>
                  <w:vAlign w:val="center"/>
                </w:tcPr>
                <w:p w14:paraId="3DD0B66B">
                  <w:pPr>
                    <w:spacing w:line="240" w:lineRule="auto"/>
                    <w:ind w:firstLine="0" w:firstLineChars="0"/>
                    <w:contextualSpacing/>
                    <w:jc w:val="center"/>
                    <w:rPr>
                      <w:rFonts w:cs="Times New Roman"/>
                      <w:color w:val="000000"/>
                      <w:sz w:val="21"/>
                    </w:rPr>
                  </w:pPr>
                  <w:r>
                    <w:rPr>
                      <w:rFonts w:hint="eastAsia" w:cs="Times New Roman"/>
                      <w:color w:val="000000"/>
                      <w:sz w:val="21"/>
                      <w:szCs w:val="21"/>
                    </w:rPr>
                    <w:t>固废</w:t>
                  </w:r>
                </w:p>
              </w:tc>
              <w:tc>
                <w:tcPr>
                  <w:tcW w:w="736" w:type="pct"/>
                  <w:tcBorders>
                    <w:tl2br w:val="nil"/>
                    <w:tr2bl w:val="nil"/>
                  </w:tcBorders>
                  <w:vAlign w:val="center"/>
                </w:tcPr>
                <w:p w14:paraId="0AF30655">
                  <w:pPr>
                    <w:spacing w:line="240" w:lineRule="auto"/>
                    <w:ind w:firstLine="0" w:firstLineChars="0"/>
                    <w:contextualSpacing/>
                    <w:jc w:val="center"/>
                    <w:rPr>
                      <w:rFonts w:cs="Times New Roman"/>
                      <w:color w:val="000000"/>
                      <w:sz w:val="21"/>
                    </w:rPr>
                  </w:pPr>
                  <w:r>
                    <w:rPr>
                      <w:rFonts w:hint="eastAsia" w:cs="Times New Roman"/>
                      <w:sz w:val="21"/>
                      <w:szCs w:val="21"/>
                    </w:rPr>
                    <w:t>生活垃圾</w:t>
                  </w:r>
                </w:p>
              </w:tc>
              <w:tc>
                <w:tcPr>
                  <w:tcW w:w="1716" w:type="pct"/>
                  <w:tcBorders>
                    <w:tl2br w:val="nil"/>
                    <w:tr2bl w:val="nil"/>
                  </w:tcBorders>
                  <w:vAlign w:val="center"/>
                </w:tcPr>
                <w:p w14:paraId="2846AE17">
                  <w:pPr>
                    <w:spacing w:line="240" w:lineRule="auto"/>
                    <w:ind w:firstLine="0" w:firstLineChars="0"/>
                    <w:contextualSpacing/>
                    <w:jc w:val="center"/>
                    <w:rPr>
                      <w:rFonts w:cs="Times New Roman"/>
                      <w:color w:val="000000"/>
                      <w:sz w:val="21"/>
                    </w:rPr>
                  </w:pPr>
                  <w:r>
                    <w:rPr>
                      <w:rFonts w:hint="eastAsia" w:cs="Times New Roman"/>
                      <w:color w:val="000000"/>
                      <w:sz w:val="21"/>
                    </w:rPr>
                    <w:t>生活垃圾集中收集至垃圾箱后由环卫部门统一清运</w:t>
                  </w:r>
                </w:p>
              </w:tc>
              <w:tc>
                <w:tcPr>
                  <w:tcW w:w="2087" w:type="pct"/>
                  <w:tcBorders>
                    <w:tl2br w:val="nil"/>
                    <w:tr2bl w:val="nil"/>
                  </w:tcBorders>
                  <w:vAlign w:val="center"/>
                </w:tcPr>
                <w:p w14:paraId="3A917F93">
                  <w:pPr>
                    <w:spacing w:line="240" w:lineRule="auto"/>
                    <w:ind w:firstLine="0" w:firstLineChars="0"/>
                    <w:contextualSpacing/>
                    <w:jc w:val="center"/>
                    <w:rPr>
                      <w:rFonts w:cs="Times New Roman"/>
                      <w:color w:val="000000"/>
                      <w:sz w:val="21"/>
                      <w:lang w:bidi="ar"/>
                    </w:rPr>
                  </w:pPr>
                  <w:r>
                    <w:rPr>
                      <w:rFonts w:hint="eastAsia" w:cs="Times New Roman"/>
                      <w:color w:val="000000"/>
                      <w:sz w:val="21"/>
                      <w:lang w:bidi="ar"/>
                    </w:rPr>
                    <w:t>《生活垃圾填埋场污染控制标准》（</w:t>
                  </w:r>
                  <w:r>
                    <w:rPr>
                      <w:rFonts w:cs="Times New Roman"/>
                      <w:color w:val="000000"/>
                      <w:sz w:val="21"/>
                      <w:lang w:bidi="ar"/>
                    </w:rPr>
                    <w:t>GB16889-2024</w:t>
                  </w:r>
                  <w:r>
                    <w:rPr>
                      <w:rFonts w:hint="eastAsia" w:cs="Times New Roman"/>
                      <w:color w:val="000000"/>
                      <w:sz w:val="21"/>
                      <w:lang w:bidi="ar"/>
                    </w:rPr>
                    <w:t>）</w:t>
                  </w:r>
                </w:p>
              </w:tc>
            </w:tr>
            <w:tr w14:paraId="2136D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460" w:type="pct"/>
                  <w:vMerge w:val="continue"/>
                  <w:tcBorders>
                    <w:tl2br w:val="nil"/>
                    <w:tr2bl w:val="nil"/>
                  </w:tcBorders>
                  <w:vAlign w:val="center"/>
                </w:tcPr>
                <w:p w14:paraId="344A1CFB">
                  <w:pPr>
                    <w:spacing w:line="240" w:lineRule="auto"/>
                    <w:ind w:firstLine="0" w:firstLineChars="0"/>
                    <w:contextualSpacing/>
                    <w:jc w:val="center"/>
                    <w:rPr>
                      <w:rFonts w:cs="Times New Roman"/>
                      <w:color w:val="000000"/>
                      <w:sz w:val="21"/>
                      <w:szCs w:val="21"/>
                    </w:rPr>
                  </w:pPr>
                </w:p>
              </w:tc>
              <w:tc>
                <w:tcPr>
                  <w:tcW w:w="736" w:type="pct"/>
                  <w:tcBorders>
                    <w:tl2br w:val="nil"/>
                    <w:tr2bl w:val="nil"/>
                  </w:tcBorders>
                  <w:vAlign w:val="center"/>
                </w:tcPr>
                <w:p w14:paraId="1A469144">
                  <w:pPr>
                    <w:spacing w:line="240" w:lineRule="auto"/>
                    <w:ind w:firstLine="0" w:firstLineChars="0"/>
                    <w:contextualSpacing/>
                    <w:jc w:val="center"/>
                    <w:rPr>
                      <w:rFonts w:cs="Times New Roman"/>
                      <w:sz w:val="21"/>
                      <w:szCs w:val="21"/>
                    </w:rPr>
                  </w:pPr>
                  <w:r>
                    <w:rPr>
                      <w:rFonts w:hint="eastAsia" w:cs="Times New Roman"/>
                      <w:sz w:val="21"/>
                      <w:szCs w:val="21"/>
                    </w:rPr>
                    <w:t>危险废物</w:t>
                  </w:r>
                </w:p>
              </w:tc>
              <w:tc>
                <w:tcPr>
                  <w:tcW w:w="1716" w:type="pct"/>
                  <w:tcBorders>
                    <w:tl2br w:val="nil"/>
                    <w:tr2bl w:val="nil"/>
                  </w:tcBorders>
                  <w:vAlign w:val="center"/>
                </w:tcPr>
                <w:p w14:paraId="203FAD81">
                  <w:pPr>
                    <w:spacing w:line="240" w:lineRule="auto"/>
                    <w:ind w:firstLine="0" w:firstLineChars="0"/>
                    <w:contextualSpacing/>
                    <w:jc w:val="center"/>
                    <w:rPr>
                      <w:rFonts w:cs="Times New Roman"/>
                      <w:color w:val="000000"/>
                      <w:sz w:val="21"/>
                    </w:rPr>
                  </w:pPr>
                  <w:r>
                    <w:rPr>
                      <w:rFonts w:hint="eastAsia" w:cs="Times New Roman"/>
                      <w:color w:val="000000"/>
                      <w:sz w:val="21"/>
                    </w:rPr>
                    <w:t>钢瓶内的残液被抽入残液罐集中收集，并交由丁烷、丙烷供应单位回收，用作燃料等生产利用</w:t>
                  </w:r>
                </w:p>
              </w:tc>
              <w:tc>
                <w:tcPr>
                  <w:tcW w:w="2087" w:type="pct"/>
                  <w:tcBorders>
                    <w:tl2br w:val="nil"/>
                    <w:tr2bl w:val="nil"/>
                  </w:tcBorders>
                  <w:vAlign w:val="center"/>
                </w:tcPr>
                <w:p w14:paraId="45EFF27F">
                  <w:pPr>
                    <w:spacing w:line="240" w:lineRule="auto"/>
                    <w:ind w:firstLine="0" w:firstLineChars="0"/>
                    <w:contextualSpacing/>
                    <w:jc w:val="center"/>
                    <w:rPr>
                      <w:rFonts w:cs="Times New Roman"/>
                      <w:sz w:val="21"/>
                      <w:szCs w:val="21"/>
                    </w:rPr>
                  </w:pPr>
                  <w:r>
                    <w:rPr>
                      <w:rFonts w:cs="Times New Roman"/>
                      <w:sz w:val="21"/>
                      <w:szCs w:val="21"/>
                    </w:rPr>
                    <w:t>《危险废物贮存污染控制标准》（GB18597-2023）</w:t>
                  </w:r>
                </w:p>
              </w:tc>
            </w:tr>
            <w:tr w14:paraId="4C8DB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0" w:type="pct"/>
                  <w:tcBorders>
                    <w:tl2br w:val="nil"/>
                    <w:tr2bl w:val="nil"/>
                  </w:tcBorders>
                  <w:vAlign w:val="center"/>
                </w:tcPr>
                <w:p w14:paraId="48E035F5">
                  <w:pPr>
                    <w:spacing w:line="240" w:lineRule="auto"/>
                    <w:ind w:firstLine="0" w:firstLineChars="0"/>
                    <w:contextualSpacing/>
                    <w:jc w:val="center"/>
                    <w:rPr>
                      <w:rFonts w:cs="Times New Roman"/>
                      <w:color w:val="000000"/>
                      <w:sz w:val="21"/>
                    </w:rPr>
                  </w:pPr>
                  <w:r>
                    <w:rPr>
                      <w:rFonts w:hint="eastAsia" w:cs="Times New Roman"/>
                      <w:color w:val="000000"/>
                      <w:sz w:val="21"/>
                    </w:rPr>
                    <w:t>风险</w:t>
                  </w:r>
                </w:p>
              </w:tc>
              <w:tc>
                <w:tcPr>
                  <w:tcW w:w="736" w:type="pct"/>
                  <w:tcBorders>
                    <w:tl2br w:val="nil"/>
                    <w:tr2bl w:val="nil"/>
                  </w:tcBorders>
                  <w:vAlign w:val="center"/>
                </w:tcPr>
                <w:p w14:paraId="5C82DFA1">
                  <w:pPr>
                    <w:spacing w:line="240" w:lineRule="auto"/>
                    <w:ind w:firstLine="0" w:firstLineChars="0"/>
                    <w:contextualSpacing/>
                    <w:rPr>
                      <w:rFonts w:cs="Times New Roman"/>
                      <w:color w:val="000000"/>
                      <w:sz w:val="21"/>
                    </w:rPr>
                  </w:pPr>
                  <w:r>
                    <w:rPr>
                      <w:rFonts w:cs="Times New Roman"/>
                      <w:color w:val="000000"/>
                      <w:sz w:val="21"/>
                    </w:rPr>
                    <w:t>其他措施</w:t>
                  </w:r>
                </w:p>
              </w:tc>
              <w:tc>
                <w:tcPr>
                  <w:tcW w:w="1716" w:type="pct"/>
                  <w:tcBorders>
                    <w:tl2br w:val="nil"/>
                    <w:tr2bl w:val="nil"/>
                  </w:tcBorders>
                  <w:vAlign w:val="center"/>
                </w:tcPr>
                <w:p w14:paraId="23CA0559">
                  <w:pPr>
                    <w:spacing w:line="240" w:lineRule="auto"/>
                    <w:ind w:firstLine="0" w:firstLineChars="0"/>
                    <w:contextualSpacing/>
                    <w:rPr>
                      <w:rFonts w:cs="Times New Roman"/>
                      <w:color w:val="000000"/>
                      <w:sz w:val="21"/>
                    </w:rPr>
                  </w:pPr>
                  <w:r>
                    <w:rPr>
                      <w:rFonts w:hint="eastAsia" w:cs="Times New Roman"/>
                      <w:color w:val="000000"/>
                      <w:sz w:val="21"/>
                      <w:szCs w:val="21"/>
                    </w:rPr>
                    <w:t>严格控制丁烷、丙烷的气质；进一步提高工艺管线、阀门及用气设备和钢瓶质量，加强日常维护保养；站区设置可燃气体报警器；加强丁烷、丙烷运输管理措施；应定期修订环境应急预案</w:t>
                  </w:r>
                </w:p>
              </w:tc>
              <w:tc>
                <w:tcPr>
                  <w:tcW w:w="2087" w:type="pct"/>
                  <w:tcBorders>
                    <w:tl2br w:val="nil"/>
                    <w:tr2bl w:val="nil"/>
                  </w:tcBorders>
                  <w:vAlign w:val="center"/>
                </w:tcPr>
                <w:p w14:paraId="183BE35A">
                  <w:pPr>
                    <w:spacing w:line="240" w:lineRule="auto"/>
                    <w:ind w:firstLine="0" w:firstLineChars="0"/>
                    <w:contextualSpacing/>
                    <w:jc w:val="center"/>
                    <w:rPr>
                      <w:rFonts w:cs="Times New Roman"/>
                      <w:color w:val="000000"/>
                      <w:sz w:val="21"/>
                      <w:lang w:bidi="ar"/>
                    </w:rPr>
                  </w:pPr>
                  <w:r>
                    <w:rPr>
                      <w:rFonts w:hint="eastAsia" w:cs="Times New Roman"/>
                      <w:color w:val="000000"/>
                      <w:sz w:val="21"/>
                      <w:lang w:bidi="ar"/>
                    </w:rPr>
                    <w:t>/</w:t>
                  </w:r>
                </w:p>
              </w:tc>
            </w:tr>
          </w:tbl>
          <w:p w14:paraId="742A53EF">
            <w:pPr>
              <w:keepNext/>
              <w:keepLines/>
              <w:adjustRightInd w:val="0"/>
              <w:snapToGrid w:val="0"/>
              <w:ind w:firstLine="480"/>
              <w:outlineLvl w:val="1"/>
            </w:pPr>
          </w:p>
        </w:tc>
      </w:tr>
    </w:tbl>
    <w:p w14:paraId="1B3B22E9">
      <w:pPr>
        <w:pStyle w:val="2"/>
        <w:rPr>
          <w:snapToGrid w:val="0"/>
          <w:color w:val="000000" w:themeColor="text1"/>
          <w14:textFill>
            <w14:solidFill>
              <w14:schemeClr w14:val="tx1"/>
            </w14:solidFill>
          </w14:textFill>
        </w:rPr>
      </w:pPr>
      <w:bookmarkStart w:id="32" w:name="OLE_LINK11"/>
      <w:r>
        <w:rPr>
          <w:rFonts w:hint="eastAsia"/>
          <w:snapToGrid w:val="0"/>
          <w:color w:val="000000" w:themeColor="text1"/>
          <w14:textFill>
            <w14:solidFill>
              <w14:schemeClr w14:val="tx1"/>
            </w14:solidFill>
          </w14:textFill>
        </w:rPr>
        <w:t>五、</w:t>
      </w:r>
      <w:bookmarkStart w:id="33" w:name="_Hlk54167917"/>
      <w:r>
        <w:rPr>
          <w:rFonts w:hint="eastAsia"/>
          <w:snapToGrid w:val="0"/>
          <w:color w:val="000000" w:themeColor="text1"/>
          <w14:textFill>
            <w14:solidFill>
              <w14:schemeClr w14:val="tx1"/>
            </w14:solidFill>
          </w14:textFill>
        </w:rPr>
        <w:t>环境保护措施监督检查清单</w:t>
      </w:r>
      <w:bookmarkEnd w:id="33"/>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2"/>
        <w:gridCol w:w="1748"/>
        <w:gridCol w:w="1453"/>
        <w:gridCol w:w="2034"/>
        <w:gridCol w:w="2619"/>
      </w:tblGrid>
      <w:tr w14:paraId="7533E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71" w:type="pct"/>
            <w:tcBorders>
              <w:tl2br w:val="single" w:color="auto" w:sz="12" w:space="0"/>
            </w:tcBorders>
          </w:tcPr>
          <w:p w14:paraId="46B715B8">
            <w:pPr>
              <w:adjustRightInd w:val="0"/>
              <w:snapToGrid w:val="0"/>
              <w:spacing w:line="240" w:lineRule="auto"/>
              <w:ind w:firstLine="632" w:firstLineChars="30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内容</w:t>
            </w:r>
          </w:p>
          <w:p w14:paraId="78C8FBD9">
            <w:pPr>
              <w:adjustRightInd w:val="0"/>
              <w:snapToGrid w:val="0"/>
              <w:spacing w:line="240" w:lineRule="auto"/>
              <w:ind w:firstLine="0" w:firstLineChars="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要素</w:t>
            </w:r>
          </w:p>
        </w:tc>
        <w:tc>
          <w:tcPr>
            <w:tcW w:w="941" w:type="pct"/>
            <w:vAlign w:val="center"/>
          </w:tcPr>
          <w:p w14:paraId="5172A306">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排放口(编号、</w:t>
            </w:r>
          </w:p>
          <w:p w14:paraId="35E50C4D">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名称)/污染源</w:t>
            </w:r>
          </w:p>
        </w:tc>
        <w:tc>
          <w:tcPr>
            <w:tcW w:w="782" w:type="pct"/>
            <w:vAlign w:val="center"/>
          </w:tcPr>
          <w:p w14:paraId="2F15A7C3">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污染物项目</w:t>
            </w:r>
          </w:p>
        </w:tc>
        <w:tc>
          <w:tcPr>
            <w:tcW w:w="1095" w:type="pct"/>
            <w:vAlign w:val="center"/>
          </w:tcPr>
          <w:p w14:paraId="6CD1A9BF">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环境保护措施</w:t>
            </w:r>
          </w:p>
        </w:tc>
        <w:tc>
          <w:tcPr>
            <w:tcW w:w="1409" w:type="pct"/>
            <w:vAlign w:val="center"/>
          </w:tcPr>
          <w:p w14:paraId="4269F049">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执行标准</w:t>
            </w:r>
          </w:p>
        </w:tc>
      </w:tr>
      <w:tr w14:paraId="1636D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71" w:type="pct"/>
            <w:vMerge w:val="restart"/>
            <w:vAlign w:val="center"/>
          </w:tcPr>
          <w:p w14:paraId="63948A10">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大气环境</w:t>
            </w:r>
          </w:p>
        </w:tc>
        <w:tc>
          <w:tcPr>
            <w:tcW w:w="941" w:type="pct"/>
            <w:vMerge w:val="restart"/>
            <w:vAlign w:val="center"/>
          </w:tcPr>
          <w:p w14:paraId="548163C0">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无组织废气</w:t>
            </w:r>
          </w:p>
        </w:tc>
        <w:tc>
          <w:tcPr>
            <w:tcW w:w="782" w:type="pct"/>
            <w:vAlign w:val="center"/>
          </w:tcPr>
          <w:p w14:paraId="02DC91B9">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厂界：非甲烷总烃</w:t>
            </w:r>
          </w:p>
        </w:tc>
        <w:tc>
          <w:tcPr>
            <w:tcW w:w="1095" w:type="pct"/>
            <w:vAlign w:val="center"/>
          </w:tcPr>
          <w:p w14:paraId="62CF18EF">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sz w:val="21"/>
              </w:rPr>
              <w:t>充装车间和气体瓶库内安装可燃气体泄漏报警器，确保安全运行；车间设置通风系统；灌装工艺和储存气瓶少量泄漏废气经通风系统无组织排放</w:t>
            </w:r>
          </w:p>
        </w:tc>
        <w:tc>
          <w:tcPr>
            <w:tcW w:w="1409" w:type="pct"/>
            <w:vAlign w:val="center"/>
          </w:tcPr>
          <w:p w14:paraId="3DFC618B">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《大气污染物综合排放标准》（GB16297-1996）表2二级标准</w:t>
            </w:r>
          </w:p>
        </w:tc>
      </w:tr>
      <w:tr w14:paraId="1513C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71" w:type="pct"/>
            <w:vMerge w:val="continue"/>
            <w:vAlign w:val="center"/>
          </w:tcPr>
          <w:p w14:paraId="51FDCA49">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941" w:type="pct"/>
            <w:vMerge w:val="continue"/>
            <w:vAlign w:val="center"/>
          </w:tcPr>
          <w:p w14:paraId="10464251">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p>
        </w:tc>
        <w:tc>
          <w:tcPr>
            <w:tcW w:w="782" w:type="pct"/>
            <w:vAlign w:val="center"/>
          </w:tcPr>
          <w:p w14:paraId="726AD133">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厂区内：非甲烷总烃</w:t>
            </w:r>
          </w:p>
        </w:tc>
        <w:tc>
          <w:tcPr>
            <w:tcW w:w="1095" w:type="pct"/>
            <w:vAlign w:val="center"/>
          </w:tcPr>
          <w:p w14:paraId="06E87F14">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bookmarkStart w:id="34" w:name="OLE_LINK10"/>
            <w:r>
              <w:rPr>
                <w:rFonts w:hint="eastAsia" w:cs="Times New Roman"/>
                <w:color w:val="000000"/>
                <w:sz w:val="21"/>
              </w:rPr>
              <w:t>采用密闭充装</w:t>
            </w:r>
            <w:bookmarkEnd w:id="34"/>
          </w:p>
        </w:tc>
        <w:tc>
          <w:tcPr>
            <w:tcW w:w="1409" w:type="pct"/>
            <w:vAlign w:val="center"/>
          </w:tcPr>
          <w:p w14:paraId="205FC4F6">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《挥发性有机物无组织排放控制标准》（GB37822-2019）表A.1厂区内VOCs无组织排放限值</w:t>
            </w:r>
          </w:p>
        </w:tc>
      </w:tr>
      <w:tr w14:paraId="340B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71" w:type="pct"/>
            <w:vAlign w:val="center"/>
          </w:tcPr>
          <w:p w14:paraId="3305FD8C">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地表水环境</w:t>
            </w:r>
          </w:p>
        </w:tc>
        <w:tc>
          <w:tcPr>
            <w:tcW w:w="941" w:type="pct"/>
            <w:vAlign w:val="center"/>
          </w:tcPr>
          <w:p w14:paraId="07DCAAE5">
            <w:pPr>
              <w:adjustRightInd w:val="0"/>
              <w:snapToGrid w:val="0"/>
              <w:spacing w:line="240" w:lineRule="auto"/>
              <w:ind w:firstLine="0" w:firstLineChars="0"/>
              <w:jc w:val="center"/>
              <w:textAlignment w:val="auto"/>
              <w:rPr>
                <w:rFonts w:cs="Times New Roman"/>
                <w:color w:val="000000"/>
                <w:sz w:val="21"/>
              </w:rPr>
            </w:pPr>
            <w:r>
              <w:rPr>
                <w:rFonts w:cs="Times New Roman"/>
                <w:color w:val="000000"/>
                <w:sz w:val="21"/>
              </w:rPr>
              <w:t>生活污水</w:t>
            </w:r>
          </w:p>
        </w:tc>
        <w:tc>
          <w:tcPr>
            <w:tcW w:w="782" w:type="pct"/>
            <w:vAlign w:val="center"/>
          </w:tcPr>
          <w:p w14:paraId="3794CE29">
            <w:pPr>
              <w:adjustRightInd w:val="0"/>
              <w:snapToGrid w:val="0"/>
              <w:spacing w:line="240" w:lineRule="auto"/>
              <w:ind w:firstLine="0" w:firstLineChars="0"/>
              <w:jc w:val="center"/>
              <w:textAlignment w:val="auto"/>
              <w:rPr>
                <w:rFonts w:cs="Times New Roman"/>
                <w:color w:val="000000"/>
                <w:sz w:val="21"/>
              </w:rPr>
            </w:pPr>
            <w:r>
              <w:rPr>
                <w:rFonts w:cs="Times New Roman"/>
                <w:color w:val="000000"/>
                <w:sz w:val="21"/>
              </w:rPr>
              <w:t>COD</w:t>
            </w:r>
            <w:r>
              <w:rPr>
                <w:rFonts w:cs="Times New Roman"/>
                <w:color w:val="000000"/>
                <w:sz w:val="21"/>
                <w:vertAlign w:val="subscript"/>
              </w:rPr>
              <w:t>Cr</w:t>
            </w:r>
            <w:r>
              <w:rPr>
                <w:rFonts w:cs="Times New Roman"/>
                <w:color w:val="000000"/>
                <w:sz w:val="21"/>
              </w:rPr>
              <w:t>、BOD</w:t>
            </w:r>
            <w:r>
              <w:rPr>
                <w:rFonts w:cs="Times New Roman"/>
                <w:color w:val="000000"/>
                <w:sz w:val="21"/>
                <w:vertAlign w:val="subscript"/>
              </w:rPr>
              <w:t>5</w:t>
            </w:r>
            <w:r>
              <w:rPr>
                <w:rFonts w:cs="Times New Roman"/>
                <w:color w:val="000000"/>
                <w:sz w:val="21"/>
              </w:rPr>
              <w:t>、SS、氨氮</w:t>
            </w:r>
          </w:p>
        </w:tc>
        <w:tc>
          <w:tcPr>
            <w:tcW w:w="1095" w:type="pct"/>
            <w:vAlign w:val="center"/>
          </w:tcPr>
          <w:p w14:paraId="62B5D2DC">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sz w:val="21"/>
              </w:rPr>
              <w:t>生活污水经化粪池预处理后由吸污车拉运至和静县污水处理厂处理</w:t>
            </w:r>
          </w:p>
        </w:tc>
        <w:tc>
          <w:tcPr>
            <w:tcW w:w="1409" w:type="pct"/>
            <w:vAlign w:val="center"/>
          </w:tcPr>
          <w:p w14:paraId="74672533">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《污水综合排放标准》（GB8978-1996）表4三级标准要求</w:t>
            </w:r>
          </w:p>
        </w:tc>
      </w:tr>
      <w:tr w14:paraId="462DB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771" w:type="pct"/>
            <w:vAlign w:val="center"/>
          </w:tcPr>
          <w:p w14:paraId="266D6E34">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声环境</w:t>
            </w:r>
          </w:p>
        </w:tc>
        <w:tc>
          <w:tcPr>
            <w:tcW w:w="941" w:type="pct"/>
            <w:vAlign w:val="center"/>
          </w:tcPr>
          <w:p w14:paraId="4F2997F5">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w:t>
            </w:r>
          </w:p>
        </w:tc>
        <w:tc>
          <w:tcPr>
            <w:tcW w:w="782" w:type="pct"/>
            <w:vAlign w:val="center"/>
          </w:tcPr>
          <w:p w14:paraId="09B76E65">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噪声</w:t>
            </w:r>
          </w:p>
        </w:tc>
        <w:tc>
          <w:tcPr>
            <w:tcW w:w="1095" w:type="pct"/>
            <w:vAlign w:val="center"/>
          </w:tcPr>
          <w:p w14:paraId="5D12CABE">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项目选用低噪声设备，并采取基础减震、隔声等降噪措施，同时结合厂区绿化，有效降低噪声污染</w:t>
            </w:r>
          </w:p>
        </w:tc>
        <w:tc>
          <w:tcPr>
            <w:tcW w:w="1409" w:type="pct"/>
            <w:vAlign w:val="center"/>
          </w:tcPr>
          <w:p w14:paraId="34F8C1C0">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《工业企业厂界环境噪声排放标准》（</w:t>
            </w:r>
            <w:r>
              <w:rPr>
                <w:rFonts w:cs="Times New Roman"/>
                <w:color w:val="000000" w:themeColor="text1"/>
                <w:sz w:val="21"/>
                <w:szCs w:val="21"/>
                <w14:textFill>
                  <w14:solidFill>
                    <w14:schemeClr w14:val="tx1"/>
                  </w14:solidFill>
                </w14:textFill>
              </w:rPr>
              <w:t>GB12348—2008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3</w:t>
            </w:r>
            <w:r>
              <w:rPr>
                <w:rFonts w:hint="eastAsia" w:cs="Times New Roman"/>
                <w:color w:val="000000" w:themeColor="text1"/>
                <w:sz w:val="21"/>
                <w:szCs w:val="21"/>
                <w14:textFill>
                  <w14:solidFill>
                    <w14:schemeClr w14:val="tx1"/>
                  </w14:solidFill>
                </w14:textFill>
              </w:rPr>
              <w:t>类标准</w:t>
            </w:r>
          </w:p>
        </w:tc>
      </w:tr>
      <w:tr w14:paraId="342F6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1" w:type="pct"/>
            <w:vAlign w:val="center"/>
          </w:tcPr>
          <w:p w14:paraId="63D3DC96">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电磁辐射</w:t>
            </w:r>
          </w:p>
        </w:tc>
        <w:tc>
          <w:tcPr>
            <w:tcW w:w="941" w:type="pct"/>
            <w:vAlign w:val="center"/>
          </w:tcPr>
          <w:p w14:paraId="51C24ECB">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782" w:type="pct"/>
            <w:vAlign w:val="center"/>
          </w:tcPr>
          <w:p w14:paraId="26559598">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095" w:type="pct"/>
            <w:vAlign w:val="center"/>
          </w:tcPr>
          <w:p w14:paraId="3C58A583">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409" w:type="pct"/>
            <w:vAlign w:val="center"/>
          </w:tcPr>
          <w:p w14:paraId="2FD25C65">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r w14:paraId="5F0B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1" w:type="pct"/>
            <w:vAlign w:val="center"/>
          </w:tcPr>
          <w:p w14:paraId="194E60A4">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固体废物</w:t>
            </w:r>
          </w:p>
        </w:tc>
        <w:tc>
          <w:tcPr>
            <w:tcW w:w="4228" w:type="pct"/>
            <w:gridSpan w:val="4"/>
            <w:vAlign w:val="center"/>
          </w:tcPr>
          <w:p w14:paraId="6EDE3E5B">
            <w:pPr>
              <w:pStyle w:val="68"/>
              <w:spacing w:line="240" w:lineRule="auto"/>
              <w:ind w:firstLine="440"/>
              <w:rPr>
                <w:color w:val="000000" w:themeColor="text1"/>
                <w:sz w:val="21"/>
                <w:szCs w:val="21"/>
                <w14:textFill>
                  <w14:solidFill>
                    <w14:schemeClr w14:val="tx1"/>
                  </w14:solidFill>
                </w14:textFill>
              </w:rPr>
            </w:pPr>
            <w:r>
              <w:rPr>
                <w:rFonts w:hint="eastAsia"/>
                <w:color w:val="000000"/>
                <w:sz w:val="21"/>
              </w:rPr>
              <w:t>生活垃圾集中收集至垃圾箱后由环卫部门统一清运；钢瓶内的残液被抽入残液罐集中收集，并交由丁烷、丙烷供应单位回收，用作燃料等生产利用</w:t>
            </w:r>
          </w:p>
        </w:tc>
      </w:tr>
      <w:tr w14:paraId="7E5C8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771" w:type="pct"/>
            <w:vAlign w:val="center"/>
          </w:tcPr>
          <w:p w14:paraId="461330F0">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土壤及地下水污染防治措施</w:t>
            </w:r>
          </w:p>
        </w:tc>
        <w:tc>
          <w:tcPr>
            <w:tcW w:w="4228" w:type="pct"/>
            <w:gridSpan w:val="4"/>
            <w:vAlign w:val="center"/>
          </w:tcPr>
          <w:p w14:paraId="69493DCD">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采取地面防渗等措施，可以有效保证污染物不会流失进入土壤、地下水环</w:t>
            </w:r>
          </w:p>
          <w:p w14:paraId="39D4E0C7">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境，防止污染物污染土壤、地下水。项目污水站基底做防渗处理，区域的</w:t>
            </w:r>
          </w:p>
          <w:p w14:paraId="36BFFD13">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sz w:val="21"/>
                <w:szCs w:val="21"/>
              </w:rPr>
              <w:t>地面采用相应的防渗措施，以达到各防渗区的防渗技术要求。</w:t>
            </w:r>
          </w:p>
        </w:tc>
      </w:tr>
      <w:tr w14:paraId="28F6C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71" w:type="pct"/>
            <w:vAlign w:val="center"/>
          </w:tcPr>
          <w:p w14:paraId="3DA8098C">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生态保护措施</w:t>
            </w:r>
          </w:p>
        </w:tc>
        <w:tc>
          <w:tcPr>
            <w:tcW w:w="4228" w:type="pct"/>
            <w:gridSpan w:val="4"/>
            <w:vAlign w:val="center"/>
          </w:tcPr>
          <w:p w14:paraId="72830F81">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sz w:val="21"/>
                <w:szCs w:val="21"/>
              </w:rPr>
              <w:t>厂区绿化</w:t>
            </w:r>
          </w:p>
        </w:tc>
      </w:tr>
      <w:tr w14:paraId="22894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771" w:type="pct"/>
            <w:vAlign w:val="center"/>
          </w:tcPr>
          <w:p w14:paraId="1EE1A070">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环境风险</w:t>
            </w:r>
          </w:p>
          <w:p w14:paraId="50D4B843">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防范措施</w:t>
            </w:r>
          </w:p>
        </w:tc>
        <w:tc>
          <w:tcPr>
            <w:tcW w:w="4228" w:type="pct"/>
            <w:gridSpan w:val="4"/>
            <w:vAlign w:val="center"/>
          </w:tcPr>
          <w:p w14:paraId="0BADB870">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严格控制丁烷、丙烷的气质；进一步提高工艺管线、阀门及用气设备和钢瓶质量，加强日常维护保养；站区设置可燃气体报警器；加强丁烷、丙烷运输管理措施；应定期修订环境应急预案。</w:t>
            </w:r>
          </w:p>
        </w:tc>
      </w:tr>
      <w:tr w14:paraId="73037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6" w:hRule="atLeast"/>
          <w:jc w:val="center"/>
        </w:trPr>
        <w:tc>
          <w:tcPr>
            <w:tcW w:w="771" w:type="pct"/>
            <w:vAlign w:val="center"/>
          </w:tcPr>
          <w:p w14:paraId="07BC9476">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其他环境</w:t>
            </w:r>
          </w:p>
          <w:p w14:paraId="68982E5C">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管理要求</w:t>
            </w:r>
          </w:p>
        </w:tc>
        <w:tc>
          <w:tcPr>
            <w:tcW w:w="4228" w:type="pct"/>
            <w:gridSpan w:val="4"/>
            <w:vAlign w:val="center"/>
          </w:tcPr>
          <w:p w14:paraId="313761CE">
            <w:pPr>
              <w:adjustRightInd w:val="0"/>
              <w:snapToGrid w:val="0"/>
              <w:spacing w:line="240" w:lineRule="auto"/>
              <w:ind w:firstLine="0" w:firstLineChars="0"/>
              <w:textAlignment w:val="auto"/>
              <w:rPr>
                <w:rFonts w:cs="Times New Roman"/>
                <w:sz w:val="21"/>
                <w:szCs w:val="21"/>
              </w:rPr>
            </w:pPr>
            <w:r>
              <w:rPr>
                <w:rFonts w:cs="Times New Roman"/>
                <w:sz w:val="21"/>
                <w:szCs w:val="21"/>
              </w:rPr>
              <w:t>一、</w:t>
            </w:r>
            <w:r>
              <w:rPr>
                <w:rFonts w:hint="eastAsia" w:cs="Times New Roman"/>
                <w:sz w:val="21"/>
                <w:szCs w:val="21"/>
              </w:rPr>
              <w:t>环境管理机构和职责</w:t>
            </w:r>
          </w:p>
          <w:p w14:paraId="34AFE245">
            <w:pPr>
              <w:adjustRightInd w:val="0"/>
              <w:snapToGrid w:val="0"/>
              <w:spacing w:line="240" w:lineRule="auto"/>
              <w:ind w:firstLine="420"/>
              <w:textAlignment w:val="auto"/>
              <w:rPr>
                <w:rFonts w:cs="Times New Roman"/>
                <w:sz w:val="21"/>
                <w:szCs w:val="21"/>
              </w:rPr>
            </w:pPr>
            <w:r>
              <w:rPr>
                <w:rFonts w:cs="Times New Roman"/>
                <w:sz w:val="21"/>
                <w:szCs w:val="21"/>
              </w:rPr>
              <w:t>根据国家有关环境保护法规的要求和本项目生产的实际需要，建议该企业配备专职环保管理人员。环保管理人员应由熟悉企业排污状况、具备一定清洁生产知识、责任心强和组织协调能力强的人员担任，以利于监督管理，负责全厂的环境保护管理工作，发现问题能及时解决并向</w:t>
            </w:r>
            <w:r>
              <w:rPr>
                <w:rFonts w:hint="eastAsia" w:cs="Times New Roman"/>
                <w:sz w:val="21"/>
                <w:szCs w:val="21"/>
              </w:rPr>
              <w:t>上级生态环境主管部门</w:t>
            </w:r>
            <w:r>
              <w:rPr>
                <w:rFonts w:cs="Times New Roman"/>
                <w:sz w:val="21"/>
                <w:szCs w:val="21"/>
              </w:rPr>
              <w:t>报告</w:t>
            </w:r>
            <w:r>
              <w:rPr>
                <w:rFonts w:hint="eastAsia" w:cs="Times New Roman"/>
                <w:sz w:val="21"/>
                <w:szCs w:val="21"/>
              </w:rPr>
              <w:t>。</w:t>
            </w:r>
          </w:p>
          <w:p w14:paraId="5A884103">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二、环境管理内容</w:t>
            </w:r>
          </w:p>
          <w:p w14:paraId="38330906">
            <w:pPr>
              <w:adjustRightInd w:val="0"/>
              <w:snapToGrid w:val="0"/>
              <w:spacing w:line="240" w:lineRule="auto"/>
              <w:ind w:firstLine="420"/>
              <w:jc w:val="left"/>
              <w:textAlignment w:val="auto"/>
              <w:rPr>
                <w:rFonts w:cs="Times New Roman"/>
                <w:sz w:val="21"/>
                <w:szCs w:val="21"/>
              </w:rPr>
            </w:pPr>
            <w:r>
              <w:rPr>
                <w:rFonts w:cs="Times New Roman"/>
                <w:sz w:val="21"/>
                <w:szCs w:val="21"/>
              </w:rPr>
              <w:t>（1）</w:t>
            </w:r>
            <w:r>
              <w:rPr>
                <w:rFonts w:hint="eastAsia" w:cs="Times New Roman"/>
                <w:sz w:val="21"/>
                <w:szCs w:val="21"/>
              </w:rPr>
              <w:t>设置</w:t>
            </w:r>
            <w:r>
              <w:rPr>
                <w:rFonts w:cs="Times New Roman"/>
                <w:sz w:val="21"/>
                <w:szCs w:val="21"/>
              </w:rPr>
              <w:t>环境保护职责管理条例</w:t>
            </w:r>
            <w:r>
              <w:rPr>
                <w:rFonts w:hint="eastAsia" w:cs="Times New Roman"/>
                <w:sz w:val="21"/>
                <w:szCs w:val="21"/>
              </w:rPr>
              <w:t>、</w:t>
            </w:r>
            <w:r>
              <w:rPr>
                <w:rFonts w:cs="Times New Roman"/>
                <w:sz w:val="21"/>
                <w:szCs w:val="21"/>
              </w:rPr>
              <w:t>废气排放管理制度</w:t>
            </w:r>
            <w:r>
              <w:rPr>
                <w:rFonts w:hint="eastAsia" w:cs="Times New Roman"/>
                <w:sz w:val="21"/>
                <w:szCs w:val="21"/>
              </w:rPr>
              <w:t>、</w:t>
            </w:r>
            <w:r>
              <w:rPr>
                <w:rFonts w:cs="Times New Roman"/>
                <w:sz w:val="21"/>
                <w:szCs w:val="21"/>
              </w:rPr>
              <w:t>固废的管理与处置制度</w:t>
            </w:r>
            <w:r>
              <w:rPr>
                <w:rFonts w:hint="eastAsia" w:cs="Times New Roman"/>
                <w:sz w:val="21"/>
                <w:szCs w:val="21"/>
              </w:rPr>
              <w:t>等环境管理制度；</w:t>
            </w:r>
          </w:p>
          <w:p w14:paraId="18EE0B77">
            <w:pPr>
              <w:adjustRightInd w:val="0"/>
              <w:snapToGrid w:val="0"/>
              <w:spacing w:line="240" w:lineRule="auto"/>
              <w:ind w:firstLine="420"/>
              <w:textAlignment w:val="auto"/>
              <w:rPr>
                <w:rFonts w:cs="Times New Roman"/>
                <w:sz w:val="21"/>
                <w:szCs w:val="21"/>
              </w:rPr>
            </w:pPr>
            <w:r>
              <w:rPr>
                <w:rFonts w:cs="Times New Roman"/>
                <w:sz w:val="21"/>
                <w:szCs w:val="21"/>
              </w:rPr>
              <w:t>（2）</w:t>
            </w:r>
            <w:r>
              <w:rPr>
                <w:rFonts w:hint="eastAsia" w:cs="Times New Roman"/>
                <w:sz w:val="21"/>
                <w:szCs w:val="21"/>
              </w:rPr>
              <w:t>督促和协助企业建立健全环境管理体系和管理人员；</w:t>
            </w:r>
          </w:p>
          <w:p w14:paraId="7F3A975D">
            <w:pPr>
              <w:adjustRightInd w:val="0"/>
              <w:snapToGrid w:val="0"/>
              <w:spacing w:line="240" w:lineRule="auto"/>
              <w:ind w:firstLine="420"/>
              <w:textAlignment w:val="auto"/>
              <w:rPr>
                <w:rFonts w:cs="Times New Roman"/>
                <w:sz w:val="21"/>
                <w:szCs w:val="21"/>
              </w:rPr>
            </w:pPr>
            <w:r>
              <w:rPr>
                <w:rFonts w:cs="Times New Roman"/>
                <w:sz w:val="21"/>
                <w:szCs w:val="21"/>
              </w:rPr>
              <w:t>（3）</w:t>
            </w:r>
            <w:r>
              <w:rPr>
                <w:rFonts w:hint="eastAsia" w:cs="Times New Roman"/>
                <w:sz w:val="21"/>
                <w:szCs w:val="21"/>
              </w:rPr>
              <w:t>宣传国家、自治区、自治州有关环境保护方面的法律、法规和政策；</w:t>
            </w:r>
          </w:p>
          <w:p w14:paraId="05CDC167">
            <w:pPr>
              <w:adjustRightInd w:val="0"/>
              <w:snapToGrid w:val="0"/>
              <w:spacing w:line="240" w:lineRule="auto"/>
              <w:ind w:firstLine="420"/>
              <w:textAlignment w:val="auto"/>
              <w:rPr>
                <w:rFonts w:cs="Times New Roman"/>
                <w:sz w:val="21"/>
                <w:szCs w:val="21"/>
              </w:rPr>
            </w:pPr>
            <w:r>
              <w:rPr>
                <w:rFonts w:hint="eastAsia" w:cs="Times New Roman"/>
                <w:sz w:val="21"/>
                <w:szCs w:val="21"/>
              </w:rPr>
              <w:t>（4）实施“三同时”验收和污染物达标排放的监督管理；</w:t>
            </w:r>
          </w:p>
          <w:p w14:paraId="41812E36">
            <w:pPr>
              <w:adjustRightInd w:val="0"/>
              <w:snapToGrid w:val="0"/>
              <w:spacing w:line="240" w:lineRule="auto"/>
              <w:ind w:firstLine="420"/>
              <w:textAlignment w:val="auto"/>
              <w:rPr>
                <w:rFonts w:cs="Times New Roman"/>
                <w:sz w:val="21"/>
                <w:szCs w:val="21"/>
              </w:rPr>
            </w:pPr>
            <w:r>
              <w:rPr>
                <w:rFonts w:hint="eastAsia" w:cs="Times New Roman"/>
                <w:sz w:val="21"/>
                <w:szCs w:val="21"/>
              </w:rPr>
              <w:t>（5）检查环保设施的运行状况和是否达标排放。</w:t>
            </w:r>
          </w:p>
          <w:p w14:paraId="13D6A463">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三</w:t>
            </w:r>
            <w:r>
              <w:rPr>
                <w:rFonts w:cs="Times New Roman"/>
                <w:sz w:val="21"/>
                <w:szCs w:val="21"/>
              </w:rPr>
              <w:t>、</w:t>
            </w:r>
            <w:r>
              <w:rPr>
                <w:rFonts w:hint="eastAsia" w:cs="Times New Roman"/>
                <w:sz w:val="21"/>
                <w:szCs w:val="21"/>
              </w:rPr>
              <w:t>排污口规范化</w:t>
            </w:r>
          </w:p>
          <w:p w14:paraId="2C6D2A7B">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sz w:val="21"/>
                <w:szCs w:val="21"/>
              </w:rPr>
              <w:t>根据国家标准《环境保护图形标志——排放口（源）》和国家环保总局《排污口规范化整治要求（试行）》的技术要求，本项目所有排放口，包括水、气、声、固体废物，必须按照“便于计量监测、便于日常现场监督检查”的原则和规范化要求，设置与之相适应的环境保护图形标志牌</w:t>
            </w:r>
            <w:r>
              <w:rPr>
                <w:rFonts w:cs="Times New Roman"/>
                <w:sz w:val="21"/>
                <w:szCs w:val="21"/>
              </w:rPr>
              <w:t>。</w:t>
            </w:r>
          </w:p>
        </w:tc>
      </w:tr>
      <w:bookmarkEnd w:id="32"/>
    </w:tbl>
    <w:p w14:paraId="66681092">
      <w:pPr>
        <w:ind w:firstLine="480"/>
        <w:rPr>
          <w:snapToGrid w:val="0"/>
        </w:rPr>
      </w:pPr>
    </w:p>
    <w:p w14:paraId="41509A2A">
      <w:pPr>
        <w:pStyle w:val="24"/>
      </w:pPr>
    </w:p>
    <w:p w14:paraId="4C371107">
      <w:pPr>
        <w:pStyle w:val="24"/>
      </w:pPr>
    </w:p>
    <w:p w14:paraId="7795163A">
      <w:pPr>
        <w:pStyle w:val="24"/>
      </w:pPr>
    </w:p>
    <w:p w14:paraId="2D82A35C">
      <w:pPr>
        <w:pStyle w:val="24"/>
      </w:pPr>
    </w:p>
    <w:p w14:paraId="07C1D6AB">
      <w:pPr>
        <w:pStyle w:val="24"/>
      </w:pPr>
    </w:p>
    <w:p w14:paraId="32551438">
      <w:pPr>
        <w:pStyle w:val="24"/>
      </w:pPr>
    </w:p>
    <w:p w14:paraId="04F587BB">
      <w:pPr>
        <w:pStyle w:val="24"/>
      </w:pPr>
    </w:p>
    <w:p w14:paraId="5A64CD2D">
      <w:pPr>
        <w:pStyle w:val="24"/>
      </w:pPr>
    </w:p>
    <w:p w14:paraId="682012AF">
      <w:pPr>
        <w:pStyle w:val="24"/>
      </w:pPr>
    </w:p>
    <w:p w14:paraId="3179AD86">
      <w:pPr>
        <w:pStyle w:val="24"/>
      </w:pPr>
    </w:p>
    <w:p w14:paraId="2402C160">
      <w:pPr>
        <w:pStyle w:val="24"/>
      </w:pPr>
    </w:p>
    <w:p w14:paraId="18C15598">
      <w:pPr>
        <w:pStyle w:val="24"/>
      </w:pPr>
    </w:p>
    <w:p w14:paraId="4BFD7A44">
      <w:pPr>
        <w:pStyle w:val="24"/>
      </w:pPr>
    </w:p>
    <w:p w14:paraId="56485892">
      <w:pPr>
        <w:pStyle w:val="24"/>
      </w:pPr>
    </w:p>
    <w:p w14:paraId="2E3732B3">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六、结论</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0"/>
      </w:tblGrid>
      <w:tr w14:paraId="135CD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060" w:type="dxa"/>
          </w:tcPr>
          <w:p w14:paraId="16A0BB85">
            <w:pPr>
              <w:ind w:firstLine="480"/>
              <w:rPr>
                <w:color w:val="000000" w:themeColor="text1"/>
                <w14:textFill>
                  <w14:solidFill>
                    <w14:schemeClr w14:val="tx1"/>
                  </w14:solidFill>
                </w14:textFill>
              </w:rPr>
            </w:pPr>
            <w:bookmarkStart w:id="35" w:name="_Hlk97246050"/>
            <w:r>
              <w:rPr>
                <w:rFonts w:hint="eastAsia"/>
                <w:color w:val="000000" w:themeColor="text1"/>
                <w14:textFill>
                  <w14:solidFill>
                    <w14:schemeClr w14:val="tx1"/>
                  </w14:solidFill>
                </w14:textFill>
              </w:rPr>
              <w:t>综上所述，本项目符合国家产业政策及相关规划要求，项目选址可行，平面布置基本合理。在项目认真落实本报告提出的各项污染防治措施前提下，各项污染物能够实现达标排放，项目运营对周边地表水、环境空气、声环境等影响较小。因此，从环境角度分析，本项目环境影响可行。</w:t>
            </w:r>
          </w:p>
          <w:bookmarkEnd w:id="35"/>
          <w:p w14:paraId="2F46A387">
            <w:pPr>
              <w:ind w:firstLine="0" w:firstLineChars="0"/>
              <w:rPr>
                <w:color w:val="000000" w:themeColor="text1"/>
                <w14:textFill>
                  <w14:solidFill>
                    <w14:schemeClr w14:val="tx1"/>
                  </w14:solidFill>
                </w14:textFill>
              </w:rPr>
            </w:pPr>
          </w:p>
          <w:p w14:paraId="43FC2D16">
            <w:pPr>
              <w:ind w:firstLine="0" w:firstLineChars="0"/>
              <w:rPr>
                <w:color w:val="000000" w:themeColor="text1"/>
                <w14:textFill>
                  <w14:solidFill>
                    <w14:schemeClr w14:val="tx1"/>
                  </w14:solidFill>
                </w14:textFill>
              </w:rPr>
            </w:pPr>
          </w:p>
          <w:p w14:paraId="3C5A83ED">
            <w:pPr>
              <w:ind w:firstLine="0" w:firstLineChars="0"/>
              <w:rPr>
                <w:color w:val="000000" w:themeColor="text1"/>
                <w14:textFill>
                  <w14:solidFill>
                    <w14:schemeClr w14:val="tx1"/>
                  </w14:solidFill>
                </w14:textFill>
              </w:rPr>
            </w:pPr>
          </w:p>
          <w:p w14:paraId="7783FA41">
            <w:pPr>
              <w:ind w:firstLine="0" w:firstLineChars="0"/>
              <w:rPr>
                <w:color w:val="000000" w:themeColor="text1"/>
                <w14:textFill>
                  <w14:solidFill>
                    <w14:schemeClr w14:val="tx1"/>
                  </w14:solidFill>
                </w14:textFill>
              </w:rPr>
            </w:pPr>
          </w:p>
          <w:p w14:paraId="1D2483AE">
            <w:pPr>
              <w:ind w:firstLine="0" w:firstLineChars="0"/>
              <w:rPr>
                <w:color w:val="000000" w:themeColor="text1"/>
                <w14:textFill>
                  <w14:solidFill>
                    <w14:schemeClr w14:val="tx1"/>
                  </w14:solidFill>
                </w14:textFill>
              </w:rPr>
            </w:pPr>
          </w:p>
          <w:p w14:paraId="1CDC6BA0">
            <w:pPr>
              <w:ind w:firstLine="0" w:firstLineChars="0"/>
              <w:rPr>
                <w:color w:val="000000" w:themeColor="text1"/>
                <w14:textFill>
                  <w14:solidFill>
                    <w14:schemeClr w14:val="tx1"/>
                  </w14:solidFill>
                </w14:textFill>
              </w:rPr>
            </w:pPr>
          </w:p>
          <w:p w14:paraId="4F19A28E">
            <w:pPr>
              <w:ind w:firstLine="0" w:firstLineChars="0"/>
              <w:rPr>
                <w:color w:val="000000" w:themeColor="text1"/>
                <w14:textFill>
                  <w14:solidFill>
                    <w14:schemeClr w14:val="tx1"/>
                  </w14:solidFill>
                </w14:textFill>
              </w:rPr>
            </w:pPr>
          </w:p>
          <w:p w14:paraId="257DFBBA">
            <w:pPr>
              <w:ind w:firstLine="0" w:firstLineChars="0"/>
              <w:rPr>
                <w:color w:val="000000" w:themeColor="text1"/>
                <w14:textFill>
                  <w14:solidFill>
                    <w14:schemeClr w14:val="tx1"/>
                  </w14:solidFill>
                </w14:textFill>
              </w:rPr>
            </w:pPr>
          </w:p>
          <w:p w14:paraId="6D2ED5C0">
            <w:pPr>
              <w:ind w:firstLine="0" w:firstLineChars="0"/>
              <w:rPr>
                <w:color w:val="000000" w:themeColor="text1"/>
                <w14:textFill>
                  <w14:solidFill>
                    <w14:schemeClr w14:val="tx1"/>
                  </w14:solidFill>
                </w14:textFill>
              </w:rPr>
            </w:pPr>
          </w:p>
          <w:p w14:paraId="38CB1605">
            <w:pPr>
              <w:ind w:firstLine="0" w:firstLineChars="0"/>
              <w:rPr>
                <w:color w:val="000000" w:themeColor="text1"/>
                <w14:textFill>
                  <w14:solidFill>
                    <w14:schemeClr w14:val="tx1"/>
                  </w14:solidFill>
                </w14:textFill>
              </w:rPr>
            </w:pPr>
          </w:p>
          <w:p w14:paraId="62188D9D">
            <w:pPr>
              <w:ind w:firstLine="0" w:firstLineChars="0"/>
              <w:rPr>
                <w:color w:val="000000" w:themeColor="text1"/>
                <w14:textFill>
                  <w14:solidFill>
                    <w14:schemeClr w14:val="tx1"/>
                  </w14:solidFill>
                </w14:textFill>
              </w:rPr>
            </w:pPr>
          </w:p>
          <w:p w14:paraId="62FDAB08">
            <w:pPr>
              <w:ind w:firstLine="0" w:firstLineChars="0"/>
              <w:rPr>
                <w:color w:val="000000" w:themeColor="text1"/>
                <w14:textFill>
                  <w14:solidFill>
                    <w14:schemeClr w14:val="tx1"/>
                  </w14:solidFill>
                </w14:textFill>
              </w:rPr>
            </w:pPr>
          </w:p>
          <w:p w14:paraId="38973A6F">
            <w:pPr>
              <w:ind w:firstLine="0" w:firstLineChars="0"/>
              <w:rPr>
                <w:color w:val="000000" w:themeColor="text1"/>
                <w14:textFill>
                  <w14:solidFill>
                    <w14:schemeClr w14:val="tx1"/>
                  </w14:solidFill>
                </w14:textFill>
              </w:rPr>
            </w:pPr>
          </w:p>
          <w:p w14:paraId="1CA976B7">
            <w:pPr>
              <w:ind w:firstLine="0" w:firstLineChars="0"/>
              <w:rPr>
                <w:color w:val="000000" w:themeColor="text1"/>
                <w14:textFill>
                  <w14:solidFill>
                    <w14:schemeClr w14:val="tx1"/>
                  </w14:solidFill>
                </w14:textFill>
              </w:rPr>
            </w:pPr>
          </w:p>
          <w:p w14:paraId="2C3BFB69">
            <w:pPr>
              <w:ind w:firstLine="0" w:firstLineChars="0"/>
              <w:rPr>
                <w:color w:val="000000" w:themeColor="text1"/>
                <w14:textFill>
                  <w14:solidFill>
                    <w14:schemeClr w14:val="tx1"/>
                  </w14:solidFill>
                </w14:textFill>
              </w:rPr>
            </w:pPr>
          </w:p>
          <w:p w14:paraId="1428B613">
            <w:pPr>
              <w:ind w:firstLine="0" w:firstLineChars="0"/>
              <w:rPr>
                <w:color w:val="000000" w:themeColor="text1"/>
                <w14:textFill>
                  <w14:solidFill>
                    <w14:schemeClr w14:val="tx1"/>
                  </w14:solidFill>
                </w14:textFill>
              </w:rPr>
            </w:pPr>
          </w:p>
          <w:p w14:paraId="78DDC2F4">
            <w:pPr>
              <w:ind w:firstLine="0" w:firstLineChars="0"/>
              <w:rPr>
                <w:color w:val="000000" w:themeColor="text1"/>
                <w14:textFill>
                  <w14:solidFill>
                    <w14:schemeClr w14:val="tx1"/>
                  </w14:solidFill>
                </w14:textFill>
              </w:rPr>
            </w:pPr>
          </w:p>
          <w:p w14:paraId="6E8CF27D">
            <w:pPr>
              <w:ind w:firstLine="0" w:firstLineChars="0"/>
              <w:rPr>
                <w:color w:val="000000" w:themeColor="text1"/>
                <w14:textFill>
                  <w14:solidFill>
                    <w14:schemeClr w14:val="tx1"/>
                  </w14:solidFill>
                </w14:textFill>
              </w:rPr>
            </w:pPr>
          </w:p>
          <w:p w14:paraId="303F9C53">
            <w:pPr>
              <w:ind w:firstLine="0" w:firstLineChars="0"/>
              <w:rPr>
                <w:color w:val="000000" w:themeColor="text1"/>
                <w14:textFill>
                  <w14:solidFill>
                    <w14:schemeClr w14:val="tx1"/>
                  </w14:solidFill>
                </w14:textFill>
              </w:rPr>
            </w:pPr>
          </w:p>
        </w:tc>
      </w:tr>
    </w:tbl>
    <w:p w14:paraId="6C1D1392">
      <w:pPr>
        <w:ind w:firstLine="0" w:firstLineChars="0"/>
        <w:rPr>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14:paraId="3284B06A">
      <w:pPr>
        <w:ind w:firstLine="0" w:firstLineChars="0"/>
        <w:rPr>
          <w:b/>
          <w:bCs/>
          <w:snapToGrid w:val="0"/>
          <w:color w:val="000000" w:themeColor="text1"/>
          <w14:textFill>
            <w14:solidFill>
              <w14:schemeClr w14:val="tx1"/>
            </w14:solidFill>
          </w14:textFill>
        </w:rPr>
      </w:pPr>
      <w:r>
        <w:rPr>
          <w:rFonts w:hint="eastAsia"/>
          <w:b/>
          <w:bCs/>
          <w:snapToGrid w:val="0"/>
          <w:color w:val="000000" w:themeColor="text1"/>
          <w14:textFill>
            <w14:solidFill>
              <w14:schemeClr w14:val="tx1"/>
            </w14:solidFill>
          </w14:textFill>
        </w:rPr>
        <w:t>附表</w:t>
      </w:r>
    </w:p>
    <w:p w14:paraId="2770AD66">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建设项目污染物排放量汇总表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5"/>
        <w:gridCol w:w="2014"/>
        <w:gridCol w:w="1656"/>
        <w:gridCol w:w="1384"/>
        <w:gridCol w:w="1670"/>
        <w:gridCol w:w="1533"/>
        <w:gridCol w:w="1670"/>
        <w:gridCol w:w="1670"/>
        <w:gridCol w:w="1336"/>
      </w:tblGrid>
      <w:tr w14:paraId="26010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trPr>
        <w:tc>
          <w:tcPr>
            <w:tcW w:w="400" w:type="pct"/>
            <w:tcBorders>
              <w:tl2br w:val="single" w:color="auto" w:sz="12" w:space="0"/>
            </w:tcBorders>
            <w:tcMar>
              <w:left w:w="28" w:type="dxa"/>
              <w:right w:w="28" w:type="dxa"/>
            </w:tcMar>
            <w:vAlign w:val="center"/>
          </w:tcPr>
          <w:p w14:paraId="28B8E232">
            <w:pPr>
              <w:pStyle w:val="32"/>
              <w:rPr>
                <w:rFonts w:cs="Times New Roman"/>
                <w:snapToGrid w:val="0"/>
                <w:color w:val="000000" w:themeColor="text1"/>
                <w14:textFill>
                  <w14:solidFill>
                    <w14:schemeClr w14:val="tx1"/>
                  </w14:solidFill>
                </w14:textFill>
              </w:rPr>
            </w:pPr>
            <w:bookmarkStart w:id="36" w:name="_Hlk72769786"/>
            <w:r>
              <w:rPr>
                <w:rFonts w:hint="eastAsia" w:cs="Times New Roman"/>
                <w:snapToGrid w:val="0"/>
                <w:color w:val="000000" w:themeColor="text1"/>
                <w14:textFill>
                  <w14:solidFill>
                    <w14:schemeClr w14:val="tx1"/>
                  </w14:solidFill>
                </w14:textFill>
              </w:rPr>
              <w:t xml:space="preserve"> </w:t>
            </w:r>
            <w:r>
              <w:rPr>
                <w:rFonts w:cs="Times New Roman"/>
                <w:snapToGrid w:val="0"/>
                <w:color w:val="000000" w:themeColor="text1"/>
                <w14:textFill>
                  <w14:solidFill>
                    <w14:schemeClr w14:val="tx1"/>
                  </w14:solidFill>
                </w14:textFill>
              </w:rPr>
              <w:t xml:space="preserve">    项目</w:t>
            </w:r>
          </w:p>
          <w:p w14:paraId="15149987">
            <w:pPr>
              <w:pStyle w:val="32"/>
              <w:jc w:val="both"/>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分类</w:t>
            </w:r>
          </w:p>
        </w:tc>
        <w:tc>
          <w:tcPr>
            <w:tcW w:w="716" w:type="pct"/>
            <w:tcMar>
              <w:left w:w="28" w:type="dxa"/>
              <w:right w:w="28" w:type="dxa"/>
            </w:tcMar>
            <w:vAlign w:val="center"/>
          </w:tcPr>
          <w:p w14:paraId="52528817">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污染物名称</w:t>
            </w:r>
          </w:p>
        </w:tc>
        <w:tc>
          <w:tcPr>
            <w:tcW w:w="589" w:type="pct"/>
            <w:tcMar>
              <w:left w:w="28" w:type="dxa"/>
              <w:right w:w="28" w:type="dxa"/>
            </w:tcMar>
            <w:vAlign w:val="center"/>
          </w:tcPr>
          <w:p w14:paraId="63B93CA1">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1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①</w:t>
            </w:r>
            <w:r>
              <w:rPr>
                <w:rFonts w:cs="Times New Roman"/>
                <w:snapToGrid w:val="0"/>
                <w:color w:val="000000" w:themeColor="text1"/>
                <w14:textFill>
                  <w14:solidFill>
                    <w14:schemeClr w14:val="tx1"/>
                  </w14:solidFill>
                </w14:textFill>
              </w:rPr>
              <w:fldChar w:fldCharType="end"/>
            </w:r>
          </w:p>
        </w:tc>
        <w:tc>
          <w:tcPr>
            <w:tcW w:w="492" w:type="pct"/>
            <w:tcMar>
              <w:left w:w="28" w:type="dxa"/>
              <w:right w:w="28" w:type="dxa"/>
            </w:tcMar>
            <w:vAlign w:val="center"/>
          </w:tcPr>
          <w:p w14:paraId="1619546E">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现有工程许可排放量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2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snapToGrid w:val="0"/>
                <w:color w:val="000000" w:themeColor="text1"/>
                <w14:textFill>
                  <w14:solidFill>
                    <w14:schemeClr w14:val="tx1"/>
                  </w14:solidFill>
                </w14:textFill>
              </w:rPr>
              <w:t>②</w:t>
            </w:r>
            <w:r>
              <w:rPr>
                <w:rFonts w:cs="Times New Roman"/>
                <w:snapToGrid w:val="0"/>
                <w:color w:val="000000" w:themeColor="text1"/>
                <w14:textFill>
                  <w14:solidFill>
                    <w14:schemeClr w14:val="tx1"/>
                  </w14:solidFill>
                </w14:textFill>
              </w:rPr>
              <w:fldChar w:fldCharType="end"/>
            </w:r>
          </w:p>
        </w:tc>
        <w:tc>
          <w:tcPr>
            <w:tcW w:w="594" w:type="pct"/>
            <w:tcMar>
              <w:left w:w="28" w:type="dxa"/>
              <w:right w:w="28" w:type="dxa"/>
            </w:tcMar>
            <w:vAlign w:val="center"/>
          </w:tcPr>
          <w:p w14:paraId="038736A1">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在建工程排放量（固体废物产生量）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3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③</w:t>
            </w:r>
            <w:r>
              <w:rPr>
                <w:rFonts w:cs="Times New Roman"/>
                <w:snapToGrid w:val="0"/>
                <w:color w:val="000000" w:themeColor="text1"/>
                <w14:textFill>
                  <w14:solidFill>
                    <w14:schemeClr w14:val="tx1"/>
                  </w14:solidFill>
                </w14:textFill>
              </w:rPr>
              <w:fldChar w:fldCharType="end"/>
            </w:r>
          </w:p>
        </w:tc>
        <w:tc>
          <w:tcPr>
            <w:tcW w:w="545" w:type="pct"/>
            <w:tcMar>
              <w:left w:w="28" w:type="dxa"/>
              <w:right w:w="28" w:type="dxa"/>
            </w:tcMar>
            <w:vAlign w:val="center"/>
          </w:tcPr>
          <w:p w14:paraId="51563D9E">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本项目排放量（固体废物产生量）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4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④</w:t>
            </w:r>
            <w:r>
              <w:rPr>
                <w:rFonts w:cs="Times New Roman"/>
                <w:snapToGrid w:val="0"/>
                <w:color w:val="000000" w:themeColor="text1"/>
                <w14:textFill>
                  <w14:solidFill>
                    <w14:schemeClr w14:val="tx1"/>
                  </w14:solidFill>
                </w14:textFill>
              </w:rPr>
              <w:fldChar w:fldCharType="end"/>
            </w:r>
          </w:p>
        </w:tc>
        <w:tc>
          <w:tcPr>
            <w:tcW w:w="594" w:type="pct"/>
            <w:tcMar>
              <w:left w:w="28" w:type="dxa"/>
              <w:right w:w="28" w:type="dxa"/>
            </w:tcMar>
            <w:vAlign w:val="center"/>
          </w:tcPr>
          <w:p w14:paraId="7486B0D6">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以新带老削减量</w:t>
            </w:r>
          </w:p>
          <w:p w14:paraId="6E3AE4CB">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（新建项目不填）</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5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⑤</w:t>
            </w:r>
            <w:r>
              <w:rPr>
                <w:rFonts w:cs="Times New Roman"/>
                <w:snapToGrid w:val="0"/>
                <w:color w:val="000000" w:themeColor="text1"/>
                <w:spacing w:val="-16"/>
                <w14:textFill>
                  <w14:solidFill>
                    <w14:schemeClr w14:val="tx1"/>
                  </w14:solidFill>
                </w14:textFill>
              </w:rPr>
              <w:fldChar w:fldCharType="end"/>
            </w:r>
          </w:p>
        </w:tc>
        <w:tc>
          <w:tcPr>
            <w:tcW w:w="594" w:type="pct"/>
            <w:tcMar>
              <w:left w:w="28" w:type="dxa"/>
              <w:right w:w="28" w:type="dxa"/>
            </w:tcMar>
            <w:vAlign w:val="center"/>
          </w:tcPr>
          <w:p w14:paraId="6468450B">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本项目建成后</w:t>
            </w:r>
          </w:p>
          <w:p w14:paraId="0F2D963C">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全厂排放量（固体废物产生量）</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6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⑥</w:t>
            </w:r>
            <w:r>
              <w:rPr>
                <w:rFonts w:cs="Times New Roman"/>
                <w:snapToGrid w:val="0"/>
                <w:color w:val="000000" w:themeColor="text1"/>
                <w:spacing w:val="-16"/>
                <w14:textFill>
                  <w14:solidFill>
                    <w14:schemeClr w14:val="tx1"/>
                  </w14:solidFill>
                </w14:textFill>
              </w:rPr>
              <w:fldChar w:fldCharType="end"/>
            </w:r>
          </w:p>
        </w:tc>
        <w:tc>
          <w:tcPr>
            <w:tcW w:w="475" w:type="pct"/>
            <w:tcMar>
              <w:left w:w="28" w:type="dxa"/>
              <w:right w:w="28" w:type="dxa"/>
            </w:tcMar>
            <w:vAlign w:val="center"/>
          </w:tcPr>
          <w:p w14:paraId="62E92A1A">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变化量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7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⑦</w:t>
            </w:r>
            <w:r>
              <w:rPr>
                <w:rFonts w:cs="Times New Roman"/>
                <w:snapToGrid w:val="0"/>
                <w:color w:val="000000" w:themeColor="text1"/>
                <w14:textFill>
                  <w14:solidFill>
                    <w14:schemeClr w14:val="tx1"/>
                  </w14:solidFill>
                </w14:textFill>
              </w:rPr>
              <w:fldChar w:fldCharType="end"/>
            </w:r>
          </w:p>
        </w:tc>
      </w:tr>
      <w:tr w14:paraId="44FC9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400" w:type="pct"/>
            <w:vAlign w:val="center"/>
          </w:tcPr>
          <w:p w14:paraId="1110CE62">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废气</w:t>
            </w:r>
          </w:p>
        </w:tc>
        <w:tc>
          <w:tcPr>
            <w:tcW w:w="716" w:type="pct"/>
            <w:vAlign w:val="center"/>
          </w:tcPr>
          <w:p w14:paraId="4CCA39FA">
            <w:pPr>
              <w:pStyle w:val="32"/>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无组织非甲烷总烃</w:t>
            </w:r>
          </w:p>
        </w:tc>
        <w:tc>
          <w:tcPr>
            <w:tcW w:w="589" w:type="pct"/>
            <w:vAlign w:val="center"/>
          </w:tcPr>
          <w:p w14:paraId="051F0464">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14:paraId="11F81845">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75C7BB6C">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0A6E0C75">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2t/a</w:t>
            </w:r>
          </w:p>
        </w:tc>
        <w:tc>
          <w:tcPr>
            <w:tcW w:w="594" w:type="pct"/>
            <w:vAlign w:val="center"/>
          </w:tcPr>
          <w:p w14:paraId="3AE09F79">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5652BCEC">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2t/a</w:t>
            </w:r>
          </w:p>
        </w:tc>
        <w:tc>
          <w:tcPr>
            <w:tcW w:w="475" w:type="pct"/>
            <w:vAlign w:val="center"/>
          </w:tcPr>
          <w:p w14:paraId="3F268D04">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2t/a</w:t>
            </w:r>
          </w:p>
        </w:tc>
      </w:tr>
      <w:tr w14:paraId="4010E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400" w:type="pct"/>
            <w:vMerge w:val="restart"/>
            <w:vAlign w:val="center"/>
          </w:tcPr>
          <w:p w14:paraId="3B74F6A4">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废水</w:t>
            </w:r>
          </w:p>
        </w:tc>
        <w:tc>
          <w:tcPr>
            <w:tcW w:w="716" w:type="pct"/>
            <w:vAlign w:val="center"/>
          </w:tcPr>
          <w:p w14:paraId="1126D69F">
            <w:pPr>
              <w:pStyle w:val="32"/>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废水量</w:t>
            </w:r>
          </w:p>
        </w:tc>
        <w:tc>
          <w:tcPr>
            <w:tcW w:w="589" w:type="pct"/>
            <w:vAlign w:val="center"/>
          </w:tcPr>
          <w:p w14:paraId="1A045640">
            <w:pPr>
              <w:pStyle w:val="32"/>
              <w:rPr>
                <w:rFonts w:cs="Times New Roman"/>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4</w:t>
            </w:r>
            <w:r>
              <w:rPr>
                <w:rFonts w:cs="Times New Roman"/>
                <w:color w:val="000000" w:themeColor="text1"/>
                <w:kern w:val="0"/>
                <w:szCs w:val="21"/>
                <w14:textFill>
                  <w14:solidFill>
                    <w14:schemeClr w14:val="tx1"/>
                  </w14:solidFill>
                </w14:textFill>
              </w:rPr>
              <w:t>18</w:t>
            </w:r>
            <w:r>
              <w:rPr>
                <w:rFonts w:hint="eastAsia"/>
              </w:rPr>
              <w:t>m</w:t>
            </w:r>
            <w:r>
              <w:rPr>
                <w:rFonts w:hint="eastAsia"/>
                <w:vertAlign w:val="superscript"/>
              </w:rPr>
              <w:t>3</w:t>
            </w:r>
            <w:r>
              <w:rPr>
                <w:rFonts w:hint="eastAsia"/>
              </w:rPr>
              <w:t>/a</w:t>
            </w:r>
          </w:p>
        </w:tc>
        <w:tc>
          <w:tcPr>
            <w:tcW w:w="492" w:type="pct"/>
            <w:vAlign w:val="center"/>
          </w:tcPr>
          <w:p w14:paraId="336D897A">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C3FD7F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084C5BD3">
            <w:pPr>
              <w:pStyle w:val="32"/>
              <w:rPr>
                <w:rFonts w:cs="Times New Roman"/>
                <w:snapToGrid w:val="0"/>
                <w:color w:val="000000" w:themeColor="text1"/>
                <w14:textFill>
                  <w14:solidFill>
                    <w14:schemeClr w14:val="tx1"/>
                  </w14:solidFill>
                </w14:textFill>
              </w:rPr>
            </w:pPr>
            <w:r>
              <w:rPr>
                <w:rFonts w:hint="eastAsia"/>
              </w:rPr>
              <w:t>345.6m</w:t>
            </w:r>
            <w:r>
              <w:rPr>
                <w:rFonts w:hint="eastAsia"/>
                <w:vertAlign w:val="superscript"/>
              </w:rPr>
              <w:t>3</w:t>
            </w:r>
            <w:r>
              <w:rPr>
                <w:rFonts w:hint="eastAsia"/>
              </w:rPr>
              <w:t>/a</w:t>
            </w:r>
          </w:p>
        </w:tc>
        <w:tc>
          <w:tcPr>
            <w:tcW w:w="594" w:type="pct"/>
            <w:vAlign w:val="center"/>
          </w:tcPr>
          <w:p w14:paraId="746B5942">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554C2E3D">
            <w:pPr>
              <w:pStyle w:val="32"/>
              <w:rPr>
                <w:rFonts w:cs="Times New Roman"/>
                <w:snapToGrid w:val="0"/>
                <w:color w:val="000000" w:themeColor="text1"/>
                <w14:textFill>
                  <w14:solidFill>
                    <w14:schemeClr w14:val="tx1"/>
                  </w14:solidFill>
                </w14:textFill>
              </w:rPr>
            </w:pPr>
            <w:r>
              <w:t>763.6</w:t>
            </w:r>
            <w:r>
              <w:rPr>
                <w:rFonts w:hint="eastAsia"/>
              </w:rPr>
              <w:t>m</w:t>
            </w:r>
            <w:r>
              <w:rPr>
                <w:rFonts w:hint="eastAsia"/>
                <w:vertAlign w:val="superscript"/>
              </w:rPr>
              <w:t>3</w:t>
            </w:r>
            <w:r>
              <w:rPr>
                <w:rFonts w:hint="eastAsia"/>
              </w:rPr>
              <w:t>/a</w:t>
            </w:r>
          </w:p>
        </w:tc>
        <w:tc>
          <w:tcPr>
            <w:tcW w:w="475" w:type="pct"/>
            <w:vAlign w:val="center"/>
          </w:tcPr>
          <w:p w14:paraId="6696BE56">
            <w:pPr>
              <w:pStyle w:val="32"/>
              <w:rPr>
                <w:rFonts w:cs="Times New Roman"/>
                <w:snapToGrid w:val="0"/>
                <w:color w:val="000000" w:themeColor="text1"/>
                <w14:textFill>
                  <w14:solidFill>
                    <w14:schemeClr w14:val="tx1"/>
                  </w14:solidFill>
                </w14:textFill>
              </w:rPr>
            </w:pPr>
            <w:r>
              <w:rPr>
                <w:rFonts w:hint="eastAsia"/>
              </w:rPr>
              <w:t>345.6m</w:t>
            </w:r>
            <w:r>
              <w:rPr>
                <w:rFonts w:hint="eastAsia"/>
                <w:vertAlign w:val="superscript"/>
              </w:rPr>
              <w:t>3</w:t>
            </w:r>
            <w:r>
              <w:rPr>
                <w:rFonts w:hint="eastAsia"/>
              </w:rPr>
              <w:t>/a</w:t>
            </w:r>
          </w:p>
        </w:tc>
      </w:tr>
      <w:tr w14:paraId="5D7AE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400" w:type="pct"/>
            <w:vMerge w:val="continue"/>
            <w:vAlign w:val="center"/>
          </w:tcPr>
          <w:p w14:paraId="2A8A8084">
            <w:pPr>
              <w:pStyle w:val="32"/>
              <w:rPr>
                <w:rFonts w:cs="Times New Roman"/>
                <w:snapToGrid w:val="0"/>
                <w:color w:val="000000" w:themeColor="text1"/>
                <w14:textFill>
                  <w14:solidFill>
                    <w14:schemeClr w14:val="tx1"/>
                  </w14:solidFill>
                </w14:textFill>
              </w:rPr>
            </w:pPr>
          </w:p>
        </w:tc>
        <w:tc>
          <w:tcPr>
            <w:tcW w:w="716" w:type="pct"/>
            <w:vAlign w:val="center"/>
          </w:tcPr>
          <w:p w14:paraId="1E711F06">
            <w:pPr>
              <w:pStyle w:val="32"/>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COD</w:t>
            </w:r>
          </w:p>
        </w:tc>
        <w:tc>
          <w:tcPr>
            <w:tcW w:w="589" w:type="pct"/>
            <w:vAlign w:val="center"/>
          </w:tcPr>
          <w:p w14:paraId="74BFDF33">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0.012</w:t>
            </w:r>
            <w:r>
              <w:rPr>
                <w:rFonts w:hint="eastAsia"/>
              </w:rPr>
              <w:t>m</w:t>
            </w:r>
            <w:r>
              <w:rPr>
                <w:rFonts w:hint="eastAsia"/>
                <w:vertAlign w:val="superscript"/>
              </w:rPr>
              <w:t>3</w:t>
            </w:r>
            <w:r>
              <w:rPr>
                <w:rFonts w:hint="eastAsia"/>
              </w:rPr>
              <w:t>/a</w:t>
            </w:r>
          </w:p>
        </w:tc>
        <w:tc>
          <w:tcPr>
            <w:tcW w:w="492" w:type="pct"/>
            <w:vAlign w:val="center"/>
          </w:tcPr>
          <w:p w14:paraId="7FE2A64D">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3512E510">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30EA71DA">
            <w:pPr>
              <w:pStyle w:val="32"/>
              <w:rPr>
                <w:rFonts w:cs="Times New Roman"/>
                <w:snapToGrid w:val="0"/>
                <w:color w:val="000000" w:themeColor="text1"/>
                <w14:textFill>
                  <w14:solidFill>
                    <w14:schemeClr w14:val="tx1"/>
                  </w14:solidFill>
                </w14:textFill>
              </w:rPr>
            </w:pPr>
            <w:r>
              <w:t>0.0</w:t>
            </w:r>
            <w:r>
              <w:rPr>
                <w:rFonts w:hint="eastAsia"/>
              </w:rPr>
              <w:t>98m</w:t>
            </w:r>
            <w:r>
              <w:rPr>
                <w:rFonts w:hint="eastAsia"/>
                <w:vertAlign w:val="superscript"/>
              </w:rPr>
              <w:t>3</w:t>
            </w:r>
            <w:r>
              <w:rPr>
                <w:rFonts w:hint="eastAsia"/>
              </w:rPr>
              <w:t>/a</w:t>
            </w:r>
          </w:p>
        </w:tc>
        <w:tc>
          <w:tcPr>
            <w:tcW w:w="594" w:type="pct"/>
            <w:vAlign w:val="center"/>
          </w:tcPr>
          <w:p w14:paraId="2D1E8646">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711E940">
            <w:pPr>
              <w:pStyle w:val="32"/>
              <w:rPr>
                <w:rFonts w:cs="Times New Roman"/>
                <w:snapToGrid w:val="0"/>
                <w:color w:val="000000" w:themeColor="text1"/>
                <w14:textFill>
                  <w14:solidFill>
                    <w14:schemeClr w14:val="tx1"/>
                  </w14:solidFill>
                </w14:textFill>
              </w:rPr>
            </w:pPr>
            <w:r>
              <w:t>0.110</w:t>
            </w:r>
            <w:r>
              <w:rPr>
                <w:rFonts w:hint="eastAsia"/>
              </w:rPr>
              <w:t>m</w:t>
            </w:r>
            <w:r>
              <w:rPr>
                <w:rFonts w:hint="eastAsia"/>
                <w:vertAlign w:val="superscript"/>
              </w:rPr>
              <w:t>3</w:t>
            </w:r>
            <w:r>
              <w:rPr>
                <w:rFonts w:hint="eastAsia"/>
              </w:rPr>
              <w:t>/a</w:t>
            </w:r>
          </w:p>
        </w:tc>
        <w:tc>
          <w:tcPr>
            <w:tcW w:w="475" w:type="pct"/>
            <w:vAlign w:val="center"/>
          </w:tcPr>
          <w:p w14:paraId="552DEA1B">
            <w:pPr>
              <w:pStyle w:val="32"/>
              <w:rPr>
                <w:rFonts w:cs="Times New Roman"/>
                <w:snapToGrid w:val="0"/>
                <w:color w:val="000000" w:themeColor="text1"/>
                <w14:textFill>
                  <w14:solidFill>
                    <w14:schemeClr w14:val="tx1"/>
                  </w14:solidFill>
                </w14:textFill>
              </w:rPr>
            </w:pPr>
            <w:r>
              <w:t>0.0</w:t>
            </w:r>
            <w:r>
              <w:rPr>
                <w:rFonts w:hint="eastAsia"/>
              </w:rPr>
              <w:t>98m</w:t>
            </w:r>
            <w:r>
              <w:rPr>
                <w:rFonts w:hint="eastAsia"/>
                <w:vertAlign w:val="superscript"/>
              </w:rPr>
              <w:t>3</w:t>
            </w:r>
            <w:r>
              <w:rPr>
                <w:rFonts w:hint="eastAsia"/>
              </w:rPr>
              <w:t>/a</w:t>
            </w:r>
          </w:p>
        </w:tc>
      </w:tr>
      <w:tr w14:paraId="37BE5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400" w:type="pct"/>
            <w:vMerge w:val="continue"/>
            <w:vAlign w:val="center"/>
          </w:tcPr>
          <w:p w14:paraId="5007121D">
            <w:pPr>
              <w:pStyle w:val="32"/>
              <w:rPr>
                <w:rFonts w:cs="Times New Roman"/>
                <w:snapToGrid w:val="0"/>
                <w:color w:val="000000" w:themeColor="text1"/>
                <w14:textFill>
                  <w14:solidFill>
                    <w14:schemeClr w14:val="tx1"/>
                  </w14:solidFill>
                </w14:textFill>
              </w:rPr>
            </w:pPr>
          </w:p>
        </w:tc>
        <w:tc>
          <w:tcPr>
            <w:tcW w:w="716" w:type="pct"/>
            <w:vAlign w:val="center"/>
          </w:tcPr>
          <w:p w14:paraId="3A4EBB07">
            <w:pPr>
              <w:pStyle w:val="32"/>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p>
        </w:tc>
        <w:tc>
          <w:tcPr>
            <w:tcW w:w="589" w:type="pct"/>
            <w:vAlign w:val="center"/>
          </w:tcPr>
          <w:p w14:paraId="7969C2DF">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0.075</w:t>
            </w:r>
            <w:r>
              <w:rPr>
                <w:rFonts w:hint="eastAsia"/>
              </w:rPr>
              <w:t>m</w:t>
            </w:r>
            <w:r>
              <w:rPr>
                <w:rFonts w:hint="eastAsia"/>
                <w:vertAlign w:val="superscript"/>
              </w:rPr>
              <w:t>3</w:t>
            </w:r>
            <w:r>
              <w:rPr>
                <w:rFonts w:hint="eastAsia"/>
              </w:rPr>
              <w:t>/a</w:t>
            </w:r>
          </w:p>
        </w:tc>
        <w:tc>
          <w:tcPr>
            <w:tcW w:w="492" w:type="pct"/>
            <w:vAlign w:val="center"/>
          </w:tcPr>
          <w:p w14:paraId="6965E237">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4A445E7">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2D1A744E">
            <w:pPr>
              <w:pStyle w:val="32"/>
              <w:rPr>
                <w:rFonts w:cs="Times New Roman"/>
                <w:snapToGrid w:val="0"/>
                <w:color w:val="000000" w:themeColor="text1"/>
                <w14:textFill>
                  <w14:solidFill>
                    <w14:schemeClr w14:val="tx1"/>
                  </w14:solidFill>
                </w14:textFill>
              </w:rPr>
            </w:pPr>
            <w:r>
              <w:t>0.0</w:t>
            </w:r>
            <w:r>
              <w:rPr>
                <w:rFonts w:hint="eastAsia"/>
              </w:rPr>
              <w:t>62m</w:t>
            </w:r>
            <w:r>
              <w:rPr>
                <w:rFonts w:hint="eastAsia"/>
                <w:vertAlign w:val="superscript"/>
              </w:rPr>
              <w:t>3</w:t>
            </w:r>
            <w:r>
              <w:rPr>
                <w:rFonts w:hint="eastAsia"/>
              </w:rPr>
              <w:t>/a</w:t>
            </w:r>
          </w:p>
        </w:tc>
        <w:tc>
          <w:tcPr>
            <w:tcW w:w="594" w:type="pct"/>
            <w:vAlign w:val="center"/>
          </w:tcPr>
          <w:p w14:paraId="6AEC8F74">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10483B0C">
            <w:pPr>
              <w:pStyle w:val="32"/>
              <w:rPr>
                <w:rFonts w:cs="Times New Roman"/>
                <w:snapToGrid w:val="0"/>
                <w:color w:val="000000" w:themeColor="text1"/>
                <w14:textFill>
                  <w14:solidFill>
                    <w14:schemeClr w14:val="tx1"/>
                  </w14:solidFill>
                </w14:textFill>
              </w:rPr>
            </w:pPr>
            <w:r>
              <w:t>0.137</w:t>
            </w:r>
            <w:r>
              <w:rPr>
                <w:rFonts w:hint="eastAsia"/>
              </w:rPr>
              <w:t>m</w:t>
            </w:r>
            <w:r>
              <w:rPr>
                <w:rFonts w:hint="eastAsia"/>
                <w:vertAlign w:val="superscript"/>
              </w:rPr>
              <w:t>3</w:t>
            </w:r>
            <w:r>
              <w:rPr>
                <w:rFonts w:hint="eastAsia"/>
              </w:rPr>
              <w:t>/a</w:t>
            </w:r>
          </w:p>
        </w:tc>
        <w:tc>
          <w:tcPr>
            <w:tcW w:w="475" w:type="pct"/>
            <w:vAlign w:val="center"/>
          </w:tcPr>
          <w:p w14:paraId="3E0DF009">
            <w:pPr>
              <w:pStyle w:val="32"/>
              <w:rPr>
                <w:rFonts w:cs="Times New Roman"/>
                <w:snapToGrid w:val="0"/>
                <w:color w:val="000000" w:themeColor="text1"/>
                <w14:textFill>
                  <w14:solidFill>
                    <w14:schemeClr w14:val="tx1"/>
                  </w14:solidFill>
                </w14:textFill>
              </w:rPr>
            </w:pPr>
            <w:r>
              <w:t>0.0</w:t>
            </w:r>
            <w:r>
              <w:rPr>
                <w:rFonts w:hint="eastAsia"/>
              </w:rPr>
              <w:t>62m</w:t>
            </w:r>
            <w:r>
              <w:rPr>
                <w:rFonts w:hint="eastAsia"/>
                <w:vertAlign w:val="superscript"/>
              </w:rPr>
              <w:t>3</w:t>
            </w:r>
            <w:r>
              <w:rPr>
                <w:rFonts w:hint="eastAsia"/>
              </w:rPr>
              <w:t>/a</w:t>
            </w:r>
          </w:p>
        </w:tc>
      </w:tr>
      <w:tr w14:paraId="43EF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00" w:type="pct"/>
            <w:vMerge w:val="continue"/>
            <w:vAlign w:val="center"/>
          </w:tcPr>
          <w:p w14:paraId="1C29AF26">
            <w:pPr>
              <w:pStyle w:val="32"/>
              <w:rPr>
                <w:rFonts w:cs="Times New Roman"/>
                <w:snapToGrid w:val="0"/>
                <w:color w:val="000000" w:themeColor="text1"/>
                <w14:textFill>
                  <w14:solidFill>
                    <w14:schemeClr w14:val="tx1"/>
                  </w14:solidFill>
                </w14:textFill>
              </w:rPr>
            </w:pPr>
          </w:p>
        </w:tc>
        <w:tc>
          <w:tcPr>
            <w:tcW w:w="716" w:type="pct"/>
            <w:vAlign w:val="center"/>
          </w:tcPr>
          <w:p w14:paraId="06311907">
            <w:pPr>
              <w:pStyle w:val="32"/>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589" w:type="pct"/>
            <w:vAlign w:val="center"/>
          </w:tcPr>
          <w:p w14:paraId="2499DB51">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0.08</w:t>
            </w:r>
            <w:r>
              <w:rPr>
                <w:rFonts w:hint="eastAsia"/>
              </w:rPr>
              <w:t>m</w:t>
            </w:r>
            <w:r>
              <w:rPr>
                <w:rFonts w:hint="eastAsia"/>
                <w:vertAlign w:val="superscript"/>
              </w:rPr>
              <w:t>3</w:t>
            </w:r>
            <w:r>
              <w:rPr>
                <w:rFonts w:hint="eastAsia"/>
              </w:rPr>
              <w:t>/a</w:t>
            </w:r>
          </w:p>
        </w:tc>
        <w:tc>
          <w:tcPr>
            <w:tcW w:w="492" w:type="pct"/>
            <w:vAlign w:val="center"/>
          </w:tcPr>
          <w:p w14:paraId="3D7F67A0">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5BB73D9D">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FC39DBC">
            <w:pPr>
              <w:pStyle w:val="32"/>
              <w:rPr>
                <w:rFonts w:cs="Times New Roman"/>
                <w:snapToGrid w:val="0"/>
                <w:color w:val="000000" w:themeColor="text1"/>
                <w14:textFill>
                  <w14:solidFill>
                    <w14:schemeClr w14:val="tx1"/>
                  </w14:solidFill>
                </w14:textFill>
              </w:rPr>
            </w:pPr>
            <w:r>
              <w:t>0.0</w:t>
            </w:r>
            <w:r>
              <w:rPr>
                <w:rFonts w:hint="eastAsia"/>
              </w:rPr>
              <w:t>69m</w:t>
            </w:r>
            <w:r>
              <w:rPr>
                <w:rFonts w:hint="eastAsia"/>
                <w:vertAlign w:val="superscript"/>
              </w:rPr>
              <w:t>3</w:t>
            </w:r>
            <w:r>
              <w:rPr>
                <w:rFonts w:hint="eastAsia"/>
              </w:rPr>
              <w:t>/a</w:t>
            </w:r>
          </w:p>
        </w:tc>
        <w:tc>
          <w:tcPr>
            <w:tcW w:w="594" w:type="pct"/>
            <w:vAlign w:val="center"/>
          </w:tcPr>
          <w:p w14:paraId="2E86E5C7">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829CAC7">
            <w:pPr>
              <w:pStyle w:val="32"/>
              <w:rPr>
                <w:rFonts w:cs="Times New Roman"/>
                <w:snapToGrid w:val="0"/>
                <w:color w:val="000000" w:themeColor="text1"/>
                <w14:textFill>
                  <w14:solidFill>
                    <w14:schemeClr w14:val="tx1"/>
                  </w14:solidFill>
                </w14:textFill>
              </w:rPr>
            </w:pPr>
            <w:r>
              <w:t>0.149</w:t>
            </w:r>
            <w:r>
              <w:rPr>
                <w:rFonts w:hint="eastAsia"/>
              </w:rPr>
              <w:t>m</w:t>
            </w:r>
            <w:r>
              <w:rPr>
                <w:rFonts w:hint="eastAsia"/>
                <w:vertAlign w:val="superscript"/>
              </w:rPr>
              <w:t>3</w:t>
            </w:r>
            <w:r>
              <w:rPr>
                <w:rFonts w:hint="eastAsia"/>
              </w:rPr>
              <w:t>/a</w:t>
            </w:r>
          </w:p>
        </w:tc>
        <w:tc>
          <w:tcPr>
            <w:tcW w:w="475" w:type="pct"/>
            <w:vAlign w:val="center"/>
          </w:tcPr>
          <w:p w14:paraId="4654F2B5">
            <w:pPr>
              <w:pStyle w:val="32"/>
              <w:rPr>
                <w:rFonts w:cs="Times New Roman"/>
                <w:snapToGrid w:val="0"/>
                <w:color w:val="000000" w:themeColor="text1"/>
                <w14:textFill>
                  <w14:solidFill>
                    <w14:schemeClr w14:val="tx1"/>
                  </w14:solidFill>
                </w14:textFill>
              </w:rPr>
            </w:pPr>
            <w:r>
              <w:t>0.0</w:t>
            </w:r>
            <w:r>
              <w:rPr>
                <w:rFonts w:hint="eastAsia"/>
              </w:rPr>
              <w:t>69m</w:t>
            </w:r>
            <w:r>
              <w:rPr>
                <w:rFonts w:hint="eastAsia"/>
                <w:vertAlign w:val="superscript"/>
              </w:rPr>
              <w:t>3</w:t>
            </w:r>
            <w:r>
              <w:rPr>
                <w:rFonts w:hint="eastAsia"/>
              </w:rPr>
              <w:t>/a</w:t>
            </w:r>
          </w:p>
        </w:tc>
      </w:tr>
      <w:tr w14:paraId="43CE8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trPr>
        <w:tc>
          <w:tcPr>
            <w:tcW w:w="400" w:type="pct"/>
            <w:vMerge w:val="continue"/>
            <w:vAlign w:val="center"/>
          </w:tcPr>
          <w:p w14:paraId="66BE5B96">
            <w:pPr>
              <w:pStyle w:val="32"/>
              <w:rPr>
                <w:rFonts w:cs="Times New Roman"/>
                <w:snapToGrid w:val="0"/>
                <w:color w:val="000000" w:themeColor="text1"/>
                <w14:textFill>
                  <w14:solidFill>
                    <w14:schemeClr w14:val="tx1"/>
                  </w14:solidFill>
                </w14:textFill>
              </w:rPr>
            </w:pPr>
          </w:p>
        </w:tc>
        <w:tc>
          <w:tcPr>
            <w:tcW w:w="716" w:type="pct"/>
            <w:vAlign w:val="center"/>
          </w:tcPr>
          <w:p w14:paraId="2FCC680E">
            <w:pPr>
              <w:pStyle w:val="32"/>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NH</w:t>
            </w:r>
            <w:r>
              <w:rPr>
                <w:rFonts w:cs="Times New Roman"/>
                <w:color w:val="000000" w:themeColor="text1"/>
                <w:szCs w:val="21"/>
                <w:vertAlign w:val="subscript"/>
                <w14:textFill>
                  <w14:solidFill>
                    <w14:schemeClr w14:val="tx1"/>
                  </w14:solidFill>
                </w14:textFill>
              </w:rPr>
              <w:t>3</w:t>
            </w:r>
            <w:r>
              <w:rPr>
                <w:rFonts w:cs="Times New Roman"/>
                <w:color w:val="000000" w:themeColor="text1"/>
                <w:szCs w:val="21"/>
                <w14:textFill>
                  <w14:solidFill>
                    <w14:schemeClr w14:val="tx1"/>
                  </w14:solidFill>
                </w14:textFill>
              </w:rPr>
              <w:t>-N</w:t>
            </w:r>
          </w:p>
        </w:tc>
        <w:tc>
          <w:tcPr>
            <w:tcW w:w="589" w:type="pct"/>
            <w:vAlign w:val="center"/>
          </w:tcPr>
          <w:p w14:paraId="4FC09D67">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0.01</w:t>
            </w:r>
            <w:r>
              <w:rPr>
                <w:rFonts w:hint="eastAsia"/>
              </w:rPr>
              <w:t>m</w:t>
            </w:r>
            <w:r>
              <w:rPr>
                <w:rFonts w:hint="eastAsia"/>
                <w:vertAlign w:val="superscript"/>
              </w:rPr>
              <w:t>3</w:t>
            </w:r>
            <w:r>
              <w:rPr>
                <w:rFonts w:hint="eastAsia"/>
              </w:rPr>
              <w:t>/a</w:t>
            </w:r>
          </w:p>
        </w:tc>
        <w:tc>
          <w:tcPr>
            <w:tcW w:w="492" w:type="pct"/>
            <w:vAlign w:val="center"/>
          </w:tcPr>
          <w:p w14:paraId="2B635AB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1D9C5109">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0DD9A58">
            <w:pPr>
              <w:pStyle w:val="32"/>
              <w:rPr>
                <w:rFonts w:cs="Times New Roman"/>
                <w:snapToGrid w:val="0"/>
                <w:color w:val="000000" w:themeColor="text1"/>
                <w14:textFill>
                  <w14:solidFill>
                    <w14:schemeClr w14:val="tx1"/>
                  </w14:solidFill>
                </w14:textFill>
              </w:rPr>
            </w:pPr>
            <w:r>
              <w:t>0.00</w:t>
            </w:r>
            <w:r>
              <w:rPr>
                <w:rFonts w:hint="eastAsia"/>
              </w:rPr>
              <w:t>83m</w:t>
            </w:r>
            <w:r>
              <w:rPr>
                <w:rFonts w:hint="eastAsia"/>
                <w:vertAlign w:val="superscript"/>
              </w:rPr>
              <w:t>3</w:t>
            </w:r>
            <w:r>
              <w:rPr>
                <w:rFonts w:hint="eastAsia"/>
              </w:rPr>
              <w:t>/a</w:t>
            </w:r>
          </w:p>
        </w:tc>
        <w:tc>
          <w:tcPr>
            <w:tcW w:w="594" w:type="pct"/>
            <w:vAlign w:val="center"/>
          </w:tcPr>
          <w:p w14:paraId="2076CDCE">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8C21548">
            <w:pPr>
              <w:pStyle w:val="32"/>
              <w:rPr>
                <w:rFonts w:cs="Times New Roman"/>
                <w:snapToGrid w:val="0"/>
                <w:color w:val="000000" w:themeColor="text1"/>
                <w14:textFill>
                  <w14:solidFill>
                    <w14:schemeClr w14:val="tx1"/>
                  </w14:solidFill>
                </w14:textFill>
              </w:rPr>
            </w:pPr>
            <w:r>
              <w:t>0.0183</w:t>
            </w:r>
            <w:r>
              <w:rPr>
                <w:rFonts w:hint="eastAsia"/>
              </w:rPr>
              <w:t>m</w:t>
            </w:r>
            <w:r>
              <w:rPr>
                <w:rFonts w:hint="eastAsia"/>
                <w:vertAlign w:val="superscript"/>
              </w:rPr>
              <w:t>3</w:t>
            </w:r>
            <w:r>
              <w:rPr>
                <w:rFonts w:hint="eastAsia"/>
              </w:rPr>
              <w:t>/a</w:t>
            </w:r>
          </w:p>
        </w:tc>
        <w:tc>
          <w:tcPr>
            <w:tcW w:w="475" w:type="pct"/>
            <w:vAlign w:val="center"/>
          </w:tcPr>
          <w:p w14:paraId="18B71C89">
            <w:pPr>
              <w:pStyle w:val="32"/>
              <w:rPr>
                <w:rFonts w:cs="Times New Roman"/>
                <w:snapToGrid w:val="0"/>
                <w:color w:val="000000" w:themeColor="text1"/>
                <w14:textFill>
                  <w14:solidFill>
                    <w14:schemeClr w14:val="tx1"/>
                  </w14:solidFill>
                </w14:textFill>
              </w:rPr>
            </w:pPr>
            <w:r>
              <w:t>0.00</w:t>
            </w:r>
            <w:r>
              <w:rPr>
                <w:rFonts w:hint="eastAsia"/>
              </w:rPr>
              <w:t>83m</w:t>
            </w:r>
            <w:r>
              <w:rPr>
                <w:rFonts w:hint="eastAsia"/>
                <w:vertAlign w:val="superscript"/>
              </w:rPr>
              <w:t>3</w:t>
            </w:r>
            <w:r>
              <w:rPr>
                <w:rFonts w:hint="eastAsia"/>
              </w:rPr>
              <w:t>/a</w:t>
            </w:r>
          </w:p>
        </w:tc>
      </w:tr>
      <w:tr w14:paraId="59569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400" w:type="pct"/>
            <w:vAlign w:val="center"/>
          </w:tcPr>
          <w:p w14:paraId="64639F21">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一般工业</w:t>
            </w:r>
          </w:p>
          <w:p w14:paraId="5CDC9F16">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固体废物</w:t>
            </w:r>
          </w:p>
        </w:tc>
        <w:tc>
          <w:tcPr>
            <w:tcW w:w="716" w:type="pct"/>
            <w:vAlign w:val="center"/>
          </w:tcPr>
          <w:p w14:paraId="16CFF0A0">
            <w:pPr>
              <w:pStyle w:val="32"/>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生活垃圾</w:t>
            </w:r>
          </w:p>
        </w:tc>
        <w:tc>
          <w:tcPr>
            <w:tcW w:w="589" w:type="pct"/>
            <w:vAlign w:val="center"/>
          </w:tcPr>
          <w:p w14:paraId="424EF79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14:paraId="6A7DA1BD">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70B2C4D8">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53695F9">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2.16t/a</w:t>
            </w:r>
          </w:p>
        </w:tc>
        <w:tc>
          <w:tcPr>
            <w:tcW w:w="594" w:type="pct"/>
            <w:vAlign w:val="center"/>
          </w:tcPr>
          <w:p w14:paraId="6A241C8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667C4FC">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2.16t/a</w:t>
            </w:r>
          </w:p>
        </w:tc>
        <w:tc>
          <w:tcPr>
            <w:tcW w:w="475" w:type="pct"/>
            <w:vAlign w:val="center"/>
          </w:tcPr>
          <w:p w14:paraId="55FCABC5">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2.16t/a</w:t>
            </w:r>
          </w:p>
        </w:tc>
      </w:tr>
      <w:tr w14:paraId="51D44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400" w:type="pct"/>
            <w:vAlign w:val="center"/>
          </w:tcPr>
          <w:p w14:paraId="69B4657D">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危险废物</w:t>
            </w:r>
          </w:p>
        </w:tc>
        <w:tc>
          <w:tcPr>
            <w:tcW w:w="716" w:type="pct"/>
            <w:vAlign w:val="center"/>
          </w:tcPr>
          <w:p w14:paraId="48A664BF">
            <w:pPr>
              <w:pStyle w:val="32"/>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残液</w:t>
            </w:r>
          </w:p>
        </w:tc>
        <w:tc>
          <w:tcPr>
            <w:tcW w:w="589" w:type="pct"/>
            <w:vAlign w:val="center"/>
          </w:tcPr>
          <w:p w14:paraId="3273C24A">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14:paraId="1DF14EA0">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4D621D60">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480DD021">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1</w:t>
            </w:r>
            <w:r>
              <w:rPr>
                <w:rFonts w:cs="Times New Roman"/>
                <w:snapToGrid w:val="0"/>
                <w:color w:val="000000" w:themeColor="text1"/>
                <w14:textFill>
                  <w14:solidFill>
                    <w14:schemeClr w14:val="tx1"/>
                  </w14:solidFill>
                </w14:textFill>
              </w:rPr>
              <w:t>0t/a</w:t>
            </w:r>
          </w:p>
        </w:tc>
        <w:tc>
          <w:tcPr>
            <w:tcW w:w="594" w:type="pct"/>
            <w:vAlign w:val="center"/>
          </w:tcPr>
          <w:p w14:paraId="54F65D2D">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A61635D">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1</w:t>
            </w:r>
            <w:r>
              <w:rPr>
                <w:rFonts w:cs="Times New Roman"/>
                <w:snapToGrid w:val="0"/>
                <w:color w:val="000000" w:themeColor="text1"/>
                <w14:textFill>
                  <w14:solidFill>
                    <w14:schemeClr w14:val="tx1"/>
                  </w14:solidFill>
                </w14:textFill>
              </w:rPr>
              <w:t>0t/a</w:t>
            </w:r>
          </w:p>
        </w:tc>
        <w:tc>
          <w:tcPr>
            <w:tcW w:w="475" w:type="pct"/>
            <w:vAlign w:val="center"/>
          </w:tcPr>
          <w:p w14:paraId="552D9C5C">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1</w:t>
            </w:r>
            <w:r>
              <w:rPr>
                <w:rFonts w:cs="Times New Roman"/>
                <w:snapToGrid w:val="0"/>
                <w:color w:val="000000" w:themeColor="text1"/>
                <w14:textFill>
                  <w14:solidFill>
                    <w14:schemeClr w14:val="tx1"/>
                  </w14:solidFill>
                </w14:textFill>
              </w:rPr>
              <w:t>0t/a</w:t>
            </w:r>
          </w:p>
        </w:tc>
      </w:tr>
      <w:bookmarkEnd w:id="36"/>
    </w:tbl>
    <w:p w14:paraId="5836B76B">
      <w:pPr>
        <w:ind w:firstLine="0" w:firstLineChars="0"/>
        <w:rPr>
          <w:color w:val="000000" w:themeColor="text1"/>
          <w14:textFill>
            <w14:solidFill>
              <w14:schemeClr w14:val="tx1"/>
            </w14:solidFill>
          </w14:textFill>
        </w:rPr>
        <w:sectPr>
          <w:pgSz w:w="16838" w:h="11906" w:orient="landscape"/>
          <w:pgMar w:top="1418" w:right="1418" w:bottom="1418" w:left="1418" w:header="851" w:footer="992" w:gutter="0"/>
          <w:cols w:space="425" w:num="1"/>
          <w:docGrid w:type="lines" w:linePitch="326" w:charSpace="0"/>
        </w:sectPr>
      </w:pPr>
      <w:r>
        <w:rPr>
          <w:rFonts w:hint="eastAsia"/>
          <w:color w:val="000000" w:themeColor="text1"/>
          <w14:textFill>
            <w14:solidFill>
              <w14:schemeClr w14:val="tx1"/>
            </w14:solidFill>
          </w14:textFill>
        </w:rPr>
        <w:t>注：</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3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5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⑤</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7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⑦</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p>
    <w:p w14:paraId="46275C96">
      <w:pPr>
        <w:ind w:firstLine="723"/>
        <w:jc w:val="center"/>
        <w:rPr>
          <w:b/>
          <w:bCs/>
          <w:color w:val="000000" w:themeColor="text1"/>
          <w:sz w:val="36"/>
          <w:szCs w:val="32"/>
          <w14:textFill>
            <w14:solidFill>
              <w14:schemeClr w14:val="tx1"/>
            </w14:solidFill>
          </w14:textFill>
        </w:rPr>
      </w:pPr>
    </w:p>
    <w:p w14:paraId="6F17C2BA">
      <w:pPr>
        <w:ind w:firstLine="723"/>
        <w:jc w:val="center"/>
        <w:rPr>
          <w:b/>
          <w:bCs/>
          <w:color w:val="000000" w:themeColor="text1"/>
          <w:sz w:val="36"/>
          <w:szCs w:val="32"/>
          <w14:textFill>
            <w14:solidFill>
              <w14:schemeClr w14:val="tx1"/>
            </w14:solidFill>
          </w14:textFill>
        </w:rPr>
      </w:pPr>
    </w:p>
    <w:p w14:paraId="7D964A69">
      <w:pPr>
        <w:ind w:firstLine="723"/>
        <w:jc w:val="center"/>
        <w:rPr>
          <w:b/>
          <w:bCs/>
          <w:color w:val="000000" w:themeColor="text1"/>
          <w:sz w:val="36"/>
          <w:szCs w:val="32"/>
          <w14:textFill>
            <w14:solidFill>
              <w14:schemeClr w14:val="tx1"/>
            </w14:solidFill>
          </w14:textFill>
        </w:rPr>
      </w:pPr>
    </w:p>
    <w:p w14:paraId="09B18D44">
      <w:pPr>
        <w:ind w:firstLine="723"/>
        <w:jc w:val="center"/>
        <w:rPr>
          <w:b/>
          <w:bCs/>
          <w:color w:val="000000" w:themeColor="text1"/>
          <w:sz w:val="36"/>
          <w:szCs w:val="32"/>
          <w14:textFill>
            <w14:solidFill>
              <w14:schemeClr w14:val="tx1"/>
            </w14:solidFill>
          </w14:textFill>
        </w:rPr>
      </w:pPr>
    </w:p>
    <w:p w14:paraId="7B852B90">
      <w:pPr>
        <w:ind w:firstLine="723"/>
        <w:jc w:val="center"/>
        <w:rPr>
          <w:b/>
          <w:bCs/>
          <w:color w:val="000000" w:themeColor="text1"/>
          <w:sz w:val="36"/>
          <w:szCs w:val="32"/>
          <w14:textFill>
            <w14:solidFill>
              <w14:schemeClr w14:val="tx1"/>
            </w14:solidFill>
          </w14:textFill>
        </w:rPr>
      </w:pPr>
    </w:p>
    <w:p w14:paraId="3EE5268D">
      <w:pPr>
        <w:ind w:firstLine="723"/>
        <w:jc w:val="center"/>
        <w:rPr>
          <w:b/>
          <w:bCs/>
          <w:color w:val="000000" w:themeColor="text1"/>
          <w:sz w:val="36"/>
          <w:szCs w:val="32"/>
          <w14:textFill>
            <w14:solidFill>
              <w14:schemeClr w14:val="tx1"/>
            </w14:solidFill>
          </w14:textFill>
        </w:rPr>
      </w:pPr>
      <w:bookmarkStart w:id="37" w:name="_Hlk97547469"/>
      <w:r>
        <w:rPr>
          <w:rFonts w:hint="eastAsia"/>
          <w:b/>
          <w:bCs/>
          <w:color w:val="000000" w:themeColor="text1"/>
          <w:sz w:val="36"/>
          <w:szCs w:val="32"/>
          <w14:textFill>
            <w14:solidFill>
              <w14:schemeClr w14:val="tx1"/>
            </w14:solidFill>
          </w14:textFill>
        </w:rPr>
        <w:t>和静环能工业气体有限公司丙烷、丁烷充装站改扩建项目环境风险影响专项评价</w:t>
      </w:r>
    </w:p>
    <w:bookmarkEnd w:id="37"/>
    <w:p w14:paraId="7804D725">
      <w:pPr>
        <w:ind w:firstLine="723"/>
        <w:jc w:val="center"/>
        <w:rPr>
          <w:b/>
          <w:bCs/>
          <w:color w:val="000000" w:themeColor="text1"/>
          <w:sz w:val="36"/>
          <w:szCs w:val="32"/>
          <w14:textFill>
            <w14:solidFill>
              <w14:schemeClr w14:val="tx1"/>
            </w14:solidFill>
          </w14:textFill>
        </w:rPr>
      </w:pPr>
    </w:p>
    <w:p w14:paraId="6CBEA42B">
      <w:pPr>
        <w:ind w:firstLine="723"/>
        <w:jc w:val="center"/>
        <w:rPr>
          <w:b/>
          <w:bCs/>
          <w:color w:val="000000" w:themeColor="text1"/>
          <w:sz w:val="36"/>
          <w:szCs w:val="32"/>
          <w14:textFill>
            <w14:solidFill>
              <w14:schemeClr w14:val="tx1"/>
            </w14:solidFill>
          </w14:textFill>
        </w:rPr>
      </w:pPr>
    </w:p>
    <w:p w14:paraId="68ACFE07">
      <w:pPr>
        <w:ind w:firstLine="723"/>
        <w:jc w:val="center"/>
        <w:rPr>
          <w:b/>
          <w:bCs/>
          <w:color w:val="000000" w:themeColor="text1"/>
          <w:sz w:val="36"/>
          <w:szCs w:val="32"/>
          <w14:textFill>
            <w14:solidFill>
              <w14:schemeClr w14:val="tx1"/>
            </w14:solidFill>
          </w14:textFill>
        </w:rPr>
      </w:pPr>
    </w:p>
    <w:p w14:paraId="4F9A4ED9">
      <w:pPr>
        <w:ind w:firstLine="723"/>
        <w:jc w:val="center"/>
        <w:rPr>
          <w:b/>
          <w:bCs/>
          <w:color w:val="000000" w:themeColor="text1"/>
          <w:sz w:val="36"/>
          <w:szCs w:val="32"/>
          <w14:textFill>
            <w14:solidFill>
              <w14:schemeClr w14:val="tx1"/>
            </w14:solidFill>
          </w14:textFill>
        </w:rPr>
      </w:pPr>
    </w:p>
    <w:p w14:paraId="6DCFC1C8">
      <w:pPr>
        <w:ind w:firstLine="723"/>
        <w:jc w:val="center"/>
        <w:rPr>
          <w:b/>
          <w:bCs/>
          <w:color w:val="000000" w:themeColor="text1"/>
          <w:sz w:val="36"/>
          <w:szCs w:val="32"/>
          <w14:textFill>
            <w14:solidFill>
              <w14:schemeClr w14:val="tx1"/>
            </w14:solidFill>
          </w14:textFill>
        </w:rPr>
      </w:pPr>
    </w:p>
    <w:p w14:paraId="564A0586">
      <w:pPr>
        <w:ind w:firstLine="723"/>
        <w:jc w:val="center"/>
        <w:rPr>
          <w:b/>
          <w:bCs/>
          <w:color w:val="000000" w:themeColor="text1"/>
          <w:sz w:val="36"/>
          <w:szCs w:val="32"/>
          <w14:textFill>
            <w14:solidFill>
              <w14:schemeClr w14:val="tx1"/>
            </w14:solidFill>
          </w14:textFill>
        </w:rPr>
      </w:pPr>
    </w:p>
    <w:p w14:paraId="70C2C6DC">
      <w:pPr>
        <w:ind w:firstLine="723"/>
        <w:jc w:val="center"/>
        <w:rPr>
          <w:b/>
          <w:bCs/>
          <w:color w:val="000000" w:themeColor="text1"/>
          <w:sz w:val="36"/>
          <w:szCs w:val="32"/>
          <w14:textFill>
            <w14:solidFill>
              <w14:schemeClr w14:val="tx1"/>
            </w14:solidFill>
          </w14:textFill>
        </w:rPr>
      </w:pPr>
      <w:bookmarkStart w:id="38" w:name="_Hlk97547532"/>
      <w:r>
        <w:rPr>
          <w:rFonts w:hint="eastAsia"/>
          <w:b/>
          <w:bCs/>
          <w:color w:val="000000" w:themeColor="text1"/>
          <w:sz w:val="36"/>
          <w:szCs w:val="32"/>
          <w14:textFill>
            <w14:solidFill>
              <w14:schemeClr w14:val="tx1"/>
            </w14:solidFill>
          </w14:textFill>
        </w:rPr>
        <w:t>2</w:t>
      </w:r>
      <w:r>
        <w:rPr>
          <w:b/>
          <w:bCs/>
          <w:color w:val="000000" w:themeColor="text1"/>
          <w:sz w:val="36"/>
          <w:szCs w:val="32"/>
          <w14:textFill>
            <w14:solidFill>
              <w14:schemeClr w14:val="tx1"/>
            </w14:solidFill>
          </w14:textFill>
        </w:rPr>
        <w:t>025</w:t>
      </w:r>
      <w:r>
        <w:rPr>
          <w:rFonts w:hint="eastAsia"/>
          <w:b/>
          <w:bCs/>
          <w:color w:val="000000" w:themeColor="text1"/>
          <w:sz w:val="36"/>
          <w:szCs w:val="32"/>
          <w14:textFill>
            <w14:solidFill>
              <w14:schemeClr w14:val="tx1"/>
            </w14:solidFill>
          </w14:textFill>
        </w:rPr>
        <w:t>年</w:t>
      </w:r>
      <w:r>
        <w:rPr>
          <w:b/>
          <w:bCs/>
          <w:color w:val="000000" w:themeColor="text1"/>
          <w:sz w:val="36"/>
          <w:szCs w:val="32"/>
          <w14:textFill>
            <w14:solidFill>
              <w14:schemeClr w14:val="tx1"/>
            </w14:solidFill>
          </w14:textFill>
        </w:rPr>
        <w:t>11</w:t>
      </w:r>
      <w:r>
        <w:rPr>
          <w:rFonts w:hint="eastAsia"/>
          <w:b/>
          <w:bCs/>
          <w:color w:val="000000" w:themeColor="text1"/>
          <w:sz w:val="36"/>
          <w:szCs w:val="32"/>
          <w14:textFill>
            <w14:solidFill>
              <w14:schemeClr w14:val="tx1"/>
            </w14:solidFill>
          </w14:textFill>
        </w:rPr>
        <w:t>月</w:t>
      </w:r>
    </w:p>
    <w:bookmarkEnd w:id="38"/>
    <w:p w14:paraId="7B53D650">
      <w:pPr>
        <w:ind w:firstLine="480"/>
        <w:rPr>
          <w:color w:val="000000" w:themeColor="text1"/>
          <w14:textFill>
            <w14:solidFill>
              <w14:schemeClr w14:val="tx1"/>
            </w14:solidFill>
          </w14:textFill>
        </w:rPr>
      </w:pPr>
    </w:p>
    <w:p w14:paraId="5A51A695">
      <w:pPr>
        <w:ind w:firstLine="480"/>
        <w:rPr>
          <w:color w:val="000000" w:themeColor="text1"/>
          <w14:textFill>
            <w14:solidFill>
              <w14:schemeClr w14:val="tx1"/>
            </w14:solidFill>
          </w14:textFill>
        </w:rPr>
      </w:pPr>
    </w:p>
    <w:p w14:paraId="09709526">
      <w:pPr>
        <w:ind w:firstLine="480"/>
        <w:rPr>
          <w:color w:val="000000" w:themeColor="text1"/>
          <w14:textFill>
            <w14:solidFill>
              <w14:schemeClr w14:val="tx1"/>
            </w14:solidFill>
          </w14:textFill>
        </w:rPr>
      </w:pPr>
    </w:p>
    <w:p w14:paraId="3F167F50">
      <w:pPr>
        <w:ind w:firstLine="480"/>
        <w:rPr>
          <w:color w:val="000000" w:themeColor="text1"/>
          <w14:textFill>
            <w14:solidFill>
              <w14:schemeClr w14:val="tx1"/>
            </w14:solidFill>
          </w14:textFill>
        </w:rPr>
      </w:pPr>
    </w:p>
    <w:p w14:paraId="5D1EF5DB">
      <w:pPr>
        <w:widowControl/>
        <w:spacing w:line="240" w:lineRule="auto"/>
        <w:ind w:firstLine="0" w:firstLineChars="0"/>
        <w:jc w:val="left"/>
        <w:textAlignment w:val="auto"/>
        <w:rPr>
          <w:b/>
          <w:bCs/>
          <w:color w:val="000000" w:themeColor="text1"/>
          <w:kern w:val="44"/>
          <w:sz w:val="28"/>
          <w:szCs w:val="44"/>
          <w14:textFill>
            <w14:solidFill>
              <w14:schemeClr w14:val="tx1"/>
            </w14:solidFill>
          </w14:textFill>
        </w:rPr>
      </w:pPr>
      <w:r>
        <w:rPr>
          <w:color w:val="000000" w:themeColor="text1"/>
          <w14:textFill>
            <w14:solidFill>
              <w14:schemeClr w14:val="tx1"/>
            </w14:solidFill>
          </w14:textFill>
        </w:rPr>
        <w:br w:type="page"/>
      </w:r>
    </w:p>
    <w:p w14:paraId="07CAAB94">
      <w:pPr>
        <w:pStyle w:val="2"/>
        <w:rPr>
          <w:color w:val="000000" w:themeColor="text1"/>
          <w14:textFill>
            <w14:solidFill>
              <w14:schemeClr w14:val="tx1"/>
            </w14:solidFill>
          </w14:textFill>
        </w:rPr>
      </w:pPr>
      <w:bookmarkStart w:id="39" w:name="_Hlk97547591"/>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总则</w:t>
      </w:r>
    </w:p>
    <w:p w14:paraId="0524F827">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任务由来</w:t>
      </w:r>
    </w:p>
    <w:p w14:paraId="7650AA29">
      <w:pPr>
        <w:ind w:firstLine="480"/>
        <w:rPr>
          <w:color w:val="000000"/>
          <w:szCs w:val="25"/>
          <w:lang w:bidi="en-US"/>
        </w:rPr>
      </w:pPr>
      <w:r>
        <w:rPr>
          <w:rFonts w:hint="eastAsia"/>
          <w:color w:val="000000" w:themeColor="text1"/>
          <w14:textFill>
            <w14:solidFill>
              <w14:schemeClr w14:val="tx1"/>
            </w14:solidFill>
          </w14:textFill>
        </w:rPr>
        <w:t>和静环能工业气体有限公司位于</w:t>
      </w:r>
      <w:r>
        <w:rPr>
          <w:rFonts w:hint="eastAsia"/>
        </w:rPr>
        <w:t>和静工业园区新兴产业区，</w:t>
      </w:r>
      <w:r>
        <w:rPr>
          <w:rFonts w:hint="eastAsia"/>
          <w:color w:val="000000" w:themeColor="text1"/>
          <w14:textFill>
            <w14:solidFill>
              <w14:schemeClr w14:val="tx1"/>
            </w14:solidFill>
          </w14:textFill>
        </w:rPr>
        <w:t>和静环能工业气体有限公司拟投资</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万元</w:t>
      </w:r>
      <w:r>
        <w:rPr>
          <w:rFonts w:hint="eastAsia"/>
        </w:rPr>
        <w:t>建设</w:t>
      </w:r>
      <w:r>
        <w:rPr>
          <w:rFonts w:hint="eastAsia"/>
          <w:color w:val="000000"/>
          <w:szCs w:val="25"/>
          <w:lang w:bidi="en-US"/>
        </w:rPr>
        <w:t>“和静环能工业气体有限公司丙烷、丁烷充装站改扩建项目”。</w:t>
      </w:r>
      <w:r>
        <w:rPr>
          <w:rFonts w:hint="eastAsia"/>
        </w:rPr>
        <w:t>随着巴州地区对丙烷、丁烷需求量的日益增大，市场对丙烷、丁烷气体的需求旺盛且潜力巨大。</w:t>
      </w:r>
      <w:bookmarkStart w:id="40" w:name="OLE_LINK15"/>
      <w:r>
        <w:rPr>
          <w:rFonts w:hint="eastAsia"/>
        </w:rPr>
        <w:t>公司决定对现有工程进行改扩建，将原有乙炔生产部分厂房改造为丙烷、丁烷充装站</w:t>
      </w:r>
      <w:bookmarkEnd w:id="40"/>
      <w:r>
        <w:rPr>
          <w:rFonts w:hint="eastAsia"/>
        </w:rPr>
        <w:t>，并购置4台埋地卧式储罐、1台埋地式残液罐、2台丙烷充装称、2台丁烷充装称、4台压缩机及配套设施等</w:t>
      </w:r>
      <w:r>
        <w:t>。</w:t>
      </w:r>
    </w:p>
    <w:p w14:paraId="0F9CD75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建设项目环境影响报告表编制技术指南（污染影响类）（试行）》中环境风险专项评价设置原则，有毒有害和易燃易爆危险物质存储量超过临界量的建设项目需设置环境风险专项评价。根据《建设项目环境风险评价技术导则》（HJ169-2018）附录B中相关风险物质临界量对比，本项目涉及的风险物质主要为丁烷和丙烷。丙烷的最大储存量为18.36</w:t>
      </w:r>
      <w:r>
        <w:rPr>
          <w:rFonts w:hint="eastAsia"/>
          <w:color w:val="000000" w:themeColor="text1"/>
          <w14:textFill>
            <w14:solidFill>
              <w14:schemeClr w14:val="tx1"/>
            </w14:solidFill>
          </w14:textFill>
        </w:rPr>
        <w:t>t</w:t>
      </w:r>
      <w:r>
        <w:rPr>
          <w:rFonts w:hint="eastAsia" w:cs="等线"/>
          <w:color w:val="000000" w:themeColor="text1"/>
          <w:szCs w:val="20"/>
          <w14:textFill>
            <w14:solidFill>
              <w14:schemeClr w14:val="tx1"/>
            </w14:solidFill>
          </w14:textFill>
        </w:rPr>
        <w:t>，临界量为10</w:t>
      </w:r>
      <w:r>
        <w:rPr>
          <w:rFonts w:hint="eastAsia"/>
          <w:color w:val="000000" w:themeColor="text1"/>
          <w14:textFill>
            <w14:solidFill>
              <w14:schemeClr w14:val="tx1"/>
            </w14:solidFill>
          </w14:textFill>
        </w:rPr>
        <w:t>t</w:t>
      </w:r>
      <w:r>
        <w:rPr>
          <w:rFonts w:hint="eastAsia" w:cs="等线"/>
          <w:color w:val="000000" w:themeColor="text1"/>
          <w:szCs w:val="20"/>
          <w14:textFill>
            <w14:solidFill>
              <w14:schemeClr w14:val="tx1"/>
            </w14:solidFill>
          </w14:textFill>
        </w:rPr>
        <w:t>；丁烷的最大储存量为20.84</w:t>
      </w:r>
      <w:r>
        <w:rPr>
          <w:rFonts w:hint="eastAsia"/>
          <w:color w:val="000000" w:themeColor="text1"/>
          <w14:textFill>
            <w14:solidFill>
              <w14:schemeClr w14:val="tx1"/>
            </w14:solidFill>
          </w14:textFill>
        </w:rPr>
        <w:t>t</w:t>
      </w:r>
      <w:r>
        <w:rPr>
          <w:rFonts w:hint="eastAsia" w:cs="等线"/>
          <w:color w:val="000000" w:themeColor="text1"/>
          <w:szCs w:val="20"/>
          <w14:textFill>
            <w14:solidFill>
              <w14:schemeClr w14:val="tx1"/>
            </w14:solidFill>
          </w14:textFill>
        </w:rPr>
        <w:t>，临界量为10</w:t>
      </w:r>
      <w:r>
        <w:rPr>
          <w:rFonts w:hint="eastAsia"/>
          <w:color w:val="000000" w:themeColor="text1"/>
          <w14:textFill>
            <w14:solidFill>
              <w14:schemeClr w14:val="tx1"/>
            </w14:solidFill>
          </w14:textFill>
        </w:rPr>
        <w:t>t</w:t>
      </w:r>
      <w:r>
        <w:rPr>
          <w:rFonts w:hint="eastAsia" w:cs="等线"/>
          <w:color w:val="000000" w:themeColor="text1"/>
          <w:szCs w:val="20"/>
          <w14:textFill>
            <w14:solidFill>
              <w14:schemeClr w14:val="tx1"/>
            </w14:solidFill>
          </w14:textFill>
        </w:rPr>
        <w:t>。由于储存量超过了临界量，因此本项目需设置环境风险专项评价。</w:t>
      </w:r>
    </w:p>
    <w:p w14:paraId="0EFED6FE">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我公司受</w:t>
      </w:r>
      <w:r>
        <w:rPr>
          <w:rFonts w:hint="eastAsia"/>
          <w:color w:val="000000" w:themeColor="text1"/>
          <w14:textFill>
            <w14:solidFill>
              <w14:schemeClr w14:val="tx1"/>
            </w14:solidFill>
          </w14:textFill>
        </w:rPr>
        <w:t>和静环能工业气体有限公司</w:t>
      </w:r>
      <w:r>
        <w:rPr>
          <w:rFonts w:hint="eastAsia" w:cs="等线"/>
          <w:color w:val="000000" w:themeColor="text1"/>
          <w:szCs w:val="20"/>
          <w14:textFill>
            <w14:solidFill>
              <w14:schemeClr w14:val="tx1"/>
            </w14:solidFill>
          </w14:textFill>
        </w:rPr>
        <w:t>的委托，承担了</w:t>
      </w:r>
      <w:r>
        <w:rPr>
          <w:rFonts w:hint="eastAsia"/>
          <w:color w:val="000000" w:themeColor="text1"/>
          <w14:textFill>
            <w14:solidFill>
              <w14:schemeClr w14:val="tx1"/>
            </w14:solidFill>
          </w14:textFill>
        </w:rPr>
        <w:t>和静环能工业气体有限公司丙烷、丁烷充装站改扩建项目</w:t>
      </w:r>
      <w:r>
        <w:rPr>
          <w:rFonts w:hint="eastAsia" w:cs="等线"/>
          <w:color w:val="000000" w:themeColor="text1"/>
          <w:szCs w:val="20"/>
          <w14:textFill>
            <w14:solidFill>
              <w14:schemeClr w14:val="tx1"/>
            </w14:solidFill>
          </w14:textFill>
        </w:rPr>
        <w:t>的环境影响评价工作，接受委托后，组织有关技术人员到厂址所在地及其周围环境进行了实地勘查与调研，收集了有关的工程资料，按照国家和地区环境保护法律法规和环境影响评价技术导则，编制完成了《</w:t>
      </w:r>
      <w:r>
        <w:rPr>
          <w:rFonts w:hint="eastAsia"/>
          <w:color w:val="000000"/>
          <w:szCs w:val="25"/>
          <w:lang w:bidi="en-US"/>
        </w:rPr>
        <w:t>和静环能工业气体有限公司丙烷、丁烷充装站改扩建项目</w:t>
      </w:r>
      <w:r>
        <w:rPr>
          <w:rFonts w:hint="eastAsia" w:cs="等线"/>
          <w:color w:val="000000" w:themeColor="text1"/>
          <w:szCs w:val="20"/>
          <w14:textFill>
            <w14:solidFill>
              <w14:schemeClr w14:val="tx1"/>
            </w14:solidFill>
          </w14:textFill>
        </w:rPr>
        <w:t>环境风险影响专项分析》。</w:t>
      </w:r>
    </w:p>
    <w:bookmarkEnd w:id="39"/>
    <w:p w14:paraId="618A7755">
      <w:pPr>
        <w:pStyle w:val="3"/>
        <w:rPr>
          <w:color w:val="000000" w:themeColor="text1"/>
          <w14:textFill>
            <w14:solidFill>
              <w14:schemeClr w14:val="tx1"/>
            </w14:solidFill>
          </w14:textFill>
        </w:rPr>
      </w:pPr>
      <w:bookmarkStart w:id="41" w:name="_Hlk97548001"/>
      <w:r>
        <w:rPr>
          <w:color w:val="000000" w:themeColor="text1"/>
          <w14:textFill>
            <w14:solidFill>
              <w14:schemeClr w14:val="tx1"/>
            </w14:solidFill>
          </w14:textFill>
        </w:rPr>
        <w:t>1.2</w:t>
      </w:r>
      <w:r>
        <w:rPr>
          <w:rFonts w:hint="eastAsia"/>
          <w:color w:val="000000" w:themeColor="text1"/>
          <w14:textFill>
            <w14:solidFill>
              <w14:schemeClr w14:val="tx1"/>
            </w14:solidFill>
          </w14:textFill>
        </w:rPr>
        <w:t>评价依据</w:t>
      </w:r>
    </w:p>
    <w:p w14:paraId="1810E667">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1.2.1国家法律依据</w:t>
      </w:r>
    </w:p>
    <w:p w14:paraId="435939A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（1）《中华人民共和国环境保护法》，1989年12月26日首次颁布，2014年4月24日修订，2015年1月1日实施；</w:t>
      </w:r>
    </w:p>
    <w:p w14:paraId="51067983">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（2）《中华人民共和国环境影响评价法》，2018年1</w:t>
      </w:r>
      <w:bookmarkStart w:id="50" w:name="_GoBack"/>
      <w:r>
        <w:rPr>
          <w:rFonts w:hint="eastAsia" w:cs="等线"/>
          <w:color w:val="000000" w:themeColor="text1"/>
          <w:szCs w:val="20"/>
          <w14:textFill>
            <w14:solidFill>
              <w14:schemeClr w14:val="tx1"/>
            </w14:solidFill>
          </w14:textFill>
        </w:rPr>
        <w:t>2月29日</w:t>
      </w:r>
      <w:bookmarkEnd w:id="50"/>
      <w:r>
        <w:rPr>
          <w:rFonts w:hint="eastAsia" w:cs="等线"/>
          <w:color w:val="000000" w:themeColor="text1"/>
          <w:szCs w:val="20"/>
          <w14:textFill>
            <w14:solidFill>
              <w14:schemeClr w14:val="tx1"/>
            </w14:solidFill>
          </w14:textFill>
        </w:rPr>
        <w:t>第二次修正施行；</w:t>
      </w:r>
    </w:p>
    <w:p w14:paraId="0070845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（3）《中华人民共和国大气污染防治法》，（2018年10月26日第二次修正施行）；</w:t>
      </w:r>
    </w:p>
    <w:p w14:paraId="77929B3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（4）《中华人民共和国水污染防治法》，2018年1月1日起施行；</w:t>
      </w:r>
    </w:p>
    <w:p w14:paraId="4E5A1028">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（5）《中华人民共和国固体废物污染环境防治法》，2020年4月29日第二次修订，2020年9月1日起施行；</w:t>
      </w:r>
    </w:p>
    <w:p w14:paraId="702ABF4C">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（6）《关于印发大气污染防治行动计划的通知》，国发〔2013〕37号；</w:t>
      </w:r>
    </w:p>
    <w:p w14:paraId="32F9AE9C">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（7）《</w:t>
      </w:r>
      <w:r>
        <w:rPr>
          <w:rFonts w:ascii="宋体" w:hAnsi="宋体" w:cs="宋体"/>
          <w:szCs w:val="24"/>
        </w:rPr>
        <w:t>关于印发水污染防治行动计划的通知</w:t>
      </w:r>
      <w:r>
        <w:rPr>
          <w:rFonts w:hint="eastAsia" w:cs="等线"/>
          <w:color w:val="000000" w:themeColor="text1"/>
          <w:szCs w:val="20"/>
          <w14:textFill>
            <w14:solidFill>
              <w14:schemeClr w14:val="tx1"/>
            </w14:solidFill>
          </w14:textFill>
        </w:rPr>
        <w:t>》，国发〔2015〕17号；</w:t>
      </w:r>
    </w:p>
    <w:p w14:paraId="2FAC7502">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（8）《土壤污染防治行动计划》，2016年5月28日起实施；</w:t>
      </w:r>
    </w:p>
    <w:p w14:paraId="06119B82">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（9）《危险化学品安全管理条例》（国务院令第591号）；</w:t>
      </w:r>
    </w:p>
    <w:p w14:paraId="6C876C2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（10）《突发环境事件应急管理办法》，201</w:t>
      </w:r>
      <w:r>
        <w:rPr>
          <w:rFonts w:cs="等线"/>
          <w:color w:val="000000" w:themeColor="text1"/>
          <w:szCs w:val="20"/>
          <w14:textFill>
            <w14:solidFill>
              <w14:schemeClr w14:val="tx1"/>
            </w14:solidFill>
          </w14:textFill>
        </w:rPr>
        <w:t>5</w:t>
      </w:r>
      <w:r>
        <w:rPr>
          <w:rFonts w:hint="eastAsia" w:cs="等线"/>
          <w:color w:val="000000" w:themeColor="text1"/>
          <w:szCs w:val="20"/>
          <w14:textFill>
            <w14:solidFill>
              <w14:schemeClr w14:val="tx1"/>
            </w14:solidFill>
          </w14:textFill>
        </w:rPr>
        <w:t>年</w:t>
      </w:r>
      <w:r>
        <w:rPr>
          <w:rFonts w:cs="等线"/>
          <w:color w:val="000000" w:themeColor="text1"/>
          <w:szCs w:val="20"/>
          <w14:textFill>
            <w14:solidFill>
              <w14:schemeClr w14:val="tx1"/>
            </w14:solidFill>
          </w14:textFill>
        </w:rPr>
        <w:t>6</w:t>
      </w:r>
      <w:r>
        <w:rPr>
          <w:rFonts w:hint="eastAsia" w:cs="等线"/>
          <w:color w:val="000000" w:themeColor="text1"/>
          <w:szCs w:val="20"/>
          <w14:textFill>
            <w14:solidFill>
              <w14:schemeClr w14:val="tx1"/>
            </w14:solidFill>
          </w14:textFill>
        </w:rPr>
        <w:t>月</w:t>
      </w:r>
      <w:r>
        <w:rPr>
          <w:rFonts w:cs="等线"/>
          <w:color w:val="000000" w:themeColor="text1"/>
          <w:szCs w:val="20"/>
          <w14:textFill>
            <w14:solidFill>
              <w14:schemeClr w14:val="tx1"/>
            </w14:solidFill>
          </w14:textFill>
        </w:rPr>
        <w:t>5</w:t>
      </w:r>
      <w:r>
        <w:rPr>
          <w:rFonts w:hint="eastAsia" w:cs="等线"/>
          <w:color w:val="000000" w:themeColor="text1"/>
          <w:szCs w:val="20"/>
          <w14:textFill>
            <w14:solidFill>
              <w14:schemeClr w14:val="tx1"/>
            </w14:solidFill>
          </w14:textFill>
        </w:rPr>
        <w:t>日起施行；</w:t>
      </w:r>
    </w:p>
    <w:p w14:paraId="224D9254">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（11）《突发环境事件信息报告办法》，201</w:t>
      </w:r>
      <w:r>
        <w:rPr>
          <w:rFonts w:cs="等线"/>
          <w:color w:val="000000" w:themeColor="text1"/>
          <w:szCs w:val="20"/>
          <w14:textFill>
            <w14:solidFill>
              <w14:schemeClr w14:val="tx1"/>
            </w14:solidFill>
          </w14:textFill>
        </w:rPr>
        <w:t>1</w:t>
      </w:r>
      <w:r>
        <w:rPr>
          <w:rFonts w:hint="eastAsia" w:cs="等线"/>
          <w:color w:val="000000" w:themeColor="text1"/>
          <w:szCs w:val="20"/>
          <w14:textFill>
            <w14:solidFill>
              <w14:schemeClr w14:val="tx1"/>
            </w14:solidFill>
          </w14:textFill>
        </w:rPr>
        <w:t>年</w:t>
      </w:r>
      <w:r>
        <w:rPr>
          <w:rFonts w:cs="等线"/>
          <w:color w:val="000000" w:themeColor="text1"/>
          <w:szCs w:val="20"/>
          <w14:textFill>
            <w14:solidFill>
              <w14:schemeClr w14:val="tx1"/>
            </w14:solidFill>
          </w14:textFill>
        </w:rPr>
        <w:t>5</w:t>
      </w:r>
      <w:r>
        <w:rPr>
          <w:rFonts w:hint="eastAsia" w:cs="等线"/>
          <w:color w:val="000000" w:themeColor="text1"/>
          <w:szCs w:val="20"/>
          <w14:textFill>
            <w14:solidFill>
              <w14:schemeClr w14:val="tx1"/>
            </w14:solidFill>
          </w14:textFill>
        </w:rPr>
        <w:t>月</w:t>
      </w:r>
      <w:r>
        <w:rPr>
          <w:rFonts w:cs="等线"/>
          <w:color w:val="000000" w:themeColor="text1"/>
          <w:szCs w:val="20"/>
          <w14:textFill>
            <w14:solidFill>
              <w14:schemeClr w14:val="tx1"/>
            </w14:solidFill>
          </w14:textFill>
        </w:rPr>
        <w:t>1</w:t>
      </w:r>
      <w:r>
        <w:rPr>
          <w:rFonts w:hint="eastAsia" w:cs="等线"/>
          <w:color w:val="000000" w:themeColor="text1"/>
          <w:szCs w:val="20"/>
          <w14:textFill>
            <w14:solidFill>
              <w14:schemeClr w14:val="tx1"/>
            </w14:solidFill>
          </w14:textFill>
        </w:rPr>
        <w:t>日起施行；</w:t>
      </w:r>
    </w:p>
    <w:p w14:paraId="14F358CA">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（12）《危险化学品重大危险源监督管理暂行规定》（安全监管总局令第40号）；</w:t>
      </w:r>
    </w:p>
    <w:p w14:paraId="56A200A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（13）《关于开展重大危险源监督管理工作的指导意见》（安监管协调字〔20</w:t>
      </w:r>
      <w:r>
        <w:rPr>
          <w:rFonts w:cs="等线"/>
          <w:color w:val="000000" w:themeColor="text1"/>
          <w:szCs w:val="20"/>
          <w14:textFill>
            <w14:solidFill>
              <w14:schemeClr w14:val="tx1"/>
            </w14:solidFill>
          </w14:textFill>
        </w:rPr>
        <w:t>04</w:t>
      </w:r>
      <w:r>
        <w:rPr>
          <w:rFonts w:hint="eastAsia" w:cs="等线"/>
          <w:color w:val="000000" w:themeColor="text1"/>
          <w:szCs w:val="20"/>
          <w14:textFill>
            <w14:solidFill>
              <w14:schemeClr w14:val="tx1"/>
            </w14:solidFill>
          </w14:textFill>
        </w:rPr>
        <w:t>〕56号）；</w:t>
      </w:r>
    </w:p>
    <w:p w14:paraId="20007E4F">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（14）《关于切实加强风险防范严格环境影响评价的通知》，环发〔201</w:t>
      </w:r>
      <w:r>
        <w:rPr>
          <w:rFonts w:cs="等线"/>
          <w:color w:val="000000" w:themeColor="text1"/>
          <w:szCs w:val="20"/>
          <w14:textFill>
            <w14:solidFill>
              <w14:schemeClr w14:val="tx1"/>
            </w14:solidFill>
          </w14:textFill>
        </w:rPr>
        <w:t>2</w:t>
      </w:r>
      <w:r>
        <w:rPr>
          <w:rFonts w:hint="eastAsia" w:cs="等线"/>
          <w:color w:val="000000" w:themeColor="text1"/>
          <w:szCs w:val="20"/>
          <w14:textFill>
            <w14:solidFill>
              <w14:schemeClr w14:val="tx1"/>
            </w14:solidFill>
          </w14:textFill>
        </w:rPr>
        <w:t>〕98号；</w:t>
      </w:r>
    </w:p>
    <w:p w14:paraId="4DFA5C8A">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（15）《关于进一步加强环境影响评价管理防范环境风险的通知》，环发〔201</w:t>
      </w:r>
      <w:r>
        <w:rPr>
          <w:rFonts w:cs="等线"/>
          <w:color w:val="000000" w:themeColor="text1"/>
          <w:szCs w:val="20"/>
          <w14:textFill>
            <w14:solidFill>
              <w14:schemeClr w14:val="tx1"/>
            </w14:solidFill>
          </w14:textFill>
        </w:rPr>
        <w:t>2</w:t>
      </w:r>
      <w:r>
        <w:rPr>
          <w:rFonts w:hint="eastAsia" w:cs="等线"/>
          <w:color w:val="000000" w:themeColor="text1"/>
          <w:szCs w:val="20"/>
          <w14:textFill>
            <w14:solidFill>
              <w14:schemeClr w14:val="tx1"/>
            </w14:solidFill>
          </w14:textFill>
        </w:rPr>
        <w:t>〕77号；</w:t>
      </w:r>
    </w:p>
    <w:p w14:paraId="18BCEAAF">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（16）《关于印发企业事业单位突发环境事件应急预案备案管理办法（试行）的通知》（环发〔201</w:t>
      </w:r>
      <w:r>
        <w:rPr>
          <w:rFonts w:cs="等线"/>
          <w:color w:val="000000" w:themeColor="text1"/>
          <w:szCs w:val="20"/>
          <w14:textFill>
            <w14:solidFill>
              <w14:schemeClr w14:val="tx1"/>
            </w14:solidFill>
          </w14:textFill>
        </w:rPr>
        <w:t>5</w:t>
      </w:r>
      <w:r>
        <w:rPr>
          <w:rFonts w:hint="eastAsia" w:cs="等线"/>
          <w:color w:val="000000" w:themeColor="text1"/>
          <w:szCs w:val="20"/>
          <w14:textFill>
            <w14:solidFill>
              <w14:schemeClr w14:val="tx1"/>
            </w14:solidFill>
          </w14:textFill>
        </w:rPr>
        <w:t>〕4号）；</w:t>
      </w:r>
    </w:p>
    <w:p w14:paraId="2283F92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（17）《企业突发环境事件风险评估指南（试行）》（环办〔2014〕34号）；</w:t>
      </w:r>
    </w:p>
    <w:p w14:paraId="3BFAA5F0">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（18）《</w:t>
      </w:r>
      <w:r>
        <w:rPr>
          <w:rFonts w:ascii="宋体" w:hAnsi="宋体" w:cs="宋体"/>
          <w:szCs w:val="24"/>
        </w:rPr>
        <w:t>突发事件应急预案管理办法</w:t>
      </w:r>
      <w:r>
        <w:rPr>
          <w:rFonts w:hint="eastAsia" w:cs="等线"/>
          <w:color w:val="000000" w:themeColor="text1"/>
          <w:szCs w:val="20"/>
          <w14:textFill>
            <w14:solidFill>
              <w14:schemeClr w14:val="tx1"/>
            </w14:solidFill>
          </w14:textFill>
        </w:rPr>
        <w:t>》，（国办发〔2024〕5号）；</w:t>
      </w:r>
    </w:p>
    <w:p w14:paraId="19BCAE53">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（19）《突发环境事件调查处理办法》，201</w:t>
      </w:r>
      <w:r>
        <w:rPr>
          <w:rFonts w:cs="等线"/>
          <w:color w:val="000000" w:themeColor="text1"/>
          <w:szCs w:val="20"/>
          <w14:textFill>
            <w14:solidFill>
              <w14:schemeClr w14:val="tx1"/>
            </w14:solidFill>
          </w14:textFill>
        </w:rPr>
        <w:t>5</w:t>
      </w:r>
      <w:r>
        <w:rPr>
          <w:rFonts w:hint="eastAsia" w:cs="等线"/>
          <w:color w:val="000000" w:themeColor="text1"/>
          <w:szCs w:val="20"/>
          <w14:textFill>
            <w14:solidFill>
              <w14:schemeClr w14:val="tx1"/>
            </w14:solidFill>
          </w14:textFill>
        </w:rPr>
        <w:t>年</w:t>
      </w:r>
      <w:r>
        <w:rPr>
          <w:rFonts w:cs="等线"/>
          <w:color w:val="000000" w:themeColor="text1"/>
          <w:szCs w:val="20"/>
          <w14:textFill>
            <w14:solidFill>
              <w14:schemeClr w14:val="tx1"/>
            </w14:solidFill>
          </w14:textFill>
        </w:rPr>
        <w:t>3</w:t>
      </w:r>
      <w:r>
        <w:rPr>
          <w:rFonts w:hint="eastAsia" w:cs="等线"/>
          <w:color w:val="000000" w:themeColor="text1"/>
          <w:szCs w:val="20"/>
          <w14:textFill>
            <w14:solidFill>
              <w14:schemeClr w14:val="tx1"/>
            </w14:solidFill>
          </w14:textFill>
        </w:rPr>
        <w:t>月</w:t>
      </w:r>
      <w:r>
        <w:rPr>
          <w:rFonts w:cs="等线"/>
          <w:color w:val="000000" w:themeColor="text1"/>
          <w:szCs w:val="20"/>
          <w14:textFill>
            <w14:solidFill>
              <w14:schemeClr w14:val="tx1"/>
            </w14:solidFill>
          </w14:textFill>
        </w:rPr>
        <w:t>1</w:t>
      </w:r>
      <w:r>
        <w:rPr>
          <w:rFonts w:hint="eastAsia" w:cs="等线"/>
          <w:color w:val="000000" w:themeColor="text1"/>
          <w:szCs w:val="20"/>
          <w14:textFill>
            <w14:solidFill>
              <w14:schemeClr w14:val="tx1"/>
            </w14:solidFill>
          </w14:textFill>
        </w:rPr>
        <w:t>日起施行；</w:t>
      </w:r>
    </w:p>
    <w:p w14:paraId="76785A39">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（2</w:t>
      </w:r>
      <w:r>
        <w:rPr>
          <w:rFonts w:cs="等线"/>
          <w:color w:val="000000" w:themeColor="text1"/>
          <w:szCs w:val="20"/>
          <w14:textFill>
            <w14:solidFill>
              <w14:schemeClr w14:val="tx1"/>
            </w14:solidFill>
          </w14:textFill>
        </w:rPr>
        <w:t>0</w:t>
      </w:r>
      <w:r>
        <w:rPr>
          <w:rFonts w:hint="eastAsia" w:cs="等线"/>
          <w:color w:val="000000" w:themeColor="text1"/>
          <w:szCs w:val="20"/>
          <w14:textFill>
            <w14:solidFill>
              <w14:schemeClr w14:val="tx1"/>
            </w14:solidFill>
          </w14:textFill>
        </w:rPr>
        <w:t>）《中华人民共和国土壤污染防治法》2019年1月1日起实施；</w:t>
      </w:r>
    </w:p>
    <w:p w14:paraId="7192CAFF">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（2</w:t>
      </w:r>
      <w:r>
        <w:rPr>
          <w:rFonts w:cs="等线"/>
          <w:color w:val="000000" w:themeColor="text1"/>
          <w:szCs w:val="20"/>
          <w14:textFill>
            <w14:solidFill>
              <w14:schemeClr w14:val="tx1"/>
            </w14:solidFill>
          </w14:textFill>
        </w:rPr>
        <w:t>1</w:t>
      </w:r>
      <w:r>
        <w:rPr>
          <w:rFonts w:hint="eastAsia" w:cs="等线"/>
          <w:color w:val="000000" w:themeColor="text1"/>
          <w:szCs w:val="20"/>
          <w14:textFill>
            <w14:solidFill>
              <w14:schemeClr w14:val="tx1"/>
            </w14:solidFill>
          </w14:textFill>
        </w:rPr>
        <w:t>）关于印发《环境应急资源调查指南（试行）》的通知（环办应急〔2019〕17号）。</w:t>
      </w:r>
    </w:p>
    <w:p w14:paraId="27828B94">
      <w:pPr>
        <w:pStyle w:val="4"/>
        <w:ind w:firstLine="480"/>
        <w:rPr>
          <w:rFonts w:cs="等线"/>
          <w:color w:val="000000" w:themeColor="text1"/>
          <w:szCs w:val="20"/>
          <w14:textFill>
            <w14:solidFill>
              <w14:schemeClr w14:val="tx1"/>
            </w14:solidFill>
          </w14:textFill>
        </w:rPr>
      </w:pPr>
      <w:r>
        <w:rPr>
          <w:rFonts w:eastAsia="TimesNewRomanPS-BoldMT"/>
          <w:color w:val="000000" w:themeColor="text1"/>
          <w14:textFill>
            <w14:solidFill>
              <w14:schemeClr w14:val="tx1"/>
            </w14:solidFill>
          </w14:textFill>
        </w:rPr>
        <w:t>1.2.2</w:t>
      </w:r>
      <w:r>
        <w:rPr>
          <w:rFonts w:hint="eastAsia" w:ascii="宋体" w:cs="宋体"/>
          <w:color w:val="000000" w:themeColor="text1"/>
          <w14:textFill>
            <w14:solidFill>
              <w14:schemeClr w14:val="tx1"/>
            </w14:solidFill>
          </w14:textFill>
        </w:rPr>
        <w:t>标准技术规范</w:t>
      </w:r>
    </w:p>
    <w:p w14:paraId="39493621">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（1）《建设项目环境风险评价技术导则》（HJ169-2018）；</w:t>
      </w:r>
    </w:p>
    <w:p w14:paraId="48AE506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（2）《环境影响评价技术导则地表水环境》（HJ2.3-2018）；</w:t>
      </w:r>
    </w:p>
    <w:p w14:paraId="62504787">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（3）《环境影响评价技术导则地下水环境》（HJ610-2016）；</w:t>
      </w:r>
    </w:p>
    <w:p w14:paraId="3CD4EF65">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（4）《环境影响评价技术导则大气环境》（HJ2.2-2018）；</w:t>
      </w:r>
    </w:p>
    <w:p w14:paraId="4FF0B801">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（5）《危险货物品名表》（GB12268-20</w:t>
      </w:r>
      <w:r>
        <w:rPr>
          <w:rFonts w:cs="等线"/>
          <w:color w:val="000000" w:themeColor="text1"/>
          <w:szCs w:val="20"/>
          <w14:textFill>
            <w14:solidFill>
              <w14:schemeClr w14:val="tx1"/>
            </w14:solidFill>
          </w14:textFill>
        </w:rPr>
        <w:t>25</w:t>
      </w:r>
      <w:r>
        <w:rPr>
          <w:rFonts w:hint="eastAsia" w:cs="等线"/>
          <w:color w:val="000000" w:themeColor="text1"/>
          <w:szCs w:val="20"/>
          <w14:textFill>
            <w14:solidFill>
              <w14:schemeClr w14:val="tx1"/>
            </w14:solidFill>
          </w14:textFill>
        </w:rPr>
        <w:t>）；</w:t>
      </w:r>
    </w:p>
    <w:p w14:paraId="60CFCEAF">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（6）《危险化学品目录》（</w:t>
      </w:r>
      <w:r>
        <w:rPr>
          <w:rFonts w:hint="eastAsia"/>
        </w:rPr>
        <w:t>2022调整</w:t>
      </w:r>
      <w:r>
        <w:rPr>
          <w:rFonts w:hint="eastAsia" w:cs="等线"/>
          <w:color w:val="000000" w:themeColor="text1"/>
          <w:szCs w:val="20"/>
          <w14:textFill>
            <w14:solidFill>
              <w14:schemeClr w14:val="tx1"/>
            </w14:solidFill>
          </w14:textFill>
        </w:rPr>
        <w:t>）；</w:t>
      </w:r>
    </w:p>
    <w:p w14:paraId="1F3904F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（7）《建筑设计防火规范》（中华人民共和国住房和城乡建设部公告2018第35号）；</w:t>
      </w:r>
    </w:p>
    <w:p w14:paraId="69812996">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（8）《危险化学品重大危险源辨识》（GB18218-2018）；</w:t>
      </w:r>
    </w:p>
    <w:p w14:paraId="00B5E54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（9）《化学品分类和标签规范第1部分:通则》（</w:t>
      </w:r>
      <w:r>
        <w:rPr>
          <w:rFonts w:cs="等线"/>
          <w:color w:val="000000" w:themeColor="text1"/>
          <w:szCs w:val="20"/>
          <w14:textFill>
            <w14:solidFill>
              <w14:schemeClr w14:val="tx1"/>
            </w14:solidFill>
          </w14:textFill>
        </w:rPr>
        <w:t>GB30000.1—2024</w:t>
      </w:r>
      <w:r>
        <w:rPr>
          <w:rFonts w:hint="eastAsia" w:cs="等线"/>
          <w:color w:val="000000" w:themeColor="text1"/>
          <w:szCs w:val="20"/>
          <w14:textFill>
            <w14:solidFill>
              <w14:schemeClr w14:val="tx1"/>
            </w14:solidFill>
          </w14:textFill>
        </w:rPr>
        <w:t>）；</w:t>
      </w:r>
    </w:p>
    <w:p w14:paraId="5D2A1C07">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（10）《企业突发环境事件风险分级方法》（HJ941-2018）；</w:t>
      </w:r>
    </w:p>
    <w:p w14:paraId="73D464C9">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（11）《危险化学品经营企业开业条件和技术要求》（GB18265-2019）；</w:t>
      </w:r>
    </w:p>
    <w:p w14:paraId="362B75B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评价工作程序</w:t>
      </w:r>
    </w:p>
    <w:p w14:paraId="3C4EFF1D">
      <w:pPr>
        <w:ind w:firstLine="0" w:firstLineChars="0"/>
        <w:jc w:val="center"/>
        <w:textAlignment w:val="auto"/>
        <w:rPr>
          <w:rFonts w:cs="等线"/>
          <w:color w:val="000000" w:themeColor="text1"/>
          <w:szCs w:val="20"/>
          <w14:textFill>
            <w14:solidFill>
              <w14:schemeClr w14:val="tx1"/>
            </w14:solidFill>
          </w14:textFill>
        </w:rPr>
      </w:pPr>
      <w:r>
        <w:rPr>
          <w:color w:val="000000" w:themeColor="text1"/>
          <w14:textFill>
            <w14:solidFill>
              <w14:schemeClr w14:val="tx1"/>
            </w14:solidFill>
          </w14:textFill>
        </w:rPr>
        <w:drawing>
          <wp:inline distT="0" distB="0" distL="0" distR="0">
            <wp:extent cx="5530850" cy="5953125"/>
            <wp:effectExtent l="19050" t="19050" r="12700"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532352" cy="5955055"/>
                    </a:xfrm>
                    <a:prstGeom prst="rect">
                      <a:avLst/>
                    </a:prstGeom>
                    <a:ln>
                      <a:solidFill>
                        <a:schemeClr val="tx1"/>
                      </a:solidFill>
                    </a:ln>
                  </pic:spPr>
                </pic:pic>
              </a:graphicData>
            </a:graphic>
          </wp:inline>
        </w:drawing>
      </w:r>
    </w:p>
    <w:p w14:paraId="3D9DC005">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图1</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环境风险评价工作程序</w:t>
      </w:r>
    </w:p>
    <w:bookmarkEnd w:id="41"/>
    <w:p w14:paraId="67DC5A67">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环境风险潜势</w:t>
      </w:r>
    </w:p>
    <w:p w14:paraId="0B85126A">
      <w:pPr>
        <w:pStyle w:val="4"/>
        <w:rPr>
          <w:color w:val="000000" w:themeColor="text1"/>
          <w14:textFill>
            <w14:solidFill>
              <w14:schemeClr w14:val="tx1"/>
            </w14:solidFill>
          </w14:textFill>
        </w:rPr>
      </w:pPr>
      <w:bookmarkStart w:id="42" w:name="_Hlk97548093"/>
      <w:r>
        <w:rPr>
          <w:rFonts w:hint="eastAsia"/>
          <w:color w:val="000000" w:themeColor="text1"/>
          <w14:textFill>
            <w14:solidFill>
              <w14:schemeClr w14:val="tx1"/>
            </w14:solidFill>
          </w14:textFill>
        </w:rPr>
        <w:t>1</w:t>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环境风险潜势综述</w:t>
      </w:r>
    </w:p>
    <w:p w14:paraId="0B201CB1">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根据《建设项目环境风险评价技术导则》（HI169-2018）附录B进行本项目风险物质识别，企业在生产、使用、储存过程中涉及的环境风险物质为丙烷、丁烷、乙炔等，各类危险物质理化性质见下表。</w:t>
      </w:r>
    </w:p>
    <w:p w14:paraId="69F95DE8">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表1-1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危险物质储存情况一览表</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2"/>
        <w:gridCol w:w="1560"/>
        <w:gridCol w:w="1701"/>
        <w:gridCol w:w="1134"/>
        <w:gridCol w:w="1559"/>
        <w:gridCol w:w="1242"/>
        <w:gridCol w:w="1292"/>
      </w:tblGrid>
      <w:tr w14:paraId="7ED86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552" w:type="dxa"/>
            <w:tcBorders>
              <w:tl2br w:val="nil"/>
              <w:tr2bl w:val="nil"/>
            </w:tcBorders>
            <w:vAlign w:val="center"/>
          </w:tcPr>
          <w:p w14:paraId="1E94828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60" w:type="dxa"/>
            <w:tcBorders>
              <w:tl2br w:val="nil"/>
              <w:tr2bl w:val="nil"/>
            </w:tcBorders>
            <w:vAlign w:val="center"/>
          </w:tcPr>
          <w:p w14:paraId="4260F29A">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分布区域</w:t>
            </w:r>
          </w:p>
        </w:tc>
        <w:tc>
          <w:tcPr>
            <w:tcW w:w="1701" w:type="dxa"/>
            <w:tcBorders>
              <w:tl2br w:val="nil"/>
              <w:tr2bl w:val="nil"/>
            </w:tcBorders>
            <w:vAlign w:val="center"/>
          </w:tcPr>
          <w:p w14:paraId="1C47CB33">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储存物质</w:t>
            </w:r>
          </w:p>
        </w:tc>
        <w:tc>
          <w:tcPr>
            <w:tcW w:w="1134" w:type="dxa"/>
            <w:tcBorders>
              <w:tl2br w:val="nil"/>
              <w:tr2bl w:val="nil"/>
            </w:tcBorders>
            <w:vAlign w:val="center"/>
          </w:tcPr>
          <w:p w14:paraId="094B216C">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形态</w:t>
            </w:r>
          </w:p>
        </w:tc>
        <w:tc>
          <w:tcPr>
            <w:tcW w:w="1559" w:type="dxa"/>
            <w:tcBorders>
              <w:tl2br w:val="nil"/>
              <w:tr2bl w:val="nil"/>
            </w:tcBorders>
            <w:vAlign w:val="center"/>
          </w:tcPr>
          <w:p w14:paraId="224DE110">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储存方式</w:t>
            </w:r>
          </w:p>
        </w:tc>
        <w:tc>
          <w:tcPr>
            <w:tcW w:w="1242" w:type="dxa"/>
            <w:tcBorders>
              <w:tl2br w:val="nil"/>
              <w:tr2bl w:val="nil"/>
            </w:tcBorders>
            <w:vAlign w:val="center"/>
          </w:tcPr>
          <w:p w14:paraId="20BFD877">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最大储存量</w:t>
            </w:r>
          </w:p>
        </w:tc>
        <w:tc>
          <w:tcPr>
            <w:tcW w:w="1292" w:type="dxa"/>
            <w:tcBorders>
              <w:tl2br w:val="nil"/>
              <w:tr2bl w:val="nil"/>
            </w:tcBorders>
            <w:vAlign w:val="center"/>
          </w:tcPr>
          <w:p w14:paraId="7AE002CD">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运输方式</w:t>
            </w:r>
          </w:p>
        </w:tc>
      </w:tr>
      <w:tr w14:paraId="07AF9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dxa"/>
            <w:tcBorders>
              <w:tl2br w:val="nil"/>
              <w:tr2bl w:val="nil"/>
            </w:tcBorders>
            <w:vAlign w:val="center"/>
          </w:tcPr>
          <w:p w14:paraId="4FF95113">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60" w:type="dxa"/>
            <w:tcBorders>
              <w:tl2br w:val="nil"/>
              <w:tr2bl w:val="nil"/>
            </w:tcBorders>
            <w:vAlign w:val="center"/>
          </w:tcPr>
          <w:p w14:paraId="2AA82CA1">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储罐区</w:t>
            </w:r>
          </w:p>
        </w:tc>
        <w:tc>
          <w:tcPr>
            <w:tcW w:w="1701" w:type="dxa"/>
            <w:tcBorders>
              <w:tl2br w:val="nil"/>
              <w:tr2bl w:val="nil"/>
            </w:tcBorders>
            <w:vAlign w:val="center"/>
          </w:tcPr>
          <w:p w14:paraId="10C4F774">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丁烷</w:t>
            </w:r>
          </w:p>
        </w:tc>
        <w:tc>
          <w:tcPr>
            <w:tcW w:w="1134" w:type="dxa"/>
            <w:tcBorders>
              <w:tl2br w:val="nil"/>
              <w:tr2bl w:val="nil"/>
            </w:tcBorders>
            <w:vAlign w:val="center"/>
          </w:tcPr>
          <w:p w14:paraId="6F55E43F">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液态</w:t>
            </w:r>
          </w:p>
        </w:tc>
        <w:tc>
          <w:tcPr>
            <w:tcW w:w="1559" w:type="dxa"/>
            <w:tcBorders>
              <w:tl2br w:val="nil"/>
              <w:tr2bl w:val="nil"/>
            </w:tcBorders>
            <w:vAlign w:val="center"/>
          </w:tcPr>
          <w:p w14:paraId="4D222D30">
            <w:pPr>
              <w:pStyle w:val="32"/>
              <w:rPr>
                <w:rFonts w:cs="等线"/>
                <w:color w:val="000000" w:themeColor="text1"/>
                <w:szCs w:val="20"/>
                <w14:textFill>
                  <w14:solidFill>
                    <w14:schemeClr w14:val="tx1"/>
                  </w14:solidFill>
                </w14:textFill>
              </w:rPr>
            </w:pPr>
            <w:r>
              <w:rPr>
                <w:rFonts w:hint="eastAsia"/>
              </w:rPr>
              <w:t>埋地卧式储罐</w:t>
            </w:r>
          </w:p>
        </w:tc>
        <w:tc>
          <w:tcPr>
            <w:tcW w:w="1242" w:type="dxa"/>
            <w:tcBorders>
              <w:tl2br w:val="nil"/>
              <w:tr2bl w:val="nil"/>
            </w:tcBorders>
            <w:vAlign w:val="center"/>
          </w:tcPr>
          <w:p w14:paraId="332C5E49">
            <w:pPr>
              <w:pStyle w:val="32"/>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20.84t</w:t>
            </w:r>
          </w:p>
        </w:tc>
        <w:tc>
          <w:tcPr>
            <w:tcW w:w="1292" w:type="dxa"/>
            <w:tcBorders>
              <w:tl2br w:val="nil"/>
              <w:tr2bl w:val="nil"/>
            </w:tcBorders>
            <w:vAlign w:val="center"/>
          </w:tcPr>
          <w:p w14:paraId="4829D3D0">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槽车</w:t>
            </w:r>
          </w:p>
        </w:tc>
      </w:tr>
      <w:tr w14:paraId="3ED0A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dxa"/>
            <w:tcBorders>
              <w:tl2br w:val="nil"/>
              <w:tr2bl w:val="nil"/>
            </w:tcBorders>
            <w:vAlign w:val="center"/>
          </w:tcPr>
          <w:p w14:paraId="770E98C3">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60" w:type="dxa"/>
            <w:tcBorders>
              <w:tl2br w:val="nil"/>
              <w:tr2bl w:val="nil"/>
            </w:tcBorders>
            <w:vAlign w:val="center"/>
          </w:tcPr>
          <w:p w14:paraId="06077026">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储罐区</w:t>
            </w:r>
          </w:p>
        </w:tc>
        <w:tc>
          <w:tcPr>
            <w:tcW w:w="1701" w:type="dxa"/>
            <w:tcBorders>
              <w:tl2br w:val="nil"/>
              <w:tr2bl w:val="nil"/>
            </w:tcBorders>
            <w:vAlign w:val="center"/>
          </w:tcPr>
          <w:p w14:paraId="6666064B">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丙烷</w:t>
            </w:r>
          </w:p>
        </w:tc>
        <w:tc>
          <w:tcPr>
            <w:tcW w:w="1134" w:type="dxa"/>
            <w:tcBorders>
              <w:tl2br w:val="nil"/>
              <w:tr2bl w:val="nil"/>
            </w:tcBorders>
            <w:vAlign w:val="center"/>
          </w:tcPr>
          <w:p w14:paraId="730C56B1">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液态</w:t>
            </w:r>
          </w:p>
        </w:tc>
        <w:tc>
          <w:tcPr>
            <w:tcW w:w="1559" w:type="dxa"/>
            <w:tcBorders>
              <w:tl2br w:val="nil"/>
              <w:tr2bl w:val="nil"/>
            </w:tcBorders>
            <w:vAlign w:val="center"/>
          </w:tcPr>
          <w:p w14:paraId="3B66B046">
            <w:pPr>
              <w:pStyle w:val="32"/>
              <w:rPr>
                <w:rFonts w:cs="等线"/>
                <w:color w:val="FF0000"/>
                <w:szCs w:val="20"/>
              </w:rPr>
            </w:pPr>
            <w:r>
              <w:rPr>
                <w:rFonts w:hint="eastAsia"/>
              </w:rPr>
              <w:t>埋地卧式储罐</w:t>
            </w:r>
          </w:p>
        </w:tc>
        <w:tc>
          <w:tcPr>
            <w:tcW w:w="1242" w:type="dxa"/>
            <w:tcBorders>
              <w:tl2br w:val="nil"/>
              <w:tr2bl w:val="nil"/>
            </w:tcBorders>
            <w:vAlign w:val="center"/>
          </w:tcPr>
          <w:p w14:paraId="6D853D87">
            <w:pPr>
              <w:pStyle w:val="32"/>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18.36</w:t>
            </w:r>
            <w:r>
              <w:rPr>
                <w:rFonts w:hint="eastAsia" w:cs="等线"/>
                <w:color w:val="000000" w:themeColor="text1"/>
                <w:szCs w:val="20"/>
                <w14:textFill>
                  <w14:solidFill>
                    <w14:schemeClr w14:val="tx1"/>
                  </w14:solidFill>
                </w14:textFill>
              </w:rPr>
              <w:t>t</w:t>
            </w:r>
          </w:p>
        </w:tc>
        <w:tc>
          <w:tcPr>
            <w:tcW w:w="1292" w:type="dxa"/>
            <w:tcBorders>
              <w:tl2br w:val="nil"/>
              <w:tr2bl w:val="nil"/>
            </w:tcBorders>
            <w:vAlign w:val="center"/>
          </w:tcPr>
          <w:p w14:paraId="2B96448D">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槽车</w:t>
            </w:r>
          </w:p>
        </w:tc>
      </w:tr>
      <w:tr w14:paraId="47757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dxa"/>
            <w:tcBorders>
              <w:tl2br w:val="nil"/>
              <w:tr2bl w:val="nil"/>
            </w:tcBorders>
            <w:vAlign w:val="center"/>
          </w:tcPr>
          <w:p w14:paraId="7481C9B1">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60" w:type="dxa"/>
            <w:tcBorders>
              <w:tl2br w:val="nil"/>
              <w:tr2bl w:val="nil"/>
            </w:tcBorders>
            <w:vAlign w:val="center"/>
          </w:tcPr>
          <w:p w14:paraId="3223825D">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储罐区</w:t>
            </w:r>
          </w:p>
        </w:tc>
        <w:tc>
          <w:tcPr>
            <w:tcW w:w="1701" w:type="dxa"/>
            <w:tcBorders>
              <w:tl2br w:val="nil"/>
              <w:tr2bl w:val="nil"/>
            </w:tcBorders>
            <w:vAlign w:val="center"/>
          </w:tcPr>
          <w:p w14:paraId="174CF564">
            <w:pPr>
              <w:pStyle w:val="32"/>
              <w:jc w:val="both"/>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液化石油气残液</w:t>
            </w:r>
          </w:p>
        </w:tc>
        <w:tc>
          <w:tcPr>
            <w:tcW w:w="1134" w:type="dxa"/>
            <w:tcBorders>
              <w:tl2br w:val="nil"/>
              <w:tr2bl w:val="nil"/>
            </w:tcBorders>
            <w:vAlign w:val="center"/>
          </w:tcPr>
          <w:p w14:paraId="7E6EBB5E">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液态</w:t>
            </w:r>
          </w:p>
        </w:tc>
        <w:tc>
          <w:tcPr>
            <w:tcW w:w="1559" w:type="dxa"/>
            <w:tcBorders>
              <w:tl2br w:val="nil"/>
              <w:tr2bl w:val="nil"/>
            </w:tcBorders>
            <w:vAlign w:val="center"/>
          </w:tcPr>
          <w:p w14:paraId="7916EE45">
            <w:pPr>
              <w:pStyle w:val="32"/>
            </w:pPr>
            <w:r>
              <w:rPr>
                <w:rFonts w:hint="eastAsia"/>
              </w:rPr>
              <w:t>埋地卧式储罐</w:t>
            </w:r>
          </w:p>
        </w:tc>
        <w:tc>
          <w:tcPr>
            <w:tcW w:w="1242" w:type="dxa"/>
            <w:tcBorders>
              <w:tl2br w:val="nil"/>
              <w:tr2bl w:val="nil"/>
            </w:tcBorders>
            <w:vAlign w:val="center"/>
          </w:tcPr>
          <w:p w14:paraId="7FBFC745">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2</w:t>
            </w:r>
            <w:r>
              <w:rPr>
                <w:rFonts w:cs="等线"/>
                <w:color w:val="000000" w:themeColor="text1"/>
                <w:szCs w:val="20"/>
                <w14:textFill>
                  <w14:solidFill>
                    <w14:schemeClr w14:val="tx1"/>
                  </w14:solidFill>
                </w14:textFill>
              </w:rPr>
              <w:t>.7t</w:t>
            </w:r>
          </w:p>
        </w:tc>
        <w:tc>
          <w:tcPr>
            <w:tcW w:w="1292" w:type="dxa"/>
            <w:tcBorders>
              <w:tl2br w:val="nil"/>
              <w:tr2bl w:val="nil"/>
            </w:tcBorders>
            <w:vAlign w:val="center"/>
          </w:tcPr>
          <w:p w14:paraId="7B4CAC28">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槽车</w:t>
            </w:r>
          </w:p>
        </w:tc>
      </w:tr>
      <w:tr w14:paraId="2F035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dxa"/>
            <w:tcBorders>
              <w:tl2br w:val="nil"/>
              <w:tr2bl w:val="nil"/>
            </w:tcBorders>
            <w:vAlign w:val="center"/>
          </w:tcPr>
          <w:p w14:paraId="7C6C1F81">
            <w:pPr>
              <w:pStyle w:val="32"/>
              <w:rPr>
                <w:color w:val="000000" w:themeColor="text1"/>
                <w14:textFill>
                  <w14:solidFill>
                    <w14:schemeClr w14:val="tx1"/>
                  </w14:solidFill>
                </w14:textFill>
              </w:rPr>
            </w:pPr>
            <w:r>
              <w:rPr>
                <w:color w:val="000000" w:themeColor="text1"/>
                <w14:textFill>
                  <w14:solidFill>
                    <w14:schemeClr w14:val="tx1"/>
                  </w14:solidFill>
                </w14:textFill>
              </w:rPr>
              <w:t>4</w:t>
            </w:r>
          </w:p>
        </w:tc>
        <w:tc>
          <w:tcPr>
            <w:tcW w:w="1560" w:type="dxa"/>
            <w:tcBorders>
              <w:tl2br w:val="nil"/>
              <w:tr2bl w:val="nil"/>
            </w:tcBorders>
            <w:vAlign w:val="center"/>
          </w:tcPr>
          <w:p w14:paraId="5B018A6D">
            <w:pPr>
              <w:pStyle w:val="32"/>
              <w:jc w:val="both"/>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工业气体瓶库</w:t>
            </w:r>
          </w:p>
        </w:tc>
        <w:tc>
          <w:tcPr>
            <w:tcW w:w="1701" w:type="dxa"/>
            <w:tcBorders>
              <w:tl2br w:val="nil"/>
              <w:tr2bl w:val="nil"/>
            </w:tcBorders>
            <w:vAlign w:val="center"/>
          </w:tcPr>
          <w:p w14:paraId="65286D75">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乙炔</w:t>
            </w:r>
          </w:p>
        </w:tc>
        <w:tc>
          <w:tcPr>
            <w:tcW w:w="1134" w:type="dxa"/>
            <w:tcBorders>
              <w:tl2br w:val="nil"/>
              <w:tr2bl w:val="nil"/>
            </w:tcBorders>
            <w:vAlign w:val="center"/>
          </w:tcPr>
          <w:p w14:paraId="5AFC16FD">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溶解乙炔</w:t>
            </w:r>
          </w:p>
        </w:tc>
        <w:tc>
          <w:tcPr>
            <w:tcW w:w="1559" w:type="dxa"/>
            <w:tcBorders>
              <w:tl2br w:val="nil"/>
              <w:tr2bl w:val="nil"/>
            </w:tcBorders>
            <w:vAlign w:val="center"/>
          </w:tcPr>
          <w:p w14:paraId="140AE0EC">
            <w:pPr>
              <w:pStyle w:val="32"/>
            </w:pPr>
            <w:r>
              <w:rPr>
                <w:rFonts w:hint="eastAsia"/>
              </w:rPr>
              <w:t>气瓶</w:t>
            </w:r>
          </w:p>
        </w:tc>
        <w:tc>
          <w:tcPr>
            <w:tcW w:w="1242" w:type="dxa"/>
            <w:tcBorders>
              <w:tl2br w:val="nil"/>
              <w:tr2bl w:val="nil"/>
            </w:tcBorders>
            <w:vAlign w:val="center"/>
          </w:tcPr>
          <w:p w14:paraId="00637EA0">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0</w:t>
            </w:r>
            <w:r>
              <w:rPr>
                <w:rFonts w:cs="等线"/>
                <w:color w:val="000000" w:themeColor="text1"/>
                <w:szCs w:val="20"/>
                <w14:textFill>
                  <w14:solidFill>
                    <w14:schemeClr w14:val="tx1"/>
                  </w14:solidFill>
                </w14:textFill>
              </w:rPr>
              <w:t>.14</w:t>
            </w:r>
            <w:r>
              <w:rPr>
                <w:rFonts w:hint="eastAsia" w:cs="等线"/>
                <w:color w:val="000000" w:themeColor="text1"/>
                <w:szCs w:val="20"/>
                <w14:textFill>
                  <w14:solidFill>
                    <w14:schemeClr w14:val="tx1"/>
                  </w14:solidFill>
                </w14:textFill>
              </w:rPr>
              <w:t>t</w:t>
            </w:r>
          </w:p>
        </w:tc>
        <w:tc>
          <w:tcPr>
            <w:tcW w:w="1292" w:type="dxa"/>
            <w:tcBorders>
              <w:tl2br w:val="nil"/>
              <w:tr2bl w:val="nil"/>
            </w:tcBorders>
            <w:vAlign w:val="center"/>
          </w:tcPr>
          <w:p w14:paraId="03FD7F25">
            <w:pPr>
              <w:pStyle w:val="32"/>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汽车</w:t>
            </w:r>
          </w:p>
        </w:tc>
      </w:tr>
      <w:bookmarkEnd w:id="42"/>
    </w:tbl>
    <w:p w14:paraId="6693CD96">
      <w:pPr>
        <w:pStyle w:val="4"/>
        <w:rPr>
          <w:color w:val="000000" w:themeColor="text1"/>
          <w14:textFill>
            <w14:solidFill>
              <w14:schemeClr w14:val="tx1"/>
            </w14:solidFill>
          </w14:textFill>
        </w:rPr>
      </w:pPr>
      <w:bookmarkStart w:id="43" w:name="_Hlk97548139"/>
      <w:r>
        <w:rPr>
          <w:rFonts w:hint="eastAsia"/>
          <w:color w:val="000000" w:themeColor="text1"/>
          <w14:textFill>
            <w14:solidFill>
              <w14:schemeClr w14:val="tx1"/>
            </w14:solidFill>
          </w14:textFill>
        </w:rPr>
        <w:t>1</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环境敏感目标调查</w:t>
      </w:r>
    </w:p>
    <w:bookmarkEnd w:id="43"/>
    <w:p w14:paraId="4F42E30F">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根据《建设项目环境风险评价技术导则》（HJ169-2018）要求，本次环境风险评价对通过对厂界周边5</w:t>
      </w:r>
      <w:r>
        <w:rPr>
          <w:rFonts w:cs="等线"/>
          <w:color w:val="000000" w:themeColor="text1"/>
          <w:szCs w:val="20"/>
          <w14:textFill>
            <w14:solidFill>
              <w14:schemeClr w14:val="tx1"/>
            </w14:solidFill>
          </w14:textFill>
        </w:rPr>
        <w:t>00</w:t>
      </w:r>
      <w:r>
        <w:rPr>
          <w:rFonts w:hint="eastAsia" w:cs="等线"/>
          <w:color w:val="000000" w:themeColor="text1"/>
          <w:szCs w:val="20"/>
          <w14:textFill>
            <w14:solidFill>
              <w14:schemeClr w14:val="tx1"/>
            </w14:solidFill>
          </w14:textFill>
        </w:rPr>
        <w:t>m范围内的居民区、医院、学校及其他人口密集场所；厂址周边地表水体及其环境功能、下游环境敏感目标；地下水环境等可能受影响的环境敏感目标进行调查。本项目边界外5</w:t>
      </w:r>
      <w:r>
        <w:rPr>
          <w:rFonts w:cs="等线"/>
          <w:color w:val="000000" w:themeColor="text1"/>
          <w:szCs w:val="20"/>
          <w14:textFill>
            <w14:solidFill>
              <w14:schemeClr w14:val="tx1"/>
            </w14:solidFill>
          </w14:textFill>
        </w:rPr>
        <w:t>00</w:t>
      </w:r>
      <w:r>
        <w:rPr>
          <w:rFonts w:hint="eastAsia" w:cs="等线"/>
          <w:color w:val="000000" w:themeColor="text1"/>
          <w:szCs w:val="20"/>
          <w14:textFill>
            <w14:solidFill>
              <w14:schemeClr w14:val="tx1"/>
            </w14:solidFill>
          </w14:textFill>
        </w:rPr>
        <w:t>m范围内没有环境敏感点分布。</w:t>
      </w:r>
    </w:p>
    <w:p w14:paraId="6C156AC0">
      <w:pPr>
        <w:pStyle w:val="3"/>
        <w:rPr>
          <w:color w:val="000000" w:themeColor="text1"/>
          <w14:textFill>
            <w14:solidFill>
              <w14:schemeClr w14:val="tx1"/>
            </w14:solidFill>
          </w14:textFill>
        </w:rPr>
      </w:pPr>
      <w:r>
        <w:rPr>
          <w:color w:val="000000" w:themeColor="text1"/>
          <w14:textFill>
            <w14:solidFill>
              <w14:schemeClr w14:val="tx1"/>
            </w14:solidFill>
          </w14:textFill>
        </w:rPr>
        <w:t>1.5</w:t>
      </w:r>
      <w:r>
        <w:t>环境风险潜势判定</w:t>
      </w:r>
    </w:p>
    <w:p w14:paraId="0A9CA5D0">
      <w:pPr>
        <w:ind w:firstLine="480"/>
      </w:pPr>
      <w:r>
        <w:t>项目生产、使用、储存过程中涉及的有毒有害、易燃易爆物质，按照《建设项目环境风险评价技术导则》（HJ169-2018）定量分析危险物质数量与临界量的比值（Q）和所属行业及生产工艺特点（M），并对危险物质及工艺系统危险性（P）等级进行判断。</w:t>
      </w:r>
    </w:p>
    <w:p w14:paraId="3691C001">
      <w:pPr>
        <w:ind w:firstLine="480"/>
      </w:pPr>
      <w:r>
        <w:t>根据《建设项目环境风险评价技术导则》（HJ169-2018）</w:t>
      </w:r>
      <w:r>
        <w:rPr>
          <w:rFonts w:hint="eastAsia"/>
        </w:rPr>
        <w:t>，</w:t>
      </w:r>
      <w:r>
        <w:t>建设项目环境风险潜势划分为Ⅰ、Ⅱ、Ⅲ、Ⅳ/Ⅳ+级。</w:t>
      </w:r>
    </w:p>
    <w:p w14:paraId="0CAD32FA">
      <w:pPr>
        <w:ind w:firstLine="480"/>
        <w:textAlignment w:val="auto"/>
        <w:rPr>
          <w:color w:val="000000" w:themeColor="text1"/>
          <w:kern w:val="0"/>
          <w:szCs w:val="20"/>
          <w14:textFill>
            <w14:solidFill>
              <w14:schemeClr w14:val="tx1"/>
            </w14:solidFill>
          </w14:textFill>
        </w:rPr>
      </w:pPr>
      <w:r>
        <w:t>根据建设项目涉及的物质和工艺系统的危险性及其所在地的环境敏感程度，结合事故情环境影响途径，对建设项目潜在环境危害程度进行概化分析，进而确定环境风险潜势</w:t>
      </w:r>
      <w:r>
        <w:rPr>
          <w:rFonts w:hint="eastAsia"/>
        </w:rPr>
        <w:t>，</w:t>
      </w:r>
      <w:r>
        <w:t>确定依据见</w:t>
      </w:r>
      <w:r>
        <w:fldChar w:fldCharType="begin"/>
      </w:r>
      <w:r>
        <w:instrText xml:space="preserve"> REF _Ref21450 \h </w:instrText>
      </w:r>
      <w:r>
        <w:fldChar w:fldCharType="separate"/>
      </w:r>
      <w:r>
        <w:rPr>
          <w:color w:val="000000" w:themeColor="text1"/>
          <w14:textFill>
            <w14:solidFill>
              <w14:schemeClr w14:val="tx1"/>
            </w14:solidFill>
          </w14:textFill>
        </w:rPr>
        <w:t>表</w:t>
      </w:r>
      <w:r>
        <w:fldChar w:fldCharType="end"/>
      </w:r>
      <w:r>
        <w:rPr>
          <w:rFonts w:hint="eastAsia"/>
          <w:color w:val="000000" w:themeColor="text1"/>
          <w:kern w:val="0"/>
          <w:szCs w:val="20"/>
          <w14:textFill>
            <w14:solidFill>
              <w14:schemeClr w14:val="tx1"/>
            </w14:solidFill>
          </w14:textFill>
        </w:rPr>
        <w:t>。</w:t>
      </w:r>
    </w:p>
    <w:p w14:paraId="3D67DD7D">
      <w:pPr>
        <w:pStyle w:val="37"/>
        <w:spacing w:before="163"/>
        <w:ind w:firstLine="480"/>
        <w:rPr>
          <w:color w:val="000000" w:themeColor="text1"/>
          <w14:textFill>
            <w14:solidFill>
              <w14:schemeClr w14:val="tx1"/>
            </w14:solidFill>
          </w14:textFill>
        </w:rPr>
      </w:pPr>
      <w:bookmarkStart w:id="44" w:name="_Ref21450"/>
      <w:r>
        <w:rPr>
          <w:color w:val="000000" w:themeColor="text1"/>
          <w14:textFill>
            <w14:solidFill>
              <w14:schemeClr w14:val="tx1"/>
            </w14:solidFill>
          </w14:textFill>
        </w:rPr>
        <w:t>表</w:t>
      </w:r>
      <w:bookmarkEnd w:id="44"/>
      <w:r>
        <w:rPr>
          <w:color w:val="000000" w:themeColor="text1"/>
          <w14:textFill>
            <w14:solidFill>
              <w14:schemeClr w14:val="tx1"/>
            </w14:solidFill>
          </w14:textFill>
        </w:rPr>
        <w:t>1-2  项目环境风险潜势划分依据一览表</w:t>
      </w:r>
    </w:p>
    <w:tbl>
      <w:tblPr>
        <w:tblStyle w:val="25"/>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435"/>
        <w:gridCol w:w="1699"/>
        <w:gridCol w:w="1699"/>
        <w:gridCol w:w="1699"/>
        <w:gridCol w:w="1754"/>
      </w:tblGrid>
      <w:tr w14:paraId="515EDE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11" w:type="pct"/>
            <w:vMerge w:val="restart"/>
            <w:tcBorders>
              <w:tl2br w:val="nil"/>
              <w:tr2bl w:val="nil"/>
            </w:tcBorders>
            <w:vAlign w:val="center"/>
          </w:tcPr>
          <w:p w14:paraId="54A8D661">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环境敏感程度</w:t>
            </w:r>
          </w:p>
        </w:tc>
        <w:tc>
          <w:tcPr>
            <w:tcW w:w="3689" w:type="pct"/>
            <w:gridSpan w:val="4"/>
            <w:tcBorders>
              <w:tl2br w:val="nil"/>
              <w:tr2bl w:val="nil"/>
            </w:tcBorders>
            <w:vAlign w:val="center"/>
          </w:tcPr>
          <w:p w14:paraId="6C353C80">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危险物质及工艺系统危险性P</w:t>
            </w:r>
          </w:p>
        </w:tc>
      </w:tr>
      <w:tr w14:paraId="2DEA49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11" w:type="pct"/>
            <w:vMerge w:val="continue"/>
            <w:tcBorders>
              <w:tl2br w:val="nil"/>
              <w:tr2bl w:val="nil"/>
            </w:tcBorders>
            <w:vAlign w:val="center"/>
          </w:tcPr>
          <w:p w14:paraId="3F8EAD8F">
            <w:pPr>
              <w:adjustRightInd w:val="0"/>
              <w:snapToGrid w:val="0"/>
              <w:spacing w:line="240" w:lineRule="auto"/>
              <w:ind w:firstLine="0" w:firstLineChars="0"/>
              <w:jc w:val="center"/>
              <w:textAlignment w:val="auto"/>
              <w:rPr>
                <w:rFonts w:cs="Times New Roman"/>
                <w:sz w:val="21"/>
                <w:szCs w:val="20"/>
              </w:rPr>
            </w:pPr>
          </w:p>
        </w:tc>
        <w:tc>
          <w:tcPr>
            <w:tcW w:w="915" w:type="pct"/>
            <w:tcBorders>
              <w:tl2br w:val="nil"/>
              <w:tr2bl w:val="nil"/>
            </w:tcBorders>
            <w:vAlign w:val="center"/>
          </w:tcPr>
          <w:p w14:paraId="5FA52B34">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极高危害（P1）</w:t>
            </w:r>
          </w:p>
        </w:tc>
        <w:tc>
          <w:tcPr>
            <w:tcW w:w="915" w:type="pct"/>
            <w:tcBorders>
              <w:tl2br w:val="nil"/>
              <w:tr2bl w:val="nil"/>
            </w:tcBorders>
            <w:vAlign w:val="center"/>
          </w:tcPr>
          <w:p w14:paraId="5E774514">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高度危害（P2）</w:t>
            </w:r>
          </w:p>
        </w:tc>
        <w:tc>
          <w:tcPr>
            <w:tcW w:w="915" w:type="pct"/>
            <w:tcBorders>
              <w:tl2br w:val="nil"/>
              <w:tr2bl w:val="nil"/>
            </w:tcBorders>
            <w:vAlign w:val="center"/>
          </w:tcPr>
          <w:p w14:paraId="20A1EC48">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中度危害（P3）</w:t>
            </w:r>
          </w:p>
        </w:tc>
        <w:tc>
          <w:tcPr>
            <w:tcW w:w="944" w:type="pct"/>
            <w:tcBorders>
              <w:tl2br w:val="nil"/>
              <w:tr2bl w:val="nil"/>
            </w:tcBorders>
            <w:vAlign w:val="center"/>
          </w:tcPr>
          <w:p w14:paraId="5632F30F">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轻度危害</w:t>
            </w:r>
          </w:p>
          <w:p w14:paraId="7EF23BBA">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（P4）</w:t>
            </w:r>
          </w:p>
        </w:tc>
      </w:tr>
      <w:tr w14:paraId="108D7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11" w:type="pct"/>
            <w:tcBorders>
              <w:tl2br w:val="nil"/>
              <w:tr2bl w:val="nil"/>
            </w:tcBorders>
            <w:vAlign w:val="center"/>
          </w:tcPr>
          <w:p w14:paraId="1021FC29">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环境高敏感度区（E1）</w:t>
            </w:r>
          </w:p>
        </w:tc>
        <w:tc>
          <w:tcPr>
            <w:tcW w:w="915" w:type="pct"/>
            <w:tcBorders>
              <w:tl2br w:val="nil"/>
              <w:tr2bl w:val="nil"/>
            </w:tcBorders>
            <w:vAlign w:val="center"/>
          </w:tcPr>
          <w:p w14:paraId="02D37130">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IV+</w:t>
            </w:r>
          </w:p>
        </w:tc>
        <w:tc>
          <w:tcPr>
            <w:tcW w:w="915" w:type="pct"/>
            <w:tcBorders>
              <w:tl2br w:val="nil"/>
              <w:tr2bl w:val="nil"/>
            </w:tcBorders>
            <w:vAlign w:val="center"/>
          </w:tcPr>
          <w:p w14:paraId="04A9EC13">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IV</w:t>
            </w:r>
          </w:p>
        </w:tc>
        <w:tc>
          <w:tcPr>
            <w:tcW w:w="915" w:type="pct"/>
            <w:tcBorders>
              <w:tl2br w:val="nil"/>
              <w:tr2bl w:val="nil"/>
            </w:tcBorders>
            <w:vAlign w:val="center"/>
          </w:tcPr>
          <w:p w14:paraId="05D239C6">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c>
          <w:tcPr>
            <w:tcW w:w="944" w:type="pct"/>
            <w:tcBorders>
              <w:tl2br w:val="nil"/>
              <w:tr2bl w:val="nil"/>
            </w:tcBorders>
            <w:vAlign w:val="center"/>
          </w:tcPr>
          <w:p w14:paraId="6CFF131F">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r>
      <w:tr w14:paraId="11C948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11" w:type="pct"/>
            <w:tcBorders>
              <w:tl2br w:val="nil"/>
              <w:tr2bl w:val="nil"/>
            </w:tcBorders>
            <w:vAlign w:val="center"/>
          </w:tcPr>
          <w:p w14:paraId="1D4E852A">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环境中敏感度区（E2）</w:t>
            </w:r>
          </w:p>
        </w:tc>
        <w:tc>
          <w:tcPr>
            <w:tcW w:w="915" w:type="pct"/>
            <w:tcBorders>
              <w:tl2br w:val="nil"/>
              <w:tr2bl w:val="nil"/>
            </w:tcBorders>
            <w:vAlign w:val="center"/>
          </w:tcPr>
          <w:p w14:paraId="68576024">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IV</w:t>
            </w:r>
          </w:p>
        </w:tc>
        <w:tc>
          <w:tcPr>
            <w:tcW w:w="915" w:type="pct"/>
            <w:tcBorders>
              <w:tl2br w:val="nil"/>
              <w:tr2bl w:val="nil"/>
            </w:tcBorders>
            <w:vAlign w:val="center"/>
          </w:tcPr>
          <w:p w14:paraId="7B1034A5">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c>
          <w:tcPr>
            <w:tcW w:w="915" w:type="pct"/>
            <w:tcBorders>
              <w:tl2br w:val="nil"/>
              <w:tr2bl w:val="nil"/>
            </w:tcBorders>
            <w:vAlign w:val="center"/>
          </w:tcPr>
          <w:p w14:paraId="37C0898A">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c>
          <w:tcPr>
            <w:tcW w:w="944" w:type="pct"/>
            <w:tcBorders>
              <w:tl2br w:val="nil"/>
              <w:tr2bl w:val="nil"/>
            </w:tcBorders>
            <w:vAlign w:val="center"/>
          </w:tcPr>
          <w:p w14:paraId="706946AD">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w:t>
            </w:r>
          </w:p>
        </w:tc>
      </w:tr>
      <w:tr w14:paraId="6514B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11" w:type="pct"/>
            <w:tcBorders>
              <w:tl2br w:val="nil"/>
              <w:tr2bl w:val="nil"/>
            </w:tcBorders>
            <w:vAlign w:val="center"/>
          </w:tcPr>
          <w:p w14:paraId="720212B6">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环境低敏感度区（E3）</w:t>
            </w:r>
          </w:p>
        </w:tc>
        <w:tc>
          <w:tcPr>
            <w:tcW w:w="915" w:type="pct"/>
            <w:tcBorders>
              <w:tl2br w:val="nil"/>
              <w:tr2bl w:val="nil"/>
            </w:tcBorders>
            <w:vAlign w:val="center"/>
          </w:tcPr>
          <w:p w14:paraId="5494B32C">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c>
          <w:tcPr>
            <w:tcW w:w="915" w:type="pct"/>
            <w:tcBorders>
              <w:tl2br w:val="nil"/>
              <w:tr2bl w:val="nil"/>
            </w:tcBorders>
            <w:vAlign w:val="center"/>
          </w:tcPr>
          <w:p w14:paraId="67AA7DEB">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III</w:t>
            </w:r>
          </w:p>
        </w:tc>
        <w:tc>
          <w:tcPr>
            <w:tcW w:w="915" w:type="pct"/>
            <w:tcBorders>
              <w:tl2br w:val="nil"/>
              <w:tr2bl w:val="nil"/>
            </w:tcBorders>
            <w:vAlign w:val="center"/>
          </w:tcPr>
          <w:p w14:paraId="12AD7F88">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II</w:t>
            </w:r>
          </w:p>
        </w:tc>
        <w:tc>
          <w:tcPr>
            <w:tcW w:w="944" w:type="pct"/>
            <w:tcBorders>
              <w:tl2br w:val="nil"/>
              <w:tr2bl w:val="nil"/>
            </w:tcBorders>
            <w:vAlign w:val="center"/>
          </w:tcPr>
          <w:p w14:paraId="2502521C">
            <w:pPr>
              <w:adjustRightInd w:val="0"/>
              <w:snapToGrid w:val="0"/>
              <w:spacing w:line="240" w:lineRule="auto"/>
              <w:ind w:firstLine="0" w:firstLineChars="0"/>
              <w:jc w:val="center"/>
              <w:textAlignment w:val="auto"/>
              <w:rPr>
                <w:rFonts w:cs="Times New Roman"/>
                <w:sz w:val="21"/>
                <w:szCs w:val="20"/>
              </w:rPr>
            </w:pPr>
            <w:r>
              <w:rPr>
                <w:rFonts w:cs="Times New Roman"/>
                <w:sz w:val="21"/>
                <w:szCs w:val="20"/>
              </w:rPr>
              <w:t>I</w:t>
            </w:r>
          </w:p>
        </w:tc>
      </w:tr>
      <w:tr w14:paraId="747C89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000" w:type="pct"/>
            <w:gridSpan w:val="5"/>
            <w:tcBorders>
              <w:tl2br w:val="nil"/>
              <w:tr2bl w:val="nil"/>
            </w:tcBorders>
            <w:vAlign w:val="center"/>
          </w:tcPr>
          <w:p w14:paraId="67B70D0D">
            <w:pPr>
              <w:adjustRightInd w:val="0"/>
              <w:snapToGrid w:val="0"/>
              <w:spacing w:line="240" w:lineRule="auto"/>
              <w:ind w:firstLine="0" w:firstLineChars="0"/>
              <w:textAlignment w:val="auto"/>
              <w:rPr>
                <w:rFonts w:cs="Times New Roman"/>
                <w:sz w:val="21"/>
                <w:szCs w:val="20"/>
              </w:rPr>
            </w:pPr>
            <w:r>
              <w:rPr>
                <w:rFonts w:cs="Times New Roman"/>
                <w:sz w:val="21"/>
                <w:szCs w:val="20"/>
              </w:rPr>
              <w:t>注：IV+为极高环境风险</w:t>
            </w:r>
          </w:p>
        </w:tc>
      </w:tr>
    </w:tbl>
    <w:p w14:paraId="2E471F69">
      <w:pPr>
        <w:pStyle w:val="4"/>
      </w:pPr>
      <w:r>
        <w:rPr>
          <w:rFonts w:hint="eastAsia"/>
        </w:rPr>
        <w:t>1</w:t>
      </w:r>
      <w:r>
        <w:t>.5.1</w:t>
      </w:r>
      <w:r>
        <w:rPr>
          <w:rFonts w:hint="eastAsia"/>
        </w:rPr>
        <w:t>危险物质及工艺系统危险性（</w:t>
      </w:r>
      <w:r>
        <w:t>P</w:t>
      </w:r>
      <w:r>
        <w:rPr>
          <w:rFonts w:hint="eastAsia"/>
        </w:rPr>
        <w:t>）的分级确定</w:t>
      </w:r>
    </w:p>
    <w:p w14:paraId="798CDDC7">
      <w:pPr>
        <w:ind w:firstLine="480"/>
      </w:pPr>
      <w:bookmarkStart w:id="45" w:name="OLE_LINK20"/>
      <w:r>
        <w:rPr>
          <w:rFonts w:hint="eastAsia"/>
        </w:rPr>
        <w:t>（1）危险物质数量与临界量比值（</w:t>
      </w:r>
      <w:r>
        <w:t>Q</w:t>
      </w:r>
      <w:r>
        <w:rPr>
          <w:rFonts w:hint="eastAsia"/>
        </w:rPr>
        <w:t>）</w:t>
      </w:r>
    </w:p>
    <w:p w14:paraId="2C2504F2">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计算所涉及的每种危险物质在厂界内的最大存在总量与其在附录</w:t>
      </w:r>
      <w:r>
        <w:rPr>
          <w:rFonts w:cs="等线"/>
          <w:color w:val="000000" w:themeColor="text1"/>
          <w:szCs w:val="20"/>
          <w14:textFill>
            <w14:solidFill>
              <w14:schemeClr w14:val="tx1"/>
            </w14:solidFill>
          </w14:textFill>
        </w:rPr>
        <w:t>B</w:t>
      </w:r>
      <w:r>
        <w:rPr>
          <w:rFonts w:hint="eastAsia" w:cs="等线"/>
          <w:color w:val="000000" w:themeColor="text1"/>
          <w:szCs w:val="20"/>
          <w14:textFill>
            <w14:solidFill>
              <w14:schemeClr w14:val="tx1"/>
            </w14:solidFill>
          </w14:textFill>
        </w:rPr>
        <w:t>中对应临界量的比值</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，计算公式如下：</w:t>
      </w:r>
    </w:p>
    <w:p w14:paraId="233B6FE3">
      <w:pPr>
        <w:ind w:firstLine="480"/>
        <w:textAlignment w:val="auto"/>
        <w:rPr>
          <w:rFonts w:cs="等线"/>
          <w:color w:val="000000" w:themeColor="text1"/>
          <w:szCs w:val="20"/>
          <w14:textFill>
            <w14:solidFill>
              <w14:schemeClr w14:val="tx1"/>
            </w14:solidFill>
          </w14:textFill>
        </w:rPr>
      </w:pPr>
      <m:oMathPara>
        <m:oMath>
          <m:r>
            <m:rPr/>
            <w:rPr>
              <w:rFonts w:ascii="Cambria Math" w:hAnsi="Cambria Math" w:cs="等线"/>
              <w:color w:val="000000" w:themeColor="text1"/>
              <w:szCs w:val="20"/>
              <w14:textFill>
                <w14:solidFill>
                  <w14:schemeClr w14:val="tx1"/>
                </w14:solidFill>
              </w14:textFill>
            </w:rPr>
            <m:t>Q=</m:t>
          </m:r>
          <m:f>
            <m:fPr>
              <m:ctrlPr>
                <w:rPr>
                  <w:rFonts w:ascii="Cambria Math" w:hAnsi="Cambria Math" w:cs="等线"/>
                  <w:i/>
                  <w:color w:val="000000" w:themeColor="text1"/>
                  <w14:textFill>
                    <w14:solidFill>
                      <w14:schemeClr w14:val="tx1"/>
                    </w14:solidFill>
                  </w14:textFill>
                </w:rPr>
              </m:ctrlPr>
            </m:fPr>
            <m:num>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1</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num>
            <m:den>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2</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den>
          </m:f>
          <m:r>
            <m:rPr/>
            <w:rPr>
              <w:rFonts w:ascii="Cambria Math" w:hAnsi="Cambria Math" w:cs="等线"/>
              <w:color w:val="000000" w:themeColor="text1"/>
              <w:szCs w:val="20"/>
              <w14:textFill>
                <w14:solidFill>
                  <w14:schemeClr w14:val="tx1"/>
                </w14:solidFill>
              </w14:textFill>
            </w:rPr>
            <m:t>+</m:t>
          </m:r>
          <m:f>
            <m:fPr>
              <m:ctrlPr>
                <w:rPr>
                  <w:rFonts w:ascii="Cambria Math" w:hAnsi="Cambria Math" w:cs="等线"/>
                  <w:i/>
                  <w:color w:val="000000" w:themeColor="text1"/>
                  <w14:textFill>
                    <w14:solidFill>
                      <w14:schemeClr w14:val="tx1"/>
                    </w14:solidFill>
                  </w14:textFill>
                </w:rPr>
              </m:ctrlPr>
            </m:fPr>
            <m:num>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2</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num>
            <m:den>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2</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den>
          </m:f>
          <m:r>
            <m:rPr/>
            <w:rPr>
              <w:rFonts w:ascii="Cambria Math" w:hAnsi="Cambria Math" w:cs="等线"/>
              <w:color w:val="000000" w:themeColor="text1"/>
              <w:szCs w:val="20"/>
              <w14:textFill>
                <w14:solidFill>
                  <w14:schemeClr w14:val="tx1"/>
                </w14:solidFill>
              </w14:textFill>
            </w:rPr>
            <m:t>+…</m:t>
          </m:r>
          <m:f>
            <m:fPr>
              <m:ctrlPr>
                <w:rPr>
                  <w:rFonts w:ascii="Cambria Math" w:hAnsi="Cambria Math" w:cs="等线"/>
                  <w:i/>
                  <w:color w:val="000000" w:themeColor="text1"/>
                  <w14:textFill>
                    <w14:solidFill>
                      <w14:schemeClr w14:val="tx1"/>
                    </w14:solidFill>
                  </w14:textFill>
                </w:rPr>
              </m:ctrlPr>
            </m:fPr>
            <m:num>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n</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num>
            <m:den>
              <m:sSub>
                <m:sSubPr>
                  <m:ctrlPr>
                    <w:rPr>
                      <w:rFonts w:ascii="Cambria Math" w:hAnsi="Cambria Math" w:cs="等线"/>
                      <w:i/>
                      <w:color w:val="000000" w:themeColor="text1"/>
                      <w14:textFill>
                        <w14:solidFill>
                          <w14:schemeClr w14:val="tx1"/>
                        </w14:solidFill>
                      </w14:textFill>
                    </w:rPr>
                  </m:ctrlPr>
                </m:sSubPr>
                <m:e>
                  <m:r>
                    <m:rPr/>
                    <w:rPr>
                      <w:rFonts w:ascii="Cambria Math" w:hAnsi="Cambria Math" w:cs="等线"/>
                      <w:color w:val="000000" w:themeColor="text1"/>
                      <w:szCs w:val="20"/>
                      <w14:textFill>
                        <w14:solidFill>
                          <w14:schemeClr w14:val="tx1"/>
                        </w14:solidFill>
                      </w14:textFill>
                    </w:rPr>
                    <m:t>Q</m:t>
                  </m:r>
                  <m:ctrlPr>
                    <w:rPr>
                      <w:rFonts w:ascii="Cambria Math" w:hAnsi="Cambria Math" w:cs="等线"/>
                      <w:i/>
                      <w:color w:val="000000" w:themeColor="text1"/>
                      <w14:textFill>
                        <w14:solidFill>
                          <w14:schemeClr w14:val="tx1"/>
                        </w14:solidFill>
                      </w14:textFill>
                    </w:rPr>
                  </m:ctrlPr>
                </m:e>
                <m:sub>
                  <m:r>
                    <m:rPr/>
                    <w:rPr>
                      <w:rFonts w:ascii="Cambria Math" w:hAnsi="Cambria Math" w:cs="等线"/>
                      <w:color w:val="000000" w:themeColor="text1"/>
                      <w:szCs w:val="20"/>
                      <w14:textFill>
                        <w14:solidFill>
                          <w14:schemeClr w14:val="tx1"/>
                        </w14:solidFill>
                      </w14:textFill>
                    </w:rPr>
                    <m:t>n</m:t>
                  </m:r>
                  <m:ctrlPr>
                    <w:rPr>
                      <w:rFonts w:ascii="Cambria Math" w:hAnsi="Cambria Math" w:cs="等线"/>
                      <w:i/>
                      <w:color w:val="000000" w:themeColor="text1"/>
                      <w14:textFill>
                        <w14:solidFill>
                          <w14:schemeClr w14:val="tx1"/>
                        </w14:solidFill>
                      </w14:textFill>
                    </w:rPr>
                  </m:ctrlPr>
                </m:sub>
              </m:sSub>
              <m:ctrlPr>
                <w:rPr>
                  <w:rFonts w:ascii="Cambria Math" w:hAnsi="Cambria Math" w:cs="等线"/>
                  <w:i/>
                  <w:color w:val="000000" w:themeColor="text1"/>
                  <w14:textFill>
                    <w14:solidFill>
                      <w14:schemeClr w14:val="tx1"/>
                    </w14:solidFill>
                  </w14:textFill>
                </w:rPr>
              </m:ctrlPr>
            </m:den>
          </m:f>
        </m:oMath>
      </m:oMathPara>
    </w:p>
    <w:p w14:paraId="3A40253E">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式中：</w:t>
      </w: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1</w:t>
      </w:r>
      <w:r>
        <w:rPr>
          <w:rFonts w:hint="eastAsia" w:cs="等线"/>
          <w:color w:val="000000" w:themeColor="text1"/>
          <w:szCs w:val="20"/>
          <w14:textFill>
            <w14:solidFill>
              <w14:schemeClr w14:val="tx1"/>
            </w14:solidFill>
          </w14:textFill>
        </w:rPr>
        <w:t>、</w:t>
      </w: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2</w:t>
      </w:r>
      <w:r>
        <w:rPr>
          <w:rFonts w:hint="eastAsia" w:cs="等线"/>
          <w:color w:val="000000" w:themeColor="text1"/>
          <w:szCs w:val="20"/>
          <w14:textFill>
            <w14:solidFill>
              <w14:schemeClr w14:val="tx1"/>
            </w14:solidFill>
          </w14:textFill>
        </w:rPr>
        <w:t>、…</w:t>
      </w: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n</w:t>
      </w:r>
      <w:r>
        <w:rPr>
          <w:rFonts w:cs="等线"/>
          <w:color w:val="000000" w:themeColor="text1"/>
          <w:szCs w:val="20"/>
          <w14:textFill>
            <w14:solidFill>
              <w14:schemeClr w14:val="tx1"/>
            </w14:solidFill>
          </w14:textFill>
        </w:rPr>
        <w:t>----</w:t>
      </w:r>
      <w:r>
        <w:rPr>
          <w:rFonts w:hint="eastAsia" w:cs="等线"/>
          <w:color w:val="000000" w:themeColor="text1"/>
          <w:szCs w:val="20"/>
          <w14:textFill>
            <w14:solidFill>
              <w14:schemeClr w14:val="tx1"/>
            </w14:solidFill>
          </w14:textFill>
        </w:rPr>
        <w:t>每种危险物质的最大存在总量，</w:t>
      </w:r>
      <w:r>
        <w:rPr>
          <w:rFonts w:cs="等线"/>
          <w:color w:val="000000" w:themeColor="text1"/>
          <w:szCs w:val="20"/>
          <w14:textFill>
            <w14:solidFill>
              <w14:schemeClr w14:val="tx1"/>
            </w14:solidFill>
          </w14:textFill>
        </w:rPr>
        <w:t>t</w:t>
      </w:r>
      <w:r>
        <w:rPr>
          <w:rFonts w:hint="eastAsia" w:cs="等线"/>
          <w:color w:val="000000" w:themeColor="text1"/>
          <w:szCs w:val="20"/>
          <w14:textFill>
            <w14:solidFill>
              <w14:schemeClr w14:val="tx1"/>
            </w14:solidFill>
          </w14:textFill>
        </w:rPr>
        <w:t>；</w:t>
      </w:r>
    </w:p>
    <w:p w14:paraId="49E183D4">
      <w:pPr>
        <w:ind w:firstLine="1200" w:firstLineChars="500"/>
        <w:textAlignment w:val="auto"/>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1</w:t>
      </w:r>
      <w:r>
        <w:rPr>
          <w:rFonts w:hint="eastAsia" w:cs="等线"/>
          <w:color w:val="000000" w:themeColor="text1"/>
          <w:szCs w:val="20"/>
          <w14:textFill>
            <w14:solidFill>
              <w14:schemeClr w14:val="tx1"/>
            </w14:solidFill>
          </w14:textFill>
        </w:rPr>
        <w:t>、</w:t>
      </w: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2</w:t>
      </w:r>
      <w:r>
        <w:rPr>
          <w:rFonts w:hint="eastAsia" w:cs="等线"/>
          <w:color w:val="000000" w:themeColor="text1"/>
          <w:szCs w:val="20"/>
          <w14:textFill>
            <w14:solidFill>
              <w14:schemeClr w14:val="tx1"/>
            </w14:solidFill>
          </w14:textFill>
        </w:rPr>
        <w:t>、…</w:t>
      </w:r>
      <w:r>
        <w:rPr>
          <w:rFonts w:cs="等线"/>
          <w:color w:val="000000" w:themeColor="text1"/>
          <w:szCs w:val="20"/>
          <w14:textFill>
            <w14:solidFill>
              <w14:schemeClr w14:val="tx1"/>
            </w14:solidFill>
          </w14:textFill>
        </w:rPr>
        <w:t>Q</w:t>
      </w:r>
      <w:r>
        <w:rPr>
          <w:rFonts w:cs="等线"/>
          <w:color w:val="000000" w:themeColor="text1"/>
          <w:szCs w:val="20"/>
          <w:vertAlign w:val="subscript"/>
          <w14:textFill>
            <w14:solidFill>
              <w14:schemeClr w14:val="tx1"/>
            </w14:solidFill>
          </w14:textFill>
        </w:rPr>
        <w:t>n</w:t>
      </w:r>
      <w:r>
        <w:rPr>
          <w:rFonts w:cs="等线"/>
          <w:color w:val="000000" w:themeColor="text1"/>
          <w:szCs w:val="20"/>
          <w14:textFill>
            <w14:solidFill>
              <w14:schemeClr w14:val="tx1"/>
            </w14:solidFill>
          </w14:textFill>
        </w:rPr>
        <w:t>----</w:t>
      </w:r>
      <w:r>
        <w:rPr>
          <w:rFonts w:hint="eastAsia" w:cs="等线"/>
          <w:color w:val="000000" w:themeColor="text1"/>
          <w:szCs w:val="20"/>
          <w14:textFill>
            <w14:solidFill>
              <w14:schemeClr w14:val="tx1"/>
            </w14:solidFill>
          </w14:textFill>
        </w:rPr>
        <w:t>每种危险物质相对应的临界量，</w:t>
      </w:r>
      <w:r>
        <w:rPr>
          <w:rFonts w:cs="等线"/>
          <w:color w:val="000000" w:themeColor="text1"/>
          <w:szCs w:val="20"/>
          <w14:textFill>
            <w14:solidFill>
              <w14:schemeClr w14:val="tx1"/>
            </w14:solidFill>
          </w14:textFill>
        </w:rPr>
        <w:t>t.</w:t>
      </w:r>
    </w:p>
    <w:p w14:paraId="6B8B40B8">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计算出</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值后，当</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w:t>
      </w:r>
      <w:r>
        <w:rPr>
          <w:rFonts w:cs="等线"/>
          <w:color w:val="000000" w:themeColor="text1"/>
          <w:szCs w:val="20"/>
          <w14:textFill>
            <w14:solidFill>
              <w14:schemeClr w14:val="tx1"/>
            </w14:solidFill>
          </w14:textFill>
        </w:rPr>
        <w:t>1</w:t>
      </w:r>
      <w:r>
        <w:rPr>
          <w:rFonts w:hint="eastAsia" w:cs="等线"/>
          <w:color w:val="000000" w:themeColor="text1"/>
          <w:szCs w:val="20"/>
          <w14:textFill>
            <w14:solidFill>
              <w14:schemeClr w14:val="tx1"/>
            </w14:solidFill>
          </w14:textFill>
        </w:rPr>
        <w:t>时，该项目环境风险潜势为</w:t>
      </w:r>
      <w:r>
        <w:rPr>
          <w:rFonts w:cs="等线"/>
          <w:color w:val="000000" w:themeColor="text1"/>
          <w:szCs w:val="20"/>
          <w14:textFill>
            <w14:solidFill>
              <w14:schemeClr w14:val="tx1"/>
            </w14:solidFill>
          </w14:textFill>
        </w:rPr>
        <w:t>I</w:t>
      </w:r>
      <w:r>
        <w:rPr>
          <w:rFonts w:hint="eastAsia" w:cs="等线"/>
          <w:color w:val="000000" w:themeColor="text1"/>
          <w:szCs w:val="20"/>
          <w14:textFill>
            <w14:solidFill>
              <w14:schemeClr w14:val="tx1"/>
            </w14:solidFill>
          </w14:textFill>
        </w:rPr>
        <w:t>。</w:t>
      </w:r>
    </w:p>
    <w:p w14:paraId="583EB17A">
      <w:pPr>
        <w:ind w:firstLine="480"/>
        <w:textAlignment w:val="auto"/>
        <w:rPr>
          <w:rFonts w:cs="Times New Roman"/>
          <w:color w:val="000000" w:themeColor="text1"/>
          <w:szCs w:val="20"/>
          <w14:textFill>
            <w14:solidFill>
              <w14:schemeClr w14:val="tx1"/>
            </w14:solidFill>
          </w14:textFill>
        </w:rPr>
      </w:pPr>
      <w:r>
        <w:rPr>
          <w:rFonts w:cs="Times New Roman"/>
          <w:color w:val="000000" w:themeColor="text1"/>
          <w:szCs w:val="20"/>
          <w14:textFill>
            <w14:solidFill>
              <w14:schemeClr w14:val="tx1"/>
            </w14:solidFill>
          </w14:textFill>
        </w:rPr>
        <w:t>当Q≥1时，将Q值划分为：（1）1≤Q＜10；（2）10≤Q＜100；（3）Q≥100。</w:t>
      </w:r>
    </w:p>
    <w:p w14:paraId="782B7F0B">
      <w:pPr>
        <w:ind w:firstLine="480"/>
        <w:textAlignment w:val="auto"/>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通过工程分析中项目所涉及的物质，筛选出生产、加工、运输及储存过程中涉及的危险物质，结合《建设项目环境风险评价技术导则》（</w:t>
      </w:r>
      <w:r>
        <w:rPr>
          <w:color w:val="000000" w:themeColor="text1"/>
          <w:kern w:val="0"/>
          <w:szCs w:val="20"/>
          <w14:textFill>
            <w14:solidFill>
              <w14:schemeClr w14:val="tx1"/>
            </w14:solidFill>
          </w14:textFill>
        </w:rPr>
        <w:t>HJ169-2018</w:t>
      </w:r>
      <w:r>
        <w:rPr>
          <w:rFonts w:hint="eastAsia"/>
          <w:color w:val="000000" w:themeColor="text1"/>
          <w:kern w:val="0"/>
          <w:szCs w:val="20"/>
          <w14:textFill>
            <w14:solidFill>
              <w14:schemeClr w14:val="tx1"/>
            </w14:solidFill>
          </w14:textFill>
        </w:rPr>
        <w:t>）附录</w:t>
      </w:r>
      <w:r>
        <w:rPr>
          <w:color w:val="000000" w:themeColor="text1"/>
          <w:kern w:val="0"/>
          <w:szCs w:val="20"/>
          <w14:textFill>
            <w14:solidFill>
              <w14:schemeClr w14:val="tx1"/>
            </w14:solidFill>
          </w14:textFill>
        </w:rPr>
        <w:t>B</w:t>
      </w:r>
      <w:r>
        <w:rPr>
          <w:rFonts w:hint="eastAsia"/>
          <w:color w:val="000000" w:themeColor="text1"/>
          <w:kern w:val="0"/>
          <w:szCs w:val="20"/>
          <w14:textFill>
            <w14:solidFill>
              <w14:schemeClr w14:val="tx1"/>
            </w14:solidFill>
          </w14:textFill>
        </w:rPr>
        <w:t>、附录C相关物质进行对比，本项目涉及的危险物质为丁烷、丙烷和乙炔，本项目储存容积丙烷为40m</w:t>
      </w:r>
      <w:r>
        <w:rPr>
          <w:rFonts w:hint="eastAsia"/>
          <w:color w:val="000000" w:themeColor="text1"/>
          <w:kern w:val="0"/>
          <w:szCs w:val="20"/>
          <w:vertAlign w:val="superscript"/>
          <w14:textFill>
            <w14:solidFill>
              <w14:schemeClr w14:val="tx1"/>
            </w14:solidFill>
          </w14:textFill>
        </w:rPr>
        <w:t>3</w:t>
      </w:r>
      <w:r>
        <w:rPr>
          <w:rFonts w:hint="eastAsia"/>
          <w:color w:val="000000" w:themeColor="text1"/>
          <w:kern w:val="0"/>
          <w:szCs w:val="20"/>
          <w14:textFill>
            <w14:solidFill>
              <w14:schemeClr w14:val="tx1"/>
            </w14:solidFill>
          </w14:textFill>
        </w:rPr>
        <w:t>，丁烷为40m</w:t>
      </w:r>
      <w:r>
        <w:rPr>
          <w:rFonts w:hint="eastAsia"/>
          <w:color w:val="000000" w:themeColor="text1"/>
          <w:kern w:val="0"/>
          <w:szCs w:val="20"/>
          <w:vertAlign w:val="superscript"/>
          <w14:textFill>
            <w14:solidFill>
              <w14:schemeClr w14:val="tx1"/>
            </w14:solidFill>
          </w14:textFill>
        </w:rPr>
        <w:t>3</w:t>
      </w:r>
      <w:r>
        <w:rPr>
          <w:rFonts w:hint="eastAsia"/>
          <w:color w:val="000000" w:themeColor="text1"/>
          <w:kern w:val="0"/>
          <w:szCs w:val="20"/>
          <w14:textFill>
            <w14:solidFill>
              <w14:schemeClr w14:val="tx1"/>
            </w14:solidFill>
          </w14:textFill>
        </w:rPr>
        <w:t>储罐采用4台20m</w:t>
      </w:r>
      <w:r>
        <w:rPr>
          <w:rFonts w:hint="eastAsia"/>
          <w:color w:val="000000" w:themeColor="text1"/>
          <w:kern w:val="0"/>
          <w:szCs w:val="20"/>
          <w:vertAlign w:val="superscript"/>
          <w14:textFill>
            <w14:solidFill>
              <w14:schemeClr w14:val="tx1"/>
            </w14:solidFill>
          </w14:textFill>
        </w:rPr>
        <w:t>3</w:t>
      </w:r>
      <w:r>
        <w:rPr>
          <w:rFonts w:hint="eastAsia"/>
          <w:color w:val="000000" w:themeColor="text1"/>
          <w:kern w:val="0"/>
          <w:szCs w:val="20"/>
          <w14:textFill>
            <w14:solidFill>
              <w14:schemeClr w14:val="tx1"/>
            </w14:solidFill>
          </w14:textFill>
        </w:rPr>
        <w:t>埋地卧式储罐，其中丙烷为2台，丁烷为2台。</w:t>
      </w:r>
    </w:p>
    <w:p w14:paraId="37B5AE26">
      <w:pPr>
        <w:ind w:firstLine="480"/>
        <w:textAlignment w:val="auto"/>
        <w:rPr>
          <w:rFonts w:cs="等线"/>
          <w:color w:val="000000" w:themeColor="text1"/>
          <w:szCs w:val="20"/>
          <w14:textFill>
            <w14:solidFill>
              <w14:schemeClr w14:val="tx1"/>
            </w14:solidFill>
          </w14:textFill>
        </w:rPr>
      </w:pPr>
      <w:r>
        <w:rPr>
          <w:rFonts w:hint="eastAsia"/>
        </w:rPr>
        <w:t>丁烷最大储存在量：</w:t>
      </w:r>
      <w:r>
        <w:rPr>
          <w:rFonts w:cs="Times New Roman"/>
        </w:rPr>
        <w:t>储罐的标称容积为20m</w:t>
      </w:r>
      <w:r>
        <w:rPr>
          <w:rFonts w:cs="Times New Roman"/>
          <w:vertAlign w:val="superscript"/>
        </w:rPr>
        <w:t>3</w:t>
      </w:r>
      <w:r>
        <w:rPr>
          <w:rFonts w:cs="Times New Roman"/>
        </w:rPr>
        <w:t>，一般建议的安全填充系数为85%到90%。</w:t>
      </w:r>
      <w:r>
        <w:rPr>
          <w:rFonts w:cs="等线"/>
          <w:color w:val="000000" w:themeColor="text1"/>
          <w:szCs w:val="20"/>
          <w14:textFill>
            <w14:solidFill>
              <w14:schemeClr w14:val="tx1"/>
            </w14:solidFill>
          </w14:textFill>
        </w:rPr>
        <w:t>本项目取安全填充系数为90%，则每个储罐的有效容积=20m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×90%=18m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w:t>
      </w:r>
    </w:p>
    <w:p w14:paraId="4FE6CA09">
      <w:pPr>
        <w:ind w:firstLine="480"/>
        <w:textAlignment w:val="auto"/>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单个储罐的最大储存质量=有</w:t>
      </w:r>
      <w:r>
        <w:rPr>
          <w:rFonts w:cs="Times New Roman"/>
          <w:color w:val="000000" w:themeColor="text1"/>
          <w:szCs w:val="20"/>
          <w14:textFill>
            <w14:solidFill>
              <w14:schemeClr w14:val="tx1"/>
            </w14:solidFill>
          </w14:textFill>
        </w:rPr>
        <w:t>效容积×密度=18m</w:t>
      </w:r>
      <w:r>
        <w:rPr>
          <w:rFonts w:cs="Times New Roman"/>
          <w:color w:val="000000" w:themeColor="text1"/>
          <w:szCs w:val="20"/>
          <w:vertAlign w:val="superscript"/>
          <w14:textFill>
            <w14:solidFill>
              <w14:schemeClr w14:val="tx1"/>
            </w14:solidFill>
          </w14:textFill>
        </w:rPr>
        <w:t>3</w:t>
      </w:r>
      <w:r>
        <w:rPr>
          <w:rFonts w:cs="Times New Roman"/>
          <w:color w:val="000000" w:themeColor="text1"/>
          <w:szCs w:val="20"/>
          <w14:textFill>
            <w14:solidFill>
              <w14:schemeClr w14:val="tx1"/>
            </w14:solidFill>
          </w14:textFill>
        </w:rPr>
        <w:t>×578.8kg/m</w:t>
      </w:r>
      <w:r>
        <w:rPr>
          <w:rFonts w:cs="Times New Roman"/>
          <w:color w:val="000000" w:themeColor="text1"/>
          <w:szCs w:val="20"/>
          <w:vertAlign w:val="superscript"/>
          <w14:textFill>
            <w14:solidFill>
              <w14:schemeClr w14:val="tx1"/>
            </w14:solidFill>
          </w14:textFill>
        </w:rPr>
        <w:t>3</w:t>
      </w:r>
      <w:r>
        <w:rPr>
          <w:rFonts w:cs="Times New Roman"/>
          <w:color w:val="000000" w:themeColor="text1"/>
          <w:szCs w:val="20"/>
          <w14:textFill>
            <w14:solidFill>
              <w14:schemeClr w14:val="tx1"/>
            </w14:solidFill>
          </w14:textFill>
        </w:rPr>
        <w:t>≈10.42</w:t>
      </w:r>
      <w:r>
        <w:rPr>
          <w:rFonts w:cs="等线"/>
          <w:color w:val="000000" w:themeColor="text1"/>
          <w:szCs w:val="20"/>
          <w14:textFill>
            <w14:solidFill>
              <w14:schemeClr w14:val="tx1"/>
            </w14:solidFill>
          </w14:textFill>
        </w:rPr>
        <w:t>t。</w:t>
      </w:r>
    </w:p>
    <w:p w14:paraId="63E19A20">
      <w:pPr>
        <w:ind w:firstLine="480"/>
        <w:textAlignment w:val="auto"/>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总最大储存量=单个储罐最大储存量×2=10.42t×2≈20.84t</w:t>
      </w:r>
      <w:r>
        <w:rPr>
          <w:rFonts w:hint="eastAsia" w:cs="等线"/>
          <w:color w:val="000000" w:themeColor="text1"/>
          <w:szCs w:val="20"/>
          <w14:textFill>
            <w14:solidFill>
              <w14:schemeClr w14:val="tx1"/>
            </w14:solidFill>
          </w14:textFill>
        </w:rPr>
        <w:t>。</w:t>
      </w:r>
    </w:p>
    <w:p w14:paraId="60E2BC2D">
      <w:pPr>
        <w:ind w:firstLine="480"/>
        <w:textAlignment w:val="auto"/>
        <w:rPr>
          <w:rFonts w:cs="等线"/>
          <w:color w:val="000000" w:themeColor="text1"/>
          <w:szCs w:val="20"/>
          <w14:textFill>
            <w14:solidFill>
              <w14:schemeClr w14:val="tx1"/>
            </w14:solidFill>
          </w14:textFill>
        </w:rPr>
      </w:pPr>
      <w:r>
        <w:rPr>
          <w:rFonts w:hint="eastAsia"/>
        </w:rPr>
        <w:t>丙烷最大储存在量：</w:t>
      </w:r>
      <w:r>
        <w:rPr>
          <w:rFonts w:cs="Times New Roman"/>
        </w:rPr>
        <w:t>储罐的标称容积为20m</w:t>
      </w:r>
      <w:r>
        <w:rPr>
          <w:rFonts w:cs="Times New Roman"/>
          <w:vertAlign w:val="superscript"/>
        </w:rPr>
        <w:t>3</w:t>
      </w:r>
      <w:r>
        <w:rPr>
          <w:rFonts w:cs="Times New Roman"/>
        </w:rPr>
        <w:t>，一般建议的安全填充系数为85%到90%。</w:t>
      </w:r>
      <w:r>
        <w:rPr>
          <w:rFonts w:cs="等线"/>
          <w:color w:val="000000" w:themeColor="text1"/>
          <w:szCs w:val="20"/>
          <w14:textFill>
            <w14:solidFill>
              <w14:schemeClr w14:val="tx1"/>
            </w14:solidFill>
          </w14:textFill>
        </w:rPr>
        <w:t>本项目取安全填充系数为90%，则每个储罐的有效容积=20m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×90%=18m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w:t>
      </w:r>
    </w:p>
    <w:p w14:paraId="755A0288">
      <w:pPr>
        <w:ind w:firstLine="480"/>
        <w:textAlignment w:val="auto"/>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单个储罐的最大储存质量=有效容积×密度=18m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×510kg/m</w:t>
      </w:r>
      <w:r>
        <w:rPr>
          <w:rFonts w:cs="等线"/>
          <w:color w:val="000000" w:themeColor="text1"/>
          <w:szCs w:val="20"/>
          <w:vertAlign w:val="superscript"/>
          <w14:textFill>
            <w14:solidFill>
              <w14:schemeClr w14:val="tx1"/>
            </w14:solidFill>
          </w14:textFill>
        </w:rPr>
        <w:t>3</w:t>
      </w:r>
      <w:r>
        <w:rPr>
          <w:rFonts w:cs="等线"/>
          <w:color w:val="000000" w:themeColor="text1"/>
          <w:szCs w:val="20"/>
          <w14:textFill>
            <w14:solidFill>
              <w14:schemeClr w14:val="tx1"/>
            </w14:solidFill>
          </w14:textFill>
        </w:rPr>
        <w:t>≈9.18</w:t>
      </w:r>
      <w:r>
        <w:rPr>
          <w:rFonts w:hint="eastAsia" w:cs="等线"/>
          <w:color w:val="000000" w:themeColor="text1"/>
          <w:szCs w:val="20"/>
          <w14:textFill>
            <w14:solidFill>
              <w14:schemeClr w14:val="tx1"/>
            </w14:solidFill>
          </w14:textFill>
        </w:rPr>
        <w:t>t</w:t>
      </w:r>
      <w:r>
        <w:rPr>
          <w:rFonts w:cs="等线"/>
          <w:color w:val="000000" w:themeColor="text1"/>
          <w:szCs w:val="20"/>
          <w14:textFill>
            <w14:solidFill>
              <w14:schemeClr w14:val="tx1"/>
            </w14:solidFill>
          </w14:textFill>
        </w:rPr>
        <w:t>。</w:t>
      </w:r>
    </w:p>
    <w:p w14:paraId="192002BC">
      <w:pPr>
        <w:ind w:firstLine="480"/>
        <w:textAlignment w:val="auto"/>
        <w:rPr>
          <w:rFonts w:cs="等线"/>
          <w:color w:val="000000" w:themeColor="text1"/>
          <w:szCs w:val="20"/>
          <w14:textFill>
            <w14:solidFill>
              <w14:schemeClr w14:val="tx1"/>
            </w14:solidFill>
          </w14:textFill>
        </w:rPr>
      </w:pPr>
      <w:r>
        <w:rPr>
          <w:rFonts w:cs="等线"/>
          <w:color w:val="000000" w:themeColor="text1"/>
          <w:szCs w:val="20"/>
          <w14:textFill>
            <w14:solidFill>
              <w14:schemeClr w14:val="tx1"/>
            </w14:solidFill>
          </w14:textFill>
        </w:rPr>
        <w:t>总最大储存量=单个储罐最大储存量×2=9.18t×2≈18.36t</w:t>
      </w:r>
      <w:r>
        <w:rPr>
          <w:rFonts w:hint="eastAsia" w:cs="等线"/>
          <w:color w:val="000000" w:themeColor="text1"/>
          <w:szCs w:val="20"/>
          <w14:textFill>
            <w14:solidFill>
              <w14:schemeClr w14:val="tx1"/>
            </w14:solidFill>
          </w14:textFill>
        </w:rPr>
        <w:t>。</w:t>
      </w:r>
    </w:p>
    <w:p w14:paraId="0B0A382A">
      <w:pPr>
        <w:ind w:firstLine="480"/>
        <w:textAlignment w:val="auto"/>
      </w:pPr>
      <w:r>
        <w:rPr>
          <w:rFonts w:hint="eastAsia"/>
        </w:rPr>
        <w:t>本项目不设固定库存，实行“以单定进、即进即出”的运作模式。乙炔气瓶由供应商根据客户需求从库尔勒配送至本地，到货后由客户现场提走，无长期储存环节。气瓶库仅用于临时周转，最大瞬时储存量不超过</w:t>
      </w:r>
      <w:r>
        <w:t>20</w:t>
      </w:r>
      <w:r>
        <w:rPr>
          <w:rFonts w:hint="eastAsia"/>
        </w:rPr>
        <w:t>瓶，最大储存量是0.14t。</w:t>
      </w:r>
    </w:p>
    <w:p w14:paraId="7C15AC5A">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项目所处区域为非敏感地区，风险物质数量与其临界量比值（Q）。</w:t>
      </w:r>
    </w:p>
    <w:p w14:paraId="6681F287">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本项目的比值</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计算结果见表1-</w:t>
      </w:r>
      <w:r>
        <w:rPr>
          <w:rFonts w:cs="等线"/>
          <w:color w:val="000000" w:themeColor="text1"/>
          <w:szCs w:val="20"/>
          <w14:textFill>
            <w14:solidFill>
              <w14:schemeClr w14:val="tx1"/>
            </w14:solidFill>
          </w14:textFill>
        </w:rPr>
        <w:t>3</w:t>
      </w:r>
      <w:r>
        <w:rPr>
          <w:rFonts w:hint="eastAsia" w:cs="等线"/>
          <w:color w:val="000000" w:themeColor="text1"/>
          <w:szCs w:val="20"/>
          <w14:textFill>
            <w14:solidFill>
              <w14:schemeClr w14:val="tx1"/>
            </w14:solidFill>
          </w14:textFill>
        </w:rPr>
        <w:t>。</w:t>
      </w:r>
    </w:p>
    <w:p w14:paraId="22420C5F">
      <w:pPr>
        <w:keepNext/>
        <w:spacing w:line="240" w:lineRule="auto"/>
        <w:ind w:firstLine="0" w:firstLineChars="0"/>
        <w:jc w:val="center"/>
        <w:rPr>
          <w:rFonts w:cs="Times New Roman"/>
          <w:b/>
          <w:snapToGrid w:val="0"/>
          <w:kern w:val="0"/>
          <w:sz w:val="21"/>
        </w:rPr>
      </w:pPr>
      <w:r>
        <w:rPr>
          <w:rFonts w:hint="eastAsia" w:cs="Times New Roman"/>
          <w:b/>
          <w:snapToGrid w:val="0"/>
          <w:kern w:val="0"/>
          <w:sz w:val="21"/>
        </w:rPr>
        <w:t>表</w:t>
      </w:r>
      <w:r>
        <w:rPr>
          <w:rFonts w:cs="Times New Roman"/>
          <w:b/>
          <w:snapToGrid w:val="0"/>
          <w:kern w:val="0"/>
          <w:sz w:val="21"/>
        </w:rPr>
        <w:t>1-3</w:t>
      </w:r>
      <w:r>
        <w:rPr>
          <w:rFonts w:hint="eastAsia" w:cs="Times New Roman"/>
          <w:b/>
          <w:snapToGrid w:val="0"/>
          <w:kern w:val="0"/>
          <w:sz w:val="21"/>
        </w:rPr>
        <w:t xml:space="preserve">  本项目危险物质数量与临界量比值（Q）</w:t>
      </w:r>
    </w:p>
    <w:tbl>
      <w:tblPr>
        <w:tblStyle w:val="86"/>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320"/>
        <w:gridCol w:w="2320"/>
        <w:gridCol w:w="2323"/>
        <w:gridCol w:w="2323"/>
      </w:tblGrid>
      <w:tr w14:paraId="1325EF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vAlign w:val="center"/>
          </w:tcPr>
          <w:p w14:paraId="5AE15E7E">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危险物质名称</w:t>
            </w:r>
          </w:p>
        </w:tc>
        <w:tc>
          <w:tcPr>
            <w:tcW w:w="1249" w:type="pct"/>
            <w:vAlign w:val="center"/>
          </w:tcPr>
          <w:p w14:paraId="12F2FAA4">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临界量Qn（t）</w:t>
            </w:r>
          </w:p>
        </w:tc>
        <w:tc>
          <w:tcPr>
            <w:tcW w:w="1251" w:type="pct"/>
            <w:vAlign w:val="center"/>
          </w:tcPr>
          <w:p w14:paraId="0E862A84">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最大实际储量q（t）</w:t>
            </w:r>
          </w:p>
        </w:tc>
        <w:tc>
          <w:tcPr>
            <w:tcW w:w="1251" w:type="pct"/>
            <w:vAlign w:val="center"/>
          </w:tcPr>
          <w:p w14:paraId="4C19C1A0">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Q</w:t>
            </w:r>
            <w:r>
              <w:rPr>
                <w:rFonts w:hint="eastAsia" w:cs="Times New Roman"/>
                <w:snapToGrid w:val="0"/>
                <w:kern w:val="0"/>
                <w:sz w:val="21"/>
                <w:szCs w:val="21"/>
              </w:rPr>
              <w:t>值</w:t>
            </w:r>
          </w:p>
        </w:tc>
      </w:tr>
      <w:tr w14:paraId="02F2D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vAlign w:val="center"/>
          </w:tcPr>
          <w:p w14:paraId="315DA81F">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丁烷</w:t>
            </w:r>
          </w:p>
        </w:tc>
        <w:tc>
          <w:tcPr>
            <w:tcW w:w="1249" w:type="pct"/>
            <w:vAlign w:val="center"/>
          </w:tcPr>
          <w:p w14:paraId="71076A1A">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10</w:t>
            </w:r>
          </w:p>
        </w:tc>
        <w:tc>
          <w:tcPr>
            <w:tcW w:w="1251" w:type="pct"/>
          </w:tcPr>
          <w:p w14:paraId="447E542B">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20.84</w:t>
            </w:r>
          </w:p>
        </w:tc>
        <w:tc>
          <w:tcPr>
            <w:tcW w:w="1251" w:type="pct"/>
            <w:vAlign w:val="center"/>
          </w:tcPr>
          <w:p w14:paraId="3D6FBEAD">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2</w:t>
            </w:r>
            <w:r>
              <w:rPr>
                <w:rFonts w:cs="Times New Roman"/>
                <w:snapToGrid w:val="0"/>
                <w:kern w:val="0"/>
                <w:sz w:val="21"/>
                <w:szCs w:val="21"/>
              </w:rPr>
              <w:t>.084</w:t>
            </w:r>
          </w:p>
        </w:tc>
      </w:tr>
      <w:tr w14:paraId="60E504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vAlign w:val="center"/>
          </w:tcPr>
          <w:p w14:paraId="3835E704">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丙烷</w:t>
            </w:r>
          </w:p>
        </w:tc>
        <w:tc>
          <w:tcPr>
            <w:tcW w:w="1249" w:type="pct"/>
            <w:vAlign w:val="center"/>
          </w:tcPr>
          <w:p w14:paraId="06EC4B7E">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10</w:t>
            </w:r>
          </w:p>
        </w:tc>
        <w:tc>
          <w:tcPr>
            <w:tcW w:w="1251" w:type="pct"/>
          </w:tcPr>
          <w:p w14:paraId="3218CC62">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18.36</w:t>
            </w:r>
          </w:p>
        </w:tc>
        <w:tc>
          <w:tcPr>
            <w:tcW w:w="1251" w:type="pct"/>
            <w:vAlign w:val="center"/>
          </w:tcPr>
          <w:p w14:paraId="7C659A7F">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1</w:t>
            </w:r>
            <w:r>
              <w:rPr>
                <w:rFonts w:cs="Times New Roman"/>
                <w:snapToGrid w:val="0"/>
                <w:kern w:val="0"/>
                <w:sz w:val="21"/>
                <w:szCs w:val="21"/>
              </w:rPr>
              <w:t>.836</w:t>
            </w:r>
          </w:p>
        </w:tc>
      </w:tr>
      <w:tr w14:paraId="7FD56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vAlign w:val="center"/>
          </w:tcPr>
          <w:p w14:paraId="21E35C10">
            <w:pPr>
              <w:spacing w:line="240" w:lineRule="auto"/>
              <w:ind w:firstLine="0" w:firstLineChars="0"/>
              <w:jc w:val="center"/>
              <w:textAlignment w:val="auto"/>
              <w:rPr>
                <w:rFonts w:cs="Times New Roman"/>
                <w:snapToGrid w:val="0"/>
                <w:kern w:val="0"/>
                <w:sz w:val="21"/>
                <w:szCs w:val="21"/>
              </w:rPr>
            </w:pPr>
            <w:r>
              <w:rPr>
                <w:rFonts w:hint="eastAsia" w:cs="等线"/>
                <w:color w:val="000000" w:themeColor="text1"/>
                <w:sz w:val="21"/>
                <w:szCs w:val="21"/>
                <w14:textFill>
                  <w14:solidFill>
                    <w14:schemeClr w14:val="tx1"/>
                  </w14:solidFill>
                </w14:textFill>
              </w:rPr>
              <w:t>液化石油气残液</w:t>
            </w:r>
          </w:p>
        </w:tc>
        <w:tc>
          <w:tcPr>
            <w:tcW w:w="1249" w:type="pct"/>
            <w:vAlign w:val="center"/>
          </w:tcPr>
          <w:p w14:paraId="2A4FA1B0">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1</w:t>
            </w:r>
            <w:r>
              <w:rPr>
                <w:rFonts w:cs="Times New Roman"/>
                <w:snapToGrid w:val="0"/>
                <w:kern w:val="0"/>
                <w:sz w:val="21"/>
                <w:szCs w:val="21"/>
              </w:rPr>
              <w:t>0</w:t>
            </w:r>
          </w:p>
        </w:tc>
        <w:tc>
          <w:tcPr>
            <w:tcW w:w="1251" w:type="pct"/>
          </w:tcPr>
          <w:p w14:paraId="4BFAA88A">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2</w:t>
            </w:r>
            <w:r>
              <w:rPr>
                <w:rFonts w:cs="Times New Roman"/>
                <w:snapToGrid w:val="0"/>
                <w:kern w:val="0"/>
                <w:sz w:val="21"/>
                <w:szCs w:val="21"/>
              </w:rPr>
              <w:t>.7</w:t>
            </w:r>
          </w:p>
        </w:tc>
        <w:tc>
          <w:tcPr>
            <w:tcW w:w="1251" w:type="pct"/>
            <w:vAlign w:val="center"/>
          </w:tcPr>
          <w:p w14:paraId="6A209A89">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0</w:t>
            </w:r>
            <w:r>
              <w:rPr>
                <w:rFonts w:cs="Times New Roman"/>
                <w:snapToGrid w:val="0"/>
                <w:kern w:val="0"/>
                <w:sz w:val="21"/>
                <w:szCs w:val="21"/>
              </w:rPr>
              <w:t>.27</w:t>
            </w:r>
          </w:p>
        </w:tc>
      </w:tr>
      <w:tr w14:paraId="1A41F9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vAlign w:val="center"/>
          </w:tcPr>
          <w:p w14:paraId="1B4B95AF">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乙炔</w:t>
            </w:r>
          </w:p>
        </w:tc>
        <w:tc>
          <w:tcPr>
            <w:tcW w:w="1249" w:type="pct"/>
            <w:vAlign w:val="center"/>
          </w:tcPr>
          <w:p w14:paraId="3DBA1F95">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10</w:t>
            </w:r>
          </w:p>
        </w:tc>
        <w:tc>
          <w:tcPr>
            <w:tcW w:w="1251" w:type="pct"/>
          </w:tcPr>
          <w:p w14:paraId="285A7C22">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0</w:t>
            </w:r>
            <w:r>
              <w:rPr>
                <w:rFonts w:cs="Times New Roman"/>
                <w:snapToGrid w:val="0"/>
                <w:kern w:val="0"/>
                <w:sz w:val="21"/>
                <w:szCs w:val="21"/>
              </w:rPr>
              <w:t>.14</w:t>
            </w:r>
          </w:p>
        </w:tc>
        <w:tc>
          <w:tcPr>
            <w:tcW w:w="1251" w:type="pct"/>
            <w:vAlign w:val="center"/>
          </w:tcPr>
          <w:p w14:paraId="3258F87F">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0</w:t>
            </w:r>
            <w:r>
              <w:rPr>
                <w:rFonts w:cs="Times New Roman"/>
                <w:snapToGrid w:val="0"/>
                <w:kern w:val="0"/>
                <w:sz w:val="21"/>
                <w:szCs w:val="21"/>
              </w:rPr>
              <w:t>.014</w:t>
            </w:r>
          </w:p>
        </w:tc>
      </w:tr>
      <w:tr w14:paraId="4BC603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8" w:hRule="atLeast"/>
          <w:jc w:val="center"/>
        </w:trPr>
        <w:tc>
          <w:tcPr>
            <w:tcW w:w="3749" w:type="pct"/>
            <w:gridSpan w:val="3"/>
            <w:vAlign w:val="center"/>
          </w:tcPr>
          <w:p w14:paraId="4CEE7B8F">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合计</w:t>
            </w:r>
          </w:p>
        </w:tc>
        <w:tc>
          <w:tcPr>
            <w:tcW w:w="1251" w:type="pct"/>
            <w:vAlign w:val="center"/>
          </w:tcPr>
          <w:p w14:paraId="74070133">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4.204</w:t>
            </w:r>
          </w:p>
        </w:tc>
      </w:tr>
    </w:tbl>
    <w:p w14:paraId="0670F25B">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本项目的Q值为4.204，属于</w:t>
      </w:r>
      <w:r>
        <w:rPr>
          <w:rFonts w:cs="Times New Roman"/>
          <w:color w:val="000000" w:themeColor="text1"/>
          <w:szCs w:val="20"/>
          <w14:textFill>
            <w14:solidFill>
              <w14:schemeClr w14:val="tx1"/>
            </w14:solidFill>
          </w14:textFill>
        </w:rPr>
        <w:t>1≤Q＜10</w:t>
      </w:r>
      <w:r>
        <w:rPr>
          <w:rFonts w:cs="Times New Roman"/>
          <w:color w:val="000000" w:themeColor="text1"/>
          <w14:textFill>
            <w14:solidFill>
              <w14:schemeClr w14:val="tx1"/>
            </w14:solidFill>
          </w14:textFill>
        </w:rPr>
        <w:t>。</w:t>
      </w:r>
    </w:p>
    <w:bookmarkEnd w:id="45"/>
    <w:p w14:paraId="360E499A">
      <w:pPr>
        <w:ind w:firstLine="480"/>
      </w:pPr>
      <w:r>
        <w:rPr>
          <w:rFonts w:hint="eastAsia"/>
        </w:rPr>
        <w:t>（2）行业及生产工艺（</w:t>
      </w:r>
      <w:r>
        <w:t>M</w:t>
      </w:r>
      <w:r>
        <w:rPr>
          <w:rFonts w:hint="eastAsia"/>
        </w:rPr>
        <w:t>）</w:t>
      </w:r>
    </w:p>
    <w:p w14:paraId="5D2A69CB">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企业生产工艺过程中含有风险工艺和设备情况的评估按照工艺单元进行，具有多套工艺的企业，对每套工艺单元分别评分并求和，该指标最高分为30分。将划分为（1）M＞20；（2）10＜M≤20；（3）5＜M≤10；（4）M=5，分别以M1、M2、M3、M4表示。评估细则见表1-4。</w:t>
      </w:r>
    </w:p>
    <w:p w14:paraId="3F296A36">
      <w:pPr>
        <w:spacing w:before="163" w:beforeLines="50" w:line="240" w:lineRule="auto"/>
        <w:ind w:firstLine="480" w:firstLineChars="0"/>
        <w:jc w:val="center"/>
        <w:textAlignment w:val="auto"/>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表1-</w:t>
      </w:r>
      <w:r>
        <w:rPr>
          <w:b/>
          <w:color w:val="000000" w:themeColor="text1"/>
          <w:sz w:val="21"/>
          <w14:textFill>
            <w14:solidFill>
              <w14:schemeClr w14:val="tx1"/>
            </w14:solidFill>
          </w14:textFill>
        </w:rPr>
        <w:t xml:space="preserve">4  </w:t>
      </w:r>
      <w:r>
        <w:rPr>
          <w:rFonts w:hint="eastAsia"/>
          <w:b/>
          <w:color w:val="000000" w:themeColor="text1"/>
          <w:sz w:val="21"/>
          <w14:textFill>
            <w14:solidFill>
              <w14:schemeClr w14:val="tx1"/>
            </w14:solidFill>
          </w14:textFill>
        </w:rPr>
        <w:t>企业生产工艺过程评估</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3"/>
        <w:gridCol w:w="5637"/>
        <w:gridCol w:w="1023"/>
        <w:gridCol w:w="1047"/>
      </w:tblGrid>
      <w:tr w14:paraId="5EEE7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tcBorders>
              <w:tl2br w:val="nil"/>
              <w:tr2bl w:val="nil"/>
            </w:tcBorders>
            <w:tcMar>
              <w:top w:w="15" w:type="dxa"/>
              <w:left w:w="15" w:type="dxa"/>
              <w:bottom w:w="15" w:type="dxa"/>
              <w:right w:w="15" w:type="dxa"/>
            </w:tcMar>
            <w:vAlign w:val="center"/>
          </w:tcPr>
          <w:p w14:paraId="32DC6ED0">
            <w:pPr>
              <w:pStyle w:val="32"/>
              <w:rPr>
                <w:color w:val="000000" w:themeColor="text1"/>
                <w:kern w:val="0"/>
                <w:lang w:bidi="ar"/>
                <w14:textFill>
                  <w14:solidFill>
                    <w14:schemeClr w14:val="tx1"/>
                  </w14:solidFill>
                </w14:textFill>
              </w:rPr>
            </w:pPr>
            <w:r>
              <w:rPr>
                <w:rFonts w:hint="eastAsia"/>
                <w:color w:val="000000" w:themeColor="text1"/>
                <w:lang w:bidi="ar"/>
                <w14:textFill>
                  <w14:solidFill>
                    <w14:schemeClr w14:val="tx1"/>
                  </w14:solidFill>
                </w14:textFill>
              </w:rPr>
              <w:t>行业</w:t>
            </w:r>
          </w:p>
        </w:tc>
        <w:tc>
          <w:tcPr>
            <w:tcW w:w="3097" w:type="pct"/>
            <w:tcBorders>
              <w:tl2br w:val="nil"/>
              <w:tr2bl w:val="nil"/>
            </w:tcBorders>
            <w:tcMar>
              <w:top w:w="15" w:type="dxa"/>
              <w:left w:w="15" w:type="dxa"/>
              <w:bottom w:w="15" w:type="dxa"/>
              <w:right w:w="15" w:type="dxa"/>
            </w:tcMar>
            <w:vAlign w:val="center"/>
          </w:tcPr>
          <w:p w14:paraId="4D93E932">
            <w:pPr>
              <w:pStyle w:val="32"/>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评</w:t>
            </w:r>
            <w:r>
              <w:rPr>
                <w:color w:val="000000" w:themeColor="text1"/>
                <w:lang w:bidi="ar"/>
                <w14:textFill>
                  <w14:solidFill>
                    <w14:schemeClr w14:val="tx1"/>
                  </w14:solidFill>
                </w14:textFill>
              </w:rPr>
              <w:t xml:space="preserve"> </w:t>
            </w:r>
            <w:r>
              <w:rPr>
                <w:rFonts w:hint="eastAsia"/>
                <w:color w:val="000000" w:themeColor="text1"/>
                <w:lang w:bidi="ar"/>
                <w14:textFill>
                  <w14:solidFill>
                    <w14:schemeClr w14:val="tx1"/>
                  </w14:solidFill>
                </w14:textFill>
              </w:rPr>
              <w:t>估</w:t>
            </w:r>
            <w:r>
              <w:rPr>
                <w:color w:val="000000" w:themeColor="text1"/>
                <w:lang w:bidi="ar"/>
                <w14:textFill>
                  <w14:solidFill>
                    <w14:schemeClr w14:val="tx1"/>
                  </w14:solidFill>
                </w14:textFill>
              </w:rPr>
              <w:t xml:space="preserve"> </w:t>
            </w:r>
            <w:r>
              <w:rPr>
                <w:rFonts w:hint="eastAsia"/>
                <w:color w:val="000000" w:themeColor="text1"/>
                <w:lang w:bidi="ar"/>
                <w14:textFill>
                  <w14:solidFill>
                    <w14:schemeClr w14:val="tx1"/>
                  </w14:solidFill>
                </w14:textFill>
              </w:rPr>
              <w:t>依</w:t>
            </w:r>
            <w:r>
              <w:rPr>
                <w:color w:val="000000" w:themeColor="text1"/>
                <w:lang w:bidi="ar"/>
                <w14:textFill>
                  <w14:solidFill>
                    <w14:schemeClr w14:val="tx1"/>
                  </w14:solidFill>
                </w14:textFill>
              </w:rPr>
              <w:t xml:space="preserve"> </w:t>
            </w:r>
            <w:r>
              <w:rPr>
                <w:rFonts w:hint="eastAsia"/>
                <w:color w:val="000000" w:themeColor="text1"/>
                <w:lang w:bidi="ar"/>
                <w14:textFill>
                  <w14:solidFill>
                    <w14:schemeClr w14:val="tx1"/>
                  </w14:solidFill>
                </w14:textFill>
              </w:rPr>
              <w:t>据</w:t>
            </w:r>
            <w:r>
              <w:rPr>
                <w:color w:val="000000" w:themeColor="text1"/>
                <w:lang w:bidi="ar"/>
                <w14:textFill>
                  <w14:solidFill>
                    <w14:schemeClr w14:val="tx1"/>
                  </w14:solidFill>
                </w14:textFill>
              </w:rPr>
              <w:t xml:space="preserve"> </w:t>
            </w:r>
          </w:p>
        </w:tc>
        <w:tc>
          <w:tcPr>
            <w:tcW w:w="562" w:type="pct"/>
            <w:tcBorders>
              <w:tl2br w:val="nil"/>
              <w:tr2bl w:val="nil"/>
            </w:tcBorders>
            <w:tcMar>
              <w:top w:w="15" w:type="dxa"/>
              <w:left w:w="15" w:type="dxa"/>
              <w:bottom w:w="15" w:type="dxa"/>
              <w:right w:w="15" w:type="dxa"/>
            </w:tcMar>
            <w:vAlign w:val="center"/>
          </w:tcPr>
          <w:p w14:paraId="3E65EF84">
            <w:pPr>
              <w:pStyle w:val="32"/>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分</w:t>
            </w:r>
            <w:r>
              <w:rPr>
                <w:color w:val="000000" w:themeColor="text1"/>
                <w:lang w:bidi="ar"/>
                <w14:textFill>
                  <w14:solidFill>
                    <w14:schemeClr w14:val="tx1"/>
                  </w14:solidFill>
                </w14:textFill>
              </w:rPr>
              <w:t xml:space="preserve"> </w:t>
            </w:r>
            <w:r>
              <w:rPr>
                <w:rFonts w:hint="eastAsia"/>
                <w:color w:val="000000" w:themeColor="text1"/>
                <w:lang w:bidi="ar"/>
                <w14:textFill>
                  <w14:solidFill>
                    <w14:schemeClr w14:val="tx1"/>
                  </w14:solidFill>
                </w14:textFill>
              </w:rPr>
              <w:t>值</w:t>
            </w:r>
          </w:p>
        </w:tc>
        <w:tc>
          <w:tcPr>
            <w:tcW w:w="575" w:type="pct"/>
            <w:tcBorders>
              <w:tl2br w:val="nil"/>
              <w:tr2bl w:val="nil"/>
            </w:tcBorders>
            <w:tcMar>
              <w:top w:w="15" w:type="dxa"/>
              <w:left w:w="15" w:type="dxa"/>
              <w:bottom w:w="15" w:type="dxa"/>
              <w:right w:w="15" w:type="dxa"/>
            </w:tcMar>
          </w:tcPr>
          <w:p w14:paraId="67A27850">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企业情况</w:t>
            </w:r>
          </w:p>
        </w:tc>
      </w:tr>
      <w:tr w14:paraId="42221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vMerge w:val="restart"/>
            <w:tcBorders>
              <w:tl2br w:val="nil"/>
              <w:tr2bl w:val="nil"/>
            </w:tcBorders>
            <w:tcMar>
              <w:top w:w="15" w:type="dxa"/>
              <w:left w:w="15" w:type="dxa"/>
              <w:bottom w:w="15" w:type="dxa"/>
              <w:right w:w="15" w:type="dxa"/>
            </w:tcMar>
            <w:vAlign w:val="center"/>
          </w:tcPr>
          <w:p w14:paraId="7DFE901E">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石化、化工、医药、轻工、化纤、有色冶炼等</w:t>
            </w:r>
          </w:p>
        </w:tc>
        <w:tc>
          <w:tcPr>
            <w:tcW w:w="3097" w:type="pct"/>
            <w:tcBorders>
              <w:tl2br w:val="nil"/>
              <w:tr2bl w:val="nil"/>
            </w:tcBorders>
            <w:tcMar>
              <w:top w:w="15" w:type="dxa"/>
              <w:left w:w="15" w:type="dxa"/>
              <w:bottom w:w="15" w:type="dxa"/>
              <w:right w:w="15" w:type="dxa"/>
            </w:tcMar>
            <w:vAlign w:val="center"/>
          </w:tcPr>
          <w:p w14:paraId="29EBD519">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562" w:type="pct"/>
            <w:tcBorders>
              <w:tl2br w:val="nil"/>
              <w:tr2bl w:val="nil"/>
            </w:tcBorders>
            <w:tcMar>
              <w:top w:w="15" w:type="dxa"/>
              <w:left w:w="15" w:type="dxa"/>
              <w:bottom w:w="15" w:type="dxa"/>
              <w:right w:w="15" w:type="dxa"/>
            </w:tcMar>
            <w:vAlign w:val="center"/>
          </w:tcPr>
          <w:p w14:paraId="575ADFD8">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10/</w:t>
            </w:r>
            <w:r>
              <w:rPr>
                <w:rFonts w:hint="eastAsia"/>
                <w:color w:val="000000" w:themeColor="text1"/>
                <w:lang w:bidi="ar"/>
                <w14:textFill>
                  <w14:solidFill>
                    <w14:schemeClr w14:val="tx1"/>
                  </w14:solidFill>
                </w14:textFill>
              </w:rPr>
              <w:t>每套</w:t>
            </w:r>
          </w:p>
        </w:tc>
        <w:tc>
          <w:tcPr>
            <w:tcW w:w="575" w:type="pct"/>
            <w:tcBorders>
              <w:tl2br w:val="nil"/>
              <w:tr2bl w:val="nil"/>
            </w:tcBorders>
            <w:tcMar>
              <w:top w:w="15" w:type="dxa"/>
              <w:left w:w="15" w:type="dxa"/>
              <w:bottom w:w="15" w:type="dxa"/>
              <w:right w:w="15" w:type="dxa"/>
            </w:tcMar>
            <w:vAlign w:val="center"/>
          </w:tcPr>
          <w:p w14:paraId="544A5169">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0</w:t>
            </w:r>
          </w:p>
        </w:tc>
      </w:tr>
      <w:tr w14:paraId="50377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vMerge w:val="continue"/>
            <w:tcBorders>
              <w:tl2br w:val="nil"/>
              <w:tr2bl w:val="nil"/>
            </w:tcBorders>
            <w:vAlign w:val="center"/>
          </w:tcPr>
          <w:p w14:paraId="2FFB76A6">
            <w:pPr>
              <w:pStyle w:val="32"/>
              <w:rPr>
                <w:color w:val="000000" w:themeColor="text1"/>
                <w:lang w:bidi="ar"/>
                <w14:textFill>
                  <w14:solidFill>
                    <w14:schemeClr w14:val="tx1"/>
                  </w14:solidFill>
                </w14:textFill>
              </w:rPr>
            </w:pPr>
          </w:p>
        </w:tc>
        <w:tc>
          <w:tcPr>
            <w:tcW w:w="3097" w:type="pct"/>
            <w:tcBorders>
              <w:tl2br w:val="nil"/>
              <w:tr2bl w:val="nil"/>
            </w:tcBorders>
            <w:tcMar>
              <w:top w:w="15" w:type="dxa"/>
              <w:left w:w="15" w:type="dxa"/>
              <w:bottom w:w="15" w:type="dxa"/>
              <w:right w:w="15" w:type="dxa"/>
            </w:tcMar>
            <w:vAlign w:val="center"/>
          </w:tcPr>
          <w:p w14:paraId="5D0387F5">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无机酸制酸工艺、焦化工艺</w:t>
            </w:r>
          </w:p>
        </w:tc>
        <w:tc>
          <w:tcPr>
            <w:tcW w:w="562" w:type="pct"/>
            <w:tcBorders>
              <w:tl2br w:val="nil"/>
              <w:tr2bl w:val="nil"/>
            </w:tcBorders>
            <w:tcMar>
              <w:top w:w="15" w:type="dxa"/>
              <w:left w:w="15" w:type="dxa"/>
              <w:bottom w:w="15" w:type="dxa"/>
              <w:right w:w="15" w:type="dxa"/>
            </w:tcMar>
            <w:vAlign w:val="center"/>
          </w:tcPr>
          <w:p w14:paraId="6B83B10C">
            <w:pPr>
              <w:pStyle w:val="32"/>
              <w:rPr>
                <w:color w:val="000000" w:themeColor="text1"/>
                <w14:textFill>
                  <w14:solidFill>
                    <w14:schemeClr w14:val="tx1"/>
                  </w14:solidFill>
                </w14:textFill>
              </w:rPr>
            </w:pPr>
            <w:r>
              <w:rPr>
                <w:color w:val="000000" w:themeColor="text1"/>
                <w:lang w:bidi="ar"/>
                <w14:textFill>
                  <w14:solidFill>
                    <w14:schemeClr w14:val="tx1"/>
                  </w14:solidFill>
                </w14:textFill>
              </w:rPr>
              <w:t>5/</w:t>
            </w:r>
            <w:r>
              <w:rPr>
                <w:rFonts w:hint="eastAsia"/>
                <w:color w:val="000000" w:themeColor="text1"/>
                <w:lang w:bidi="ar"/>
                <w14:textFill>
                  <w14:solidFill>
                    <w14:schemeClr w14:val="tx1"/>
                  </w14:solidFill>
                </w14:textFill>
              </w:rPr>
              <w:t>套</w:t>
            </w:r>
          </w:p>
        </w:tc>
        <w:tc>
          <w:tcPr>
            <w:tcW w:w="575" w:type="pct"/>
            <w:tcBorders>
              <w:tl2br w:val="nil"/>
              <w:tr2bl w:val="nil"/>
            </w:tcBorders>
            <w:tcMar>
              <w:top w:w="15" w:type="dxa"/>
              <w:left w:w="15" w:type="dxa"/>
              <w:bottom w:w="15" w:type="dxa"/>
              <w:right w:w="15" w:type="dxa"/>
            </w:tcMar>
            <w:vAlign w:val="center"/>
          </w:tcPr>
          <w:p w14:paraId="362BFA8B">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0</w:t>
            </w:r>
          </w:p>
        </w:tc>
      </w:tr>
      <w:tr w14:paraId="5A79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vMerge w:val="continue"/>
            <w:tcBorders>
              <w:tl2br w:val="nil"/>
              <w:tr2bl w:val="nil"/>
            </w:tcBorders>
            <w:vAlign w:val="center"/>
          </w:tcPr>
          <w:p w14:paraId="79E79012">
            <w:pPr>
              <w:pStyle w:val="32"/>
              <w:rPr>
                <w:color w:val="000000" w:themeColor="text1"/>
                <w:lang w:bidi="ar"/>
                <w14:textFill>
                  <w14:solidFill>
                    <w14:schemeClr w14:val="tx1"/>
                  </w14:solidFill>
                </w14:textFill>
              </w:rPr>
            </w:pPr>
          </w:p>
        </w:tc>
        <w:tc>
          <w:tcPr>
            <w:tcW w:w="3097" w:type="pct"/>
            <w:tcBorders>
              <w:tl2br w:val="nil"/>
              <w:tr2bl w:val="nil"/>
            </w:tcBorders>
            <w:tcMar>
              <w:top w:w="15" w:type="dxa"/>
              <w:left w:w="15" w:type="dxa"/>
              <w:bottom w:w="15" w:type="dxa"/>
              <w:right w:w="15" w:type="dxa"/>
            </w:tcMar>
            <w:vAlign w:val="center"/>
          </w:tcPr>
          <w:p w14:paraId="438EF15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其他高温或高压，且涉及危险物质的工艺过程</w:t>
            </w:r>
            <w:r>
              <w:rPr>
                <w:color w:val="000000" w:themeColor="text1"/>
                <w:vertAlign w:val="superscript"/>
                <w14:textFill>
                  <w14:solidFill>
                    <w14:schemeClr w14:val="tx1"/>
                  </w14:solidFill>
                </w14:textFill>
              </w:rPr>
              <w:t>a</w:t>
            </w:r>
            <w:r>
              <w:rPr>
                <w:rFonts w:hint="eastAsia"/>
                <w:color w:val="000000" w:themeColor="text1"/>
                <w14:textFill>
                  <w14:solidFill>
                    <w14:schemeClr w14:val="tx1"/>
                  </w14:solidFill>
                </w14:textFill>
              </w:rPr>
              <w:t>、危险物质贮存罐区</w:t>
            </w:r>
          </w:p>
        </w:tc>
        <w:tc>
          <w:tcPr>
            <w:tcW w:w="562" w:type="pct"/>
            <w:tcBorders>
              <w:tl2br w:val="nil"/>
              <w:tr2bl w:val="nil"/>
            </w:tcBorders>
            <w:tcMar>
              <w:top w:w="15" w:type="dxa"/>
              <w:left w:w="15" w:type="dxa"/>
              <w:bottom w:w="15" w:type="dxa"/>
              <w:right w:w="15" w:type="dxa"/>
            </w:tcMar>
            <w:vAlign w:val="center"/>
          </w:tcPr>
          <w:p w14:paraId="5DCE22C6">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5/</w:t>
            </w:r>
            <w:r>
              <w:rPr>
                <w:rFonts w:hint="eastAsia"/>
                <w:color w:val="000000" w:themeColor="text1"/>
                <w:lang w:bidi="ar"/>
                <w14:textFill>
                  <w14:solidFill>
                    <w14:schemeClr w14:val="tx1"/>
                  </w14:solidFill>
                </w14:textFill>
              </w:rPr>
              <w:t>套</w:t>
            </w:r>
          </w:p>
          <w:p w14:paraId="4818E34A">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（罐区）</w:t>
            </w:r>
          </w:p>
        </w:tc>
        <w:tc>
          <w:tcPr>
            <w:tcW w:w="575" w:type="pct"/>
            <w:tcBorders>
              <w:tl2br w:val="nil"/>
              <w:tr2bl w:val="nil"/>
            </w:tcBorders>
            <w:tcMar>
              <w:top w:w="15" w:type="dxa"/>
              <w:left w:w="15" w:type="dxa"/>
              <w:bottom w:w="15" w:type="dxa"/>
              <w:right w:w="15" w:type="dxa"/>
            </w:tcMar>
            <w:vAlign w:val="center"/>
          </w:tcPr>
          <w:p w14:paraId="7DD47428">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0</w:t>
            </w:r>
          </w:p>
        </w:tc>
      </w:tr>
      <w:tr w14:paraId="04F5E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tcBorders>
              <w:tl2br w:val="nil"/>
              <w:tr2bl w:val="nil"/>
            </w:tcBorders>
            <w:tcMar>
              <w:top w:w="15" w:type="dxa"/>
              <w:left w:w="15" w:type="dxa"/>
              <w:bottom w:w="15" w:type="dxa"/>
              <w:right w:w="15" w:type="dxa"/>
            </w:tcMar>
            <w:vAlign w:val="center"/>
          </w:tcPr>
          <w:p w14:paraId="73DD3BFA">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管道、港口</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码头等</w:t>
            </w:r>
          </w:p>
        </w:tc>
        <w:tc>
          <w:tcPr>
            <w:tcW w:w="3097" w:type="pct"/>
            <w:tcBorders>
              <w:tl2br w:val="nil"/>
              <w:tr2bl w:val="nil"/>
            </w:tcBorders>
            <w:tcMar>
              <w:top w:w="15" w:type="dxa"/>
              <w:left w:w="15" w:type="dxa"/>
              <w:bottom w:w="15" w:type="dxa"/>
              <w:right w:w="15" w:type="dxa"/>
            </w:tcMar>
            <w:vAlign w:val="center"/>
          </w:tcPr>
          <w:p w14:paraId="0952CBE0">
            <w:pPr>
              <w:pStyle w:val="32"/>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涉及危险物质管道运输项目、港口</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码头等</w:t>
            </w:r>
          </w:p>
        </w:tc>
        <w:tc>
          <w:tcPr>
            <w:tcW w:w="562" w:type="pct"/>
            <w:tcBorders>
              <w:tl2br w:val="nil"/>
              <w:tr2bl w:val="nil"/>
            </w:tcBorders>
            <w:tcMar>
              <w:top w:w="15" w:type="dxa"/>
              <w:left w:w="15" w:type="dxa"/>
              <w:bottom w:w="15" w:type="dxa"/>
              <w:right w:w="15" w:type="dxa"/>
            </w:tcMar>
            <w:vAlign w:val="center"/>
          </w:tcPr>
          <w:p w14:paraId="48641323">
            <w:pPr>
              <w:pStyle w:val="32"/>
              <w:rPr>
                <w:color w:val="000000" w:themeColor="text1"/>
                <w14:textFill>
                  <w14:solidFill>
                    <w14:schemeClr w14:val="tx1"/>
                  </w14:solidFill>
                </w14:textFill>
              </w:rPr>
            </w:pPr>
            <w:r>
              <w:rPr>
                <w:color w:val="000000" w:themeColor="text1"/>
                <w:lang w:bidi="ar"/>
                <w14:textFill>
                  <w14:solidFill>
                    <w14:schemeClr w14:val="tx1"/>
                  </w14:solidFill>
                </w14:textFill>
              </w:rPr>
              <w:t>10</w:t>
            </w:r>
          </w:p>
        </w:tc>
        <w:tc>
          <w:tcPr>
            <w:tcW w:w="575" w:type="pct"/>
            <w:tcBorders>
              <w:tl2br w:val="nil"/>
              <w:tr2bl w:val="nil"/>
            </w:tcBorders>
            <w:tcMar>
              <w:top w:w="15" w:type="dxa"/>
              <w:left w:w="15" w:type="dxa"/>
              <w:bottom w:w="15" w:type="dxa"/>
              <w:right w:w="15" w:type="dxa"/>
            </w:tcMar>
            <w:vAlign w:val="center"/>
          </w:tcPr>
          <w:p w14:paraId="423EF97C">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0</w:t>
            </w:r>
          </w:p>
        </w:tc>
      </w:tr>
      <w:tr w14:paraId="4ED2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tcBorders>
              <w:tl2br w:val="nil"/>
              <w:tr2bl w:val="nil"/>
            </w:tcBorders>
            <w:shd w:val="clear" w:color="auto" w:fill="E7E6E6" w:themeFill="background2"/>
            <w:tcMar>
              <w:top w:w="15" w:type="dxa"/>
              <w:left w:w="15" w:type="dxa"/>
              <w:bottom w:w="15" w:type="dxa"/>
              <w:right w:w="15" w:type="dxa"/>
            </w:tcMar>
            <w:vAlign w:val="center"/>
          </w:tcPr>
          <w:p w14:paraId="68A18838">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石油天然气</w:t>
            </w:r>
          </w:p>
        </w:tc>
        <w:tc>
          <w:tcPr>
            <w:tcW w:w="3097" w:type="pct"/>
            <w:tcBorders>
              <w:tl2br w:val="nil"/>
              <w:tr2bl w:val="nil"/>
            </w:tcBorders>
            <w:shd w:val="clear" w:color="auto" w:fill="E7E6E6" w:themeFill="background2"/>
            <w:tcMar>
              <w:top w:w="15" w:type="dxa"/>
              <w:left w:w="15" w:type="dxa"/>
              <w:bottom w:w="15" w:type="dxa"/>
              <w:right w:w="15" w:type="dxa"/>
            </w:tcMar>
            <w:vAlign w:val="center"/>
          </w:tcPr>
          <w:p w14:paraId="17F3C8F4">
            <w:pPr>
              <w:pStyle w:val="32"/>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石油、天然气、页岩气开采（含净化），气库（不含加气站的气库），油库（不含加气站的油库）、油气管线</w:t>
            </w:r>
            <w:r>
              <w:rPr>
                <w:color w:val="000000" w:themeColor="text1"/>
                <w:vertAlign w:val="superscript"/>
                <w:lang w:bidi="ar"/>
                <w14:textFill>
                  <w14:solidFill>
                    <w14:schemeClr w14:val="tx1"/>
                  </w14:solidFill>
                </w14:textFill>
              </w:rPr>
              <w:t>b</w:t>
            </w:r>
            <w:r>
              <w:rPr>
                <w:rFonts w:hint="eastAsia"/>
                <w:color w:val="000000" w:themeColor="text1"/>
                <w:lang w:bidi="ar"/>
                <w14:textFill>
                  <w14:solidFill>
                    <w14:schemeClr w14:val="tx1"/>
                  </w14:solidFill>
                </w14:textFill>
              </w:rPr>
              <w:t>（不含城镇燃气管线）</w:t>
            </w:r>
          </w:p>
        </w:tc>
        <w:tc>
          <w:tcPr>
            <w:tcW w:w="562" w:type="pct"/>
            <w:tcBorders>
              <w:tl2br w:val="nil"/>
              <w:tr2bl w:val="nil"/>
            </w:tcBorders>
            <w:shd w:val="clear" w:color="auto" w:fill="E7E6E6" w:themeFill="background2"/>
            <w:tcMar>
              <w:top w:w="15" w:type="dxa"/>
              <w:left w:w="15" w:type="dxa"/>
              <w:bottom w:w="15" w:type="dxa"/>
              <w:right w:w="15" w:type="dxa"/>
            </w:tcMar>
            <w:vAlign w:val="center"/>
          </w:tcPr>
          <w:p w14:paraId="7E70EEBC">
            <w:pPr>
              <w:pStyle w:val="32"/>
              <w:rPr>
                <w:color w:val="000000" w:themeColor="text1"/>
                <w14:textFill>
                  <w14:solidFill>
                    <w14:schemeClr w14:val="tx1"/>
                  </w14:solidFill>
                </w14:textFill>
              </w:rPr>
            </w:pPr>
            <w:r>
              <w:rPr>
                <w:color w:val="000000" w:themeColor="text1"/>
                <w:lang w:bidi="ar"/>
                <w14:textFill>
                  <w14:solidFill>
                    <w14:schemeClr w14:val="tx1"/>
                  </w14:solidFill>
                </w14:textFill>
              </w:rPr>
              <w:t>10</w:t>
            </w:r>
          </w:p>
        </w:tc>
        <w:tc>
          <w:tcPr>
            <w:tcW w:w="575" w:type="pct"/>
            <w:tcBorders>
              <w:tl2br w:val="nil"/>
              <w:tr2bl w:val="nil"/>
            </w:tcBorders>
            <w:shd w:val="clear" w:color="auto" w:fill="E7E6E6" w:themeFill="background2"/>
            <w:tcMar>
              <w:top w:w="15" w:type="dxa"/>
              <w:left w:w="15" w:type="dxa"/>
              <w:bottom w:w="15" w:type="dxa"/>
              <w:right w:w="15" w:type="dxa"/>
            </w:tcMar>
            <w:vAlign w:val="center"/>
          </w:tcPr>
          <w:p w14:paraId="4D83A80B">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10</w:t>
            </w:r>
          </w:p>
        </w:tc>
      </w:tr>
      <w:tr w14:paraId="68E23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6" w:type="pct"/>
            <w:tcBorders>
              <w:tl2br w:val="nil"/>
              <w:tr2bl w:val="nil"/>
            </w:tcBorders>
            <w:tcMar>
              <w:top w:w="15" w:type="dxa"/>
              <w:left w:w="15" w:type="dxa"/>
              <w:bottom w:w="15" w:type="dxa"/>
              <w:right w:w="15" w:type="dxa"/>
            </w:tcMar>
            <w:vAlign w:val="center"/>
          </w:tcPr>
          <w:p w14:paraId="7F051F26">
            <w:pPr>
              <w:pStyle w:val="32"/>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其他</w:t>
            </w:r>
          </w:p>
        </w:tc>
        <w:tc>
          <w:tcPr>
            <w:tcW w:w="3097" w:type="pct"/>
            <w:tcBorders>
              <w:tl2br w:val="nil"/>
              <w:tr2bl w:val="nil"/>
            </w:tcBorders>
            <w:tcMar>
              <w:top w:w="15" w:type="dxa"/>
              <w:left w:w="15" w:type="dxa"/>
              <w:bottom w:w="15" w:type="dxa"/>
              <w:right w:w="15" w:type="dxa"/>
            </w:tcMar>
            <w:vAlign w:val="center"/>
          </w:tcPr>
          <w:p w14:paraId="02890100">
            <w:pPr>
              <w:pStyle w:val="32"/>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涉及危险物质使用、贮存的项目</w:t>
            </w:r>
          </w:p>
        </w:tc>
        <w:tc>
          <w:tcPr>
            <w:tcW w:w="562" w:type="pct"/>
            <w:tcBorders>
              <w:tl2br w:val="nil"/>
              <w:tr2bl w:val="nil"/>
            </w:tcBorders>
            <w:tcMar>
              <w:top w:w="15" w:type="dxa"/>
              <w:left w:w="15" w:type="dxa"/>
              <w:bottom w:w="15" w:type="dxa"/>
              <w:right w:w="15" w:type="dxa"/>
            </w:tcMar>
            <w:vAlign w:val="center"/>
          </w:tcPr>
          <w:p w14:paraId="5CF80AC8">
            <w:pPr>
              <w:pStyle w:val="32"/>
              <w:rPr>
                <w:color w:val="000000" w:themeColor="text1"/>
                <w14:textFill>
                  <w14:solidFill>
                    <w14:schemeClr w14:val="tx1"/>
                  </w14:solidFill>
                </w14:textFill>
              </w:rPr>
            </w:pPr>
            <w:r>
              <w:rPr>
                <w:color w:val="000000" w:themeColor="text1"/>
                <w:lang w:bidi="ar"/>
                <w14:textFill>
                  <w14:solidFill>
                    <w14:schemeClr w14:val="tx1"/>
                  </w14:solidFill>
                </w14:textFill>
              </w:rPr>
              <w:t>5</w:t>
            </w:r>
          </w:p>
        </w:tc>
        <w:tc>
          <w:tcPr>
            <w:tcW w:w="575" w:type="pct"/>
            <w:tcBorders>
              <w:tl2br w:val="nil"/>
              <w:tr2bl w:val="nil"/>
            </w:tcBorders>
            <w:tcMar>
              <w:top w:w="15" w:type="dxa"/>
              <w:left w:w="15" w:type="dxa"/>
              <w:bottom w:w="15" w:type="dxa"/>
              <w:right w:w="15" w:type="dxa"/>
            </w:tcMar>
            <w:vAlign w:val="center"/>
          </w:tcPr>
          <w:p w14:paraId="32C273D3">
            <w:pPr>
              <w:pStyle w:val="32"/>
              <w:rPr>
                <w:color w:val="000000" w:themeColor="text1"/>
                <w:lang w:bidi="ar"/>
                <w14:textFill>
                  <w14:solidFill>
                    <w14:schemeClr w14:val="tx1"/>
                  </w14:solidFill>
                </w14:textFill>
              </w:rPr>
            </w:pPr>
            <w:r>
              <w:rPr>
                <w:color w:val="000000" w:themeColor="text1"/>
                <w:lang w:bidi="ar"/>
                <w14:textFill>
                  <w14:solidFill>
                    <w14:schemeClr w14:val="tx1"/>
                  </w14:solidFill>
                </w14:textFill>
              </w:rPr>
              <w:t>0</w:t>
            </w:r>
          </w:p>
        </w:tc>
      </w:tr>
      <w:tr w14:paraId="586BE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4"/>
            <w:tcBorders>
              <w:tl2br w:val="nil"/>
              <w:tr2bl w:val="nil"/>
            </w:tcBorders>
            <w:tcMar>
              <w:top w:w="15" w:type="dxa"/>
              <w:left w:w="15" w:type="dxa"/>
              <w:bottom w:w="15" w:type="dxa"/>
              <w:right w:w="15" w:type="dxa"/>
            </w:tcMar>
            <w:vAlign w:val="center"/>
          </w:tcPr>
          <w:p w14:paraId="493D86DF">
            <w:pPr>
              <w:pStyle w:val="32"/>
              <w:jc w:val="left"/>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注：</w:t>
            </w:r>
            <w:r>
              <w:rPr>
                <w:color w:val="000000" w:themeColor="text1"/>
                <w:lang w:bidi="ar"/>
                <w14:textFill>
                  <w14:solidFill>
                    <w14:schemeClr w14:val="tx1"/>
                  </w14:solidFill>
                </w14:textFill>
              </w:rPr>
              <w:t>a</w:t>
            </w:r>
            <w:r>
              <w:rPr>
                <w:rFonts w:hint="eastAsia"/>
                <w:color w:val="000000" w:themeColor="text1"/>
                <w:lang w:bidi="ar"/>
                <w14:textFill>
                  <w14:solidFill>
                    <w14:schemeClr w14:val="tx1"/>
                  </w14:solidFill>
                </w14:textFill>
              </w:rPr>
              <w:t>高温指工艺温度</w:t>
            </w:r>
            <w:r>
              <w:rPr>
                <w:color w:val="000000" w:themeColor="text1"/>
                <w:lang w:bidi="ar"/>
                <w14:textFill>
                  <w14:solidFill>
                    <w14:schemeClr w14:val="tx1"/>
                  </w14:solidFill>
                </w14:textFill>
              </w:rPr>
              <w:t>≥300℃</w:t>
            </w:r>
            <w:r>
              <w:rPr>
                <w:rFonts w:hint="eastAsia"/>
                <w:color w:val="000000" w:themeColor="text1"/>
                <w:lang w:bidi="ar"/>
                <w14:textFill>
                  <w14:solidFill>
                    <w14:schemeClr w14:val="tx1"/>
                  </w14:solidFill>
                </w14:textFill>
              </w:rPr>
              <w:t>，高压指压力容器的设计压力（</w:t>
            </w:r>
            <w:r>
              <w:rPr>
                <w:color w:val="000000" w:themeColor="text1"/>
                <w:lang w:bidi="ar"/>
                <w14:textFill>
                  <w14:solidFill>
                    <w14:schemeClr w14:val="tx1"/>
                  </w14:solidFill>
                </w14:textFill>
              </w:rPr>
              <w:t>P</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≥10.0MPa</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b</w:t>
            </w:r>
            <w:r>
              <w:rPr>
                <w:rFonts w:hint="eastAsia"/>
                <w:color w:val="000000" w:themeColor="text1"/>
                <w:lang w:bidi="ar"/>
                <w14:textFill>
                  <w14:solidFill>
                    <w14:schemeClr w14:val="tx1"/>
                  </w14:solidFill>
                </w14:textFill>
              </w:rPr>
              <w:t>长输管道运输项目应按站场、管线分段进行评价。</w:t>
            </w:r>
          </w:p>
        </w:tc>
      </w:tr>
    </w:tbl>
    <w:p w14:paraId="3E311F4F">
      <w:pPr>
        <w:ind w:firstLine="480"/>
        <w:textAlignment w:val="auto"/>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根据上述表格及本项目实际情况可知，本项目归属于“石油天然气中”行业中的“气库（不含加气站的气库）”，因此其行业及生产工艺分值为M3=10。</w:t>
      </w:r>
    </w:p>
    <w:p w14:paraId="7D8AFEB3">
      <w:pPr>
        <w:ind w:firstLine="480"/>
      </w:pPr>
      <w:r>
        <w:rPr>
          <w:rFonts w:hint="eastAsia"/>
        </w:rPr>
        <w:t>（3）危险物质及工艺系统危险性（</w:t>
      </w:r>
      <w:r>
        <w:t>P</w:t>
      </w:r>
      <w:r>
        <w:rPr>
          <w:rFonts w:hint="eastAsia"/>
        </w:rPr>
        <w:t>）分级</w:t>
      </w:r>
    </w:p>
    <w:p w14:paraId="585A1389">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根据危险物质数量与临界量比值（</w:t>
      </w:r>
      <w:r>
        <w:rPr>
          <w:rFonts w:cs="等线"/>
          <w:color w:val="000000" w:themeColor="text1"/>
          <w:szCs w:val="20"/>
          <w14:textFill>
            <w14:solidFill>
              <w14:schemeClr w14:val="tx1"/>
            </w14:solidFill>
          </w14:textFill>
        </w:rPr>
        <w:t>Q</w:t>
      </w:r>
      <w:r>
        <w:rPr>
          <w:rFonts w:hint="eastAsia" w:cs="等线"/>
          <w:color w:val="000000" w:themeColor="text1"/>
          <w:szCs w:val="20"/>
          <w14:textFill>
            <w14:solidFill>
              <w14:schemeClr w14:val="tx1"/>
            </w14:solidFill>
          </w14:textFill>
        </w:rPr>
        <w:t>）和行业及生产工艺（</w:t>
      </w:r>
      <w:r>
        <w:rPr>
          <w:rFonts w:cs="等线"/>
          <w:color w:val="000000" w:themeColor="text1"/>
          <w:szCs w:val="20"/>
          <w14:textFill>
            <w14:solidFill>
              <w14:schemeClr w14:val="tx1"/>
            </w14:solidFill>
          </w14:textFill>
        </w:rPr>
        <w:t>M</w:t>
      </w:r>
      <w:r>
        <w:rPr>
          <w:rFonts w:hint="eastAsia" w:cs="等线"/>
          <w:color w:val="000000" w:themeColor="text1"/>
          <w:szCs w:val="20"/>
          <w14:textFill>
            <w14:solidFill>
              <w14:schemeClr w14:val="tx1"/>
            </w14:solidFill>
          </w14:textFill>
        </w:rPr>
        <w:t>），按照表</w:t>
      </w:r>
      <w:r>
        <w:rPr>
          <w:rFonts w:cs="等线"/>
          <w:color w:val="000000" w:themeColor="text1"/>
          <w:szCs w:val="20"/>
          <w14:textFill>
            <w14:solidFill>
              <w14:schemeClr w14:val="tx1"/>
            </w14:solidFill>
          </w14:textFill>
        </w:rPr>
        <w:t>4</w:t>
      </w:r>
      <w:r>
        <w:rPr>
          <w:rFonts w:hint="eastAsia" w:cs="等线"/>
          <w:color w:val="000000" w:themeColor="text1"/>
          <w:szCs w:val="20"/>
          <w14:textFill>
            <w14:solidFill>
              <w14:schemeClr w14:val="tx1"/>
            </w14:solidFill>
          </w14:textFill>
        </w:rPr>
        <w:t>确定危险物质及工艺系统危险性（</w:t>
      </w:r>
      <w:r>
        <w:rPr>
          <w:rFonts w:cs="等线"/>
          <w:color w:val="000000" w:themeColor="text1"/>
          <w:szCs w:val="20"/>
          <w14:textFill>
            <w14:solidFill>
              <w14:schemeClr w14:val="tx1"/>
            </w14:solidFill>
          </w14:textFill>
        </w:rPr>
        <w:t>P</w:t>
      </w:r>
      <w:r>
        <w:rPr>
          <w:rFonts w:hint="eastAsia" w:cs="等线"/>
          <w:color w:val="000000" w:themeColor="text1"/>
          <w:szCs w:val="20"/>
          <w14:textFill>
            <w14:solidFill>
              <w14:schemeClr w14:val="tx1"/>
            </w14:solidFill>
          </w14:textFill>
        </w:rPr>
        <w:t>）分级。</w:t>
      </w:r>
    </w:p>
    <w:p w14:paraId="12AC4803">
      <w:pPr>
        <w:spacing w:before="163" w:beforeLines="50" w:line="240" w:lineRule="auto"/>
        <w:ind w:firstLine="480" w:firstLineChars="0"/>
        <w:jc w:val="center"/>
        <w:textAlignment w:val="auto"/>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表1-</w:t>
      </w:r>
      <w:r>
        <w:rPr>
          <w:b/>
          <w:color w:val="000000" w:themeColor="text1"/>
          <w:sz w:val="21"/>
          <w14:textFill>
            <w14:solidFill>
              <w14:schemeClr w14:val="tx1"/>
            </w14:solidFill>
          </w14:textFill>
        </w:rPr>
        <w:t xml:space="preserve">5  </w:t>
      </w:r>
      <w:r>
        <w:rPr>
          <w:rFonts w:hint="eastAsia"/>
          <w:b/>
          <w:color w:val="000000" w:themeColor="text1"/>
          <w:sz w:val="21"/>
          <w14:textFill>
            <w14:solidFill>
              <w14:schemeClr w14:val="tx1"/>
            </w14:solidFill>
          </w14:textFill>
        </w:rPr>
        <w:t>危险物质及工艺系统危险性等级判断（</w:t>
      </w:r>
      <w:r>
        <w:rPr>
          <w:b/>
          <w:color w:val="000000" w:themeColor="text1"/>
          <w:sz w:val="21"/>
          <w14:textFill>
            <w14:solidFill>
              <w14:schemeClr w14:val="tx1"/>
            </w14:solidFill>
          </w14:textFill>
        </w:rPr>
        <w:t>P</w:t>
      </w:r>
      <w:r>
        <w:rPr>
          <w:rFonts w:hint="eastAsia"/>
          <w:b/>
          <w:color w:val="000000" w:themeColor="text1"/>
          <w:sz w:val="21"/>
          <w14:textFill>
            <w14:solidFill>
              <w14:schemeClr w14:val="tx1"/>
            </w14:solidFill>
          </w14:textFill>
        </w:rPr>
        <w:t>）</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3278"/>
        <w:gridCol w:w="1445"/>
        <w:gridCol w:w="1462"/>
        <w:gridCol w:w="1684"/>
        <w:gridCol w:w="1417"/>
      </w:tblGrid>
      <w:tr w14:paraId="5A7605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765" w:type="pct"/>
            <w:vMerge w:val="restart"/>
            <w:tcBorders>
              <w:tl2br w:val="nil"/>
              <w:tr2bl w:val="nil"/>
            </w:tcBorders>
            <w:vAlign w:val="center"/>
          </w:tcPr>
          <w:p w14:paraId="76535B6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危险物质数量与临界量比值（</w:t>
            </w:r>
            <w:r>
              <w:rPr>
                <w:color w:val="000000" w:themeColor="text1"/>
                <w14:textFill>
                  <w14:solidFill>
                    <w14:schemeClr w14:val="tx1"/>
                  </w14:solidFill>
                </w14:textFill>
              </w:rPr>
              <w:t>Q</w:t>
            </w:r>
            <w:r>
              <w:rPr>
                <w:rFonts w:hint="eastAsia"/>
                <w:color w:val="000000" w:themeColor="text1"/>
                <w14:textFill>
                  <w14:solidFill>
                    <w14:schemeClr w14:val="tx1"/>
                  </w14:solidFill>
                </w14:textFill>
              </w:rPr>
              <w:t>）</w:t>
            </w:r>
          </w:p>
        </w:tc>
        <w:tc>
          <w:tcPr>
            <w:tcW w:w="3235" w:type="pct"/>
            <w:gridSpan w:val="4"/>
            <w:tcBorders>
              <w:tl2br w:val="nil"/>
              <w:tr2bl w:val="nil"/>
            </w:tcBorders>
            <w:vAlign w:val="center"/>
          </w:tcPr>
          <w:p w14:paraId="76E56C3B">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行业及生产工艺</w:t>
            </w:r>
          </w:p>
        </w:tc>
      </w:tr>
      <w:tr w14:paraId="0BAB08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0" w:type="auto"/>
            <w:vMerge w:val="continue"/>
            <w:tcBorders>
              <w:tl2br w:val="nil"/>
              <w:tr2bl w:val="nil"/>
            </w:tcBorders>
            <w:vAlign w:val="center"/>
          </w:tcPr>
          <w:p w14:paraId="7CAE7F0C">
            <w:pPr>
              <w:pStyle w:val="32"/>
              <w:rPr>
                <w:color w:val="000000" w:themeColor="text1"/>
                <w14:textFill>
                  <w14:solidFill>
                    <w14:schemeClr w14:val="tx1"/>
                  </w14:solidFill>
                </w14:textFill>
              </w:rPr>
            </w:pPr>
          </w:p>
        </w:tc>
        <w:tc>
          <w:tcPr>
            <w:tcW w:w="778" w:type="pct"/>
            <w:tcBorders>
              <w:tl2br w:val="nil"/>
              <w:tr2bl w:val="nil"/>
            </w:tcBorders>
            <w:vAlign w:val="center"/>
          </w:tcPr>
          <w:p w14:paraId="4D4CEFF0">
            <w:pPr>
              <w:pStyle w:val="32"/>
              <w:rPr>
                <w:color w:val="000000" w:themeColor="text1"/>
                <w14:textFill>
                  <w14:solidFill>
                    <w14:schemeClr w14:val="tx1"/>
                  </w14:solidFill>
                </w14:textFill>
              </w:rPr>
            </w:pPr>
            <w:r>
              <w:rPr>
                <w:color w:val="000000" w:themeColor="text1"/>
                <w14:textFill>
                  <w14:solidFill>
                    <w14:schemeClr w14:val="tx1"/>
                  </w14:solidFill>
                </w14:textFill>
              </w:rPr>
              <w:t>M1</w:t>
            </w:r>
          </w:p>
        </w:tc>
        <w:tc>
          <w:tcPr>
            <w:tcW w:w="787" w:type="pct"/>
            <w:tcBorders>
              <w:tl2br w:val="nil"/>
              <w:tr2bl w:val="nil"/>
            </w:tcBorders>
            <w:vAlign w:val="center"/>
          </w:tcPr>
          <w:p w14:paraId="1B9D9857">
            <w:pPr>
              <w:pStyle w:val="32"/>
              <w:rPr>
                <w:color w:val="000000" w:themeColor="text1"/>
                <w14:textFill>
                  <w14:solidFill>
                    <w14:schemeClr w14:val="tx1"/>
                  </w14:solidFill>
                </w14:textFill>
              </w:rPr>
            </w:pPr>
            <w:r>
              <w:rPr>
                <w:color w:val="000000" w:themeColor="text1"/>
                <w14:textFill>
                  <w14:solidFill>
                    <w14:schemeClr w14:val="tx1"/>
                  </w14:solidFill>
                </w14:textFill>
              </w:rPr>
              <w:t>M2</w:t>
            </w:r>
          </w:p>
        </w:tc>
        <w:tc>
          <w:tcPr>
            <w:tcW w:w="907" w:type="pct"/>
            <w:tcBorders>
              <w:tl2br w:val="nil"/>
              <w:tr2bl w:val="nil"/>
            </w:tcBorders>
            <w:vAlign w:val="center"/>
          </w:tcPr>
          <w:p w14:paraId="07EA0665">
            <w:pPr>
              <w:pStyle w:val="32"/>
              <w:rPr>
                <w:color w:val="000000" w:themeColor="text1"/>
                <w14:textFill>
                  <w14:solidFill>
                    <w14:schemeClr w14:val="tx1"/>
                  </w14:solidFill>
                </w14:textFill>
              </w:rPr>
            </w:pPr>
            <w:r>
              <w:rPr>
                <w:color w:val="000000" w:themeColor="text1"/>
                <w14:textFill>
                  <w14:solidFill>
                    <w14:schemeClr w14:val="tx1"/>
                  </w14:solidFill>
                </w14:textFill>
              </w:rPr>
              <w:t>M3</w:t>
            </w:r>
          </w:p>
        </w:tc>
        <w:tc>
          <w:tcPr>
            <w:tcW w:w="762" w:type="pct"/>
            <w:tcBorders>
              <w:tl2br w:val="nil"/>
              <w:tr2bl w:val="nil"/>
            </w:tcBorders>
            <w:vAlign w:val="center"/>
          </w:tcPr>
          <w:p w14:paraId="3803FA6D">
            <w:pPr>
              <w:pStyle w:val="32"/>
              <w:rPr>
                <w:color w:val="000000" w:themeColor="text1"/>
                <w14:textFill>
                  <w14:solidFill>
                    <w14:schemeClr w14:val="tx1"/>
                  </w14:solidFill>
                </w14:textFill>
              </w:rPr>
            </w:pPr>
            <w:r>
              <w:rPr>
                <w:color w:val="000000" w:themeColor="text1"/>
                <w14:textFill>
                  <w14:solidFill>
                    <w14:schemeClr w14:val="tx1"/>
                  </w14:solidFill>
                </w14:textFill>
              </w:rPr>
              <w:t>M4</w:t>
            </w:r>
          </w:p>
        </w:tc>
      </w:tr>
      <w:tr w14:paraId="0A17F9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5" w:hRule="atLeast"/>
        </w:trPr>
        <w:tc>
          <w:tcPr>
            <w:tcW w:w="1765" w:type="pct"/>
            <w:tcBorders>
              <w:tl2br w:val="nil"/>
              <w:tr2bl w:val="nil"/>
            </w:tcBorders>
            <w:vAlign w:val="center"/>
          </w:tcPr>
          <w:p w14:paraId="3B62CBDA">
            <w:pPr>
              <w:pStyle w:val="32"/>
              <w:rPr>
                <w:color w:val="000000" w:themeColor="text1"/>
                <w14:textFill>
                  <w14:solidFill>
                    <w14:schemeClr w14:val="tx1"/>
                  </w14:solidFill>
                </w14:textFill>
              </w:rPr>
            </w:pPr>
            <w:r>
              <w:rPr>
                <w:color w:val="000000" w:themeColor="text1"/>
                <w14:textFill>
                  <w14:solidFill>
                    <w14:schemeClr w14:val="tx1"/>
                  </w14:solidFill>
                </w14:textFill>
              </w:rPr>
              <w:t>Q≥100</w:t>
            </w:r>
          </w:p>
        </w:tc>
        <w:tc>
          <w:tcPr>
            <w:tcW w:w="778" w:type="pct"/>
            <w:tcBorders>
              <w:tl2br w:val="nil"/>
              <w:tr2bl w:val="nil"/>
            </w:tcBorders>
            <w:vAlign w:val="center"/>
          </w:tcPr>
          <w:p w14:paraId="58332E14">
            <w:pPr>
              <w:pStyle w:val="32"/>
              <w:rPr>
                <w:color w:val="000000" w:themeColor="text1"/>
                <w14:textFill>
                  <w14:solidFill>
                    <w14:schemeClr w14:val="tx1"/>
                  </w14:solidFill>
                </w14:textFill>
              </w:rPr>
            </w:pPr>
            <w:r>
              <w:rPr>
                <w:color w:val="000000" w:themeColor="text1"/>
                <w14:textFill>
                  <w14:solidFill>
                    <w14:schemeClr w14:val="tx1"/>
                  </w14:solidFill>
                </w14:textFill>
              </w:rPr>
              <w:t>P1</w:t>
            </w:r>
          </w:p>
        </w:tc>
        <w:tc>
          <w:tcPr>
            <w:tcW w:w="787" w:type="pct"/>
            <w:tcBorders>
              <w:tl2br w:val="nil"/>
              <w:tr2bl w:val="nil"/>
            </w:tcBorders>
            <w:vAlign w:val="center"/>
          </w:tcPr>
          <w:p w14:paraId="3E7BA4D6">
            <w:pPr>
              <w:pStyle w:val="32"/>
              <w:rPr>
                <w:color w:val="000000" w:themeColor="text1"/>
                <w14:textFill>
                  <w14:solidFill>
                    <w14:schemeClr w14:val="tx1"/>
                  </w14:solidFill>
                </w14:textFill>
              </w:rPr>
            </w:pPr>
            <w:r>
              <w:rPr>
                <w:color w:val="000000" w:themeColor="text1"/>
                <w14:textFill>
                  <w14:solidFill>
                    <w14:schemeClr w14:val="tx1"/>
                  </w14:solidFill>
                </w14:textFill>
              </w:rPr>
              <w:t>P1</w:t>
            </w:r>
          </w:p>
        </w:tc>
        <w:tc>
          <w:tcPr>
            <w:tcW w:w="907" w:type="pct"/>
            <w:tcBorders>
              <w:tl2br w:val="nil"/>
              <w:tr2bl w:val="nil"/>
            </w:tcBorders>
            <w:vAlign w:val="center"/>
          </w:tcPr>
          <w:p w14:paraId="286F6AFA">
            <w:pPr>
              <w:pStyle w:val="32"/>
              <w:rPr>
                <w:color w:val="000000" w:themeColor="text1"/>
                <w14:textFill>
                  <w14:solidFill>
                    <w14:schemeClr w14:val="tx1"/>
                  </w14:solidFill>
                </w14:textFill>
              </w:rPr>
            </w:pPr>
            <w:r>
              <w:rPr>
                <w:color w:val="000000" w:themeColor="text1"/>
                <w14:textFill>
                  <w14:solidFill>
                    <w14:schemeClr w14:val="tx1"/>
                  </w14:solidFill>
                </w14:textFill>
              </w:rPr>
              <w:t>P2</w:t>
            </w:r>
          </w:p>
        </w:tc>
        <w:tc>
          <w:tcPr>
            <w:tcW w:w="762" w:type="pct"/>
            <w:tcBorders>
              <w:tl2br w:val="nil"/>
              <w:tr2bl w:val="nil"/>
            </w:tcBorders>
            <w:vAlign w:val="center"/>
          </w:tcPr>
          <w:p w14:paraId="5567CC5D">
            <w:pPr>
              <w:pStyle w:val="32"/>
              <w:rPr>
                <w:color w:val="000000" w:themeColor="text1"/>
                <w14:textFill>
                  <w14:solidFill>
                    <w14:schemeClr w14:val="tx1"/>
                  </w14:solidFill>
                </w14:textFill>
              </w:rPr>
            </w:pPr>
            <w:r>
              <w:rPr>
                <w:color w:val="000000" w:themeColor="text1"/>
                <w14:textFill>
                  <w14:solidFill>
                    <w14:schemeClr w14:val="tx1"/>
                  </w14:solidFill>
                </w14:textFill>
              </w:rPr>
              <w:t>P3</w:t>
            </w:r>
          </w:p>
        </w:tc>
      </w:tr>
      <w:tr w14:paraId="29D79E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765" w:type="pct"/>
            <w:tcBorders>
              <w:tl2br w:val="nil"/>
              <w:tr2bl w:val="nil"/>
            </w:tcBorders>
            <w:vAlign w:val="center"/>
          </w:tcPr>
          <w:p w14:paraId="54DBF9C0">
            <w:pPr>
              <w:pStyle w:val="32"/>
              <w:rPr>
                <w:color w:val="000000" w:themeColor="text1"/>
                <w14:textFill>
                  <w14:solidFill>
                    <w14:schemeClr w14:val="tx1"/>
                  </w14:solidFill>
                </w14:textFill>
              </w:rPr>
            </w:pPr>
            <w:r>
              <w:rPr>
                <w:color w:val="000000" w:themeColor="text1"/>
                <w14:textFill>
                  <w14:solidFill>
                    <w14:schemeClr w14:val="tx1"/>
                  </w14:solidFill>
                </w14:textFill>
              </w:rPr>
              <w:t>10≤Q&lt;100</w:t>
            </w:r>
          </w:p>
        </w:tc>
        <w:tc>
          <w:tcPr>
            <w:tcW w:w="778" w:type="pct"/>
            <w:tcBorders>
              <w:tl2br w:val="nil"/>
              <w:tr2bl w:val="nil"/>
            </w:tcBorders>
            <w:vAlign w:val="center"/>
          </w:tcPr>
          <w:p w14:paraId="16090FDF">
            <w:pPr>
              <w:pStyle w:val="32"/>
              <w:rPr>
                <w:color w:val="000000" w:themeColor="text1"/>
                <w14:textFill>
                  <w14:solidFill>
                    <w14:schemeClr w14:val="tx1"/>
                  </w14:solidFill>
                </w14:textFill>
              </w:rPr>
            </w:pPr>
            <w:r>
              <w:rPr>
                <w:color w:val="000000" w:themeColor="text1"/>
                <w14:textFill>
                  <w14:solidFill>
                    <w14:schemeClr w14:val="tx1"/>
                  </w14:solidFill>
                </w14:textFill>
              </w:rPr>
              <w:t>P1</w:t>
            </w:r>
          </w:p>
        </w:tc>
        <w:tc>
          <w:tcPr>
            <w:tcW w:w="787" w:type="pct"/>
            <w:tcBorders>
              <w:tl2br w:val="nil"/>
              <w:tr2bl w:val="nil"/>
            </w:tcBorders>
            <w:vAlign w:val="center"/>
          </w:tcPr>
          <w:p w14:paraId="74B29EAC">
            <w:pPr>
              <w:pStyle w:val="32"/>
              <w:rPr>
                <w:color w:val="000000" w:themeColor="text1"/>
                <w14:textFill>
                  <w14:solidFill>
                    <w14:schemeClr w14:val="tx1"/>
                  </w14:solidFill>
                </w14:textFill>
              </w:rPr>
            </w:pPr>
            <w:r>
              <w:rPr>
                <w:color w:val="000000" w:themeColor="text1"/>
                <w14:textFill>
                  <w14:solidFill>
                    <w14:schemeClr w14:val="tx1"/>
                  </w14:solidFill>
                </w14:textFill>
              </w:rPr>
              <w:t>P2</w:t>
            </w:r>
          </w:p>
        </w:tc>
        <w:tc>
          <w:tcPr>
            <w:tcW w:w="907" w:type="pct"/>
            <w:tcBorders>
              <w:tl2br w:val="nil"/>
              <w:tr2bl w:val="nil"/>
            </w:tcBorders>
            <w:vAlign w:val="center"/>
          </w:tcPr>
          <w:p w14:paraId="037E2353">
            <w:pPr>
              <w:pStyle w:val="32"/>
              <w:rPr>
                <w:color w:val="000000" w:themeColor="text1"/>
                <w14:textFill>
                  <w14:solidFill>
                    <w14:schemeClr w14:val="tx1"/>
                  </w14:solidFill>
                </w14:textFill>
              </w:rPr>
            </w:pPr>
            <w:r>
              <w:rPr>
                <w:color w:val="000000" w:themeColor="text1"/>
                <w14:textFill>
                  <w14:solidFill>
                    <w14:schemeClr w14:val="tx1"/>
                  </w14:solidFill>
                </w14:textFill>
              </w:rPr>
              <w:t>P3</w:t>
            </w:r>
          </w:p>
        </w:tc>
        <w:tc>
          <w:tcPr>
            <w:tcW w:w="762" w:type="pct"/>
            <w:tcBorders>
              <w:tl2br w:val="nil"/>
              <w:tr2bl w:val="nil"/>
            </w:tcBorders>
            <w:vAlign w:val="center"/>
          </w:tcPr>
          <w:p w14:paraId="191DDDED">
            <w:pPr>
              <w:pStyle w:val="32"/>
              <w:rPr>
                <w:color w:val="000000" w:themeColor="text1"/>
                <w14:textFill>
                  <w14:solidFill>
                    <w14:schemeClr w14:val="tx1"/>
                  </w14:solidFill>
                </w14:textFill>
              </w:rPr>
            </w:pPr>
            <w:r>
              <w:rPr>
                <w:color w:val="000000" w:themeColor="text1"/>
                <w14:textFill>
                  <w14:solidFill>
                    <w14:schemeClr w14:val="tx1"/>
                  </w14:solidFill>
                </w14:textFill>
              </w:rPr>
              <w:t>P4</w:t>
            </w:r>
          </w:p>
        </w:tc>
      </w:tr>
      <w:tr w14:paraId="0E52EE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765" w:type="pct"/>
            <w:tcBorders>
              <w:tl2br w:val="nil"/>
              <w:tr2bl w:val="nil"/>
            </w:tcBorders>
            <w:vAlign w:val="center"/>
          </w:tcPr>
          <w:p w14:paraId="4FE74579">
            <w:pPr>
              <w:pStyle w:val="32"/>
              <w:rPr>
                <w:color w:val="000000" w:themeColor="text1"/>
                <w14:textFill>
                  <w14:solidFill>
                    <w14:schemeClr w14:val="tx1"/>
                  </w14:solidFill>
                </w14:textFill>
              </w:rPr>
            </w:pPr>
            <w:r>
              <w:rPr>
                <w:color w:val="000000" w:themeColor="text1"/>
                <w14:textFill>
                  <w14:solidFill>
                    <w14:schemeClr w14:val="tx1"/>
                  </w14:solidFill>
                </w14:textFill>
              </w:rPr>
              <w:t>1≤Q&lt;10</w:t>
            </w:r>
          </w:p>
        </w:tc>
        <w:tc>
          <w:tcPr>
            <w:tcW w:w="778" w:type="pct"/>
            <w:tcBorders>
              <w:tl2br w:val="nil"/>
              <w:tr2bl w:val="nil"/>
            </w:tcBorders>
            <w:vAlign w:val="center"/>
          </w:tcPr>
          <w:p w14:paraId="766111AA">
            <w:pPr>
              <w:pStyle w:val="32"/>
              <w:rPr>
                <w:color w:val="000000" w:themeColor="text1"/>
                <w14:textFill>
                  <w14:solidFill>
                    <w14:schemeClr w14:val="tx1"/>
                  </w14:solidFill>
                </w14:textFill>
              </w:rPr>
            </w:pPr>
            <w:r>
              <w:rPr>
                <w:color w:val="000000" w:themeColor="text1"/>
                <w14:textFill>
                  <w14:solidFill>
                    <w14:schemeClr w14:val="tx1"/>
                  </w14:solidFill>
                </w14:textFill>
              </w:rPr>
              <w:t>P2</w:t>
            </w:r>
          </w:p>
        </w:tc>
        <w:tc>
          <w:tcPr>
            <w:tcW w:w="787" w:type="pct"/>
            <w:tcBorders>
              <w:tl2br w:val="nil"/>
              <w:tr2bl w:val="nil"/>
            </w:tcBorders>
            <w:vAlign w:val="center"/>
          </w:tcPr>
          <w:p w14:paraId="04EF9761">
            <w:pPr>
              <w:pStyle w:val="32"/>
              <w:rPr>
                <w:color w:val="000000" w:themeColor="text1"/>
                <w14:textFill>
                  <w14:solidFill>
                    <w14:schemeClr w14:val="tx1"/>
                  </w14:solidFill>
                </w14:textFill>
              </w:rPr>
            </w:pPr>
            <w:r>
              <w:rPr>
                <w:color w:val="000000" w:themeColor="text1"/>
                <w14:textFill>
                  <w14:solidFill>
                    <w14:schemeClr w14:val="tx1"/>
                  </w14:solidFill>
                </w14:textFill>
              </w:rPr>
              <w:t>P3</w:t>
            </w:r>
          </w:p>
        </w:tc>
        <w:tc>
          <w:tcPr>
            <w:tcW w:w="907" w:type="pct"/>
            <w:tcBorders>
              <w:tl2br w:val="nil"/>
              <w:tr2bl w:val="nil"/>
            </w:tcBorders>
            <w:shd w:val="clear" w:color="auto" w:fill="E7E6E6" w:themeFill="background2"/>
            <w:vAlign w:val="center"/>
          </w:tcPr>
          <w:p w14:paraId="768F1803">
            <w:pPr>
              <w:pStyle w:val="32"/>
              <w:rPr>
                <w:color w:val="000000" w:themeColor="text1"/>
                <w14:textFill>
                  <w14:solidFill>
                    <w14:schemeClr w14:val="tx1"/>
                  </w14:solidFill>
                </w14:textFill>
              </w:rPr>
            </w:pPr>
            <w:r>
              <w:rPr>
                <w:color w:val="000000" w:themeColor="text1"/>
                <w14:textFill>
                  <w14:solidFill>
                    <w14:schemeClr w14:val="tx1"/>
                  </w14:solidFill>
                </w14:textFill>
              </w:rPr>
              <w:t>P4</w:t>
            </w:r>
          </w:p>
        </w:tc>
        <w:tc>
          <w:tcPr>
            <w:tcW w:w="762" w:type="pct"/>
            <w:tcBorders>
              <w:tl2br w:val="nil"/>
              <w:tr2bl w:val="nil"/>
            </w:tcBorders>
            <w:vAlign w:val="center"/>
          </w:tcPr>
          <w:p w14:paraId="6A9918A2">
            <w:pPr>
              <w:pStyle w:val="32"/>
              <w:rPr>
                <w:color w:val="000000" w:themeColor="text1"/>
                <w14:textFill>
                  <w14:solidFill>
                    <w14:schemeClr w14:val="tx1"/>
                  </w14:solidFill>
                </w14:textFill>
              </w:rPr>
            </w:pPr>
            <w:r>
              <w:rPr>
                <w:color w:val="000000" w:themeColor="text1"/>
                <w14:textFill>
                  <w14:solidFill>
                    <w14:schemeClr w14:val="tx1"/>
                  </w14:solidFill>
                </w14:textFill>
              </w:rPr>
              <w:t>P4</w:t>
            </w:r>
          </w:p>
        </w:tc>
      </w:tr>
    </w:tbl>
    <w:p w14:paraId="1E8BAABB">
      <w:pPr>
        <w:ind w:firstLine="480"/>
        <w:textAlignment w:val="auto"/>
        <w:rPr>
          <w:rFonts w:cs="Times New Roman"/>
          <w:color w:val="000000" w:themeColor="text1"/>
          <w:szCs w:val="20"/>
          <w14:textFill>
            <w14:solidFill>
              <w14:schemeClr w14:val="tx1"/>
            </w14:solidFill>
          </w14:textFill>
        </w:rPr>
      </w:pPr>
      <w:r>
        <w:rPr>
          <w:rFonts w:cs="Times New Roman"/>
          <w:color w:val="000000" w:themeColor="text1"/>
          <w:szCs w:val="20"/>
          <w14:textFill>
            <w14:solidFill>
              <w14:schemeClr w14:val="tx1"/>
            </w14:solidFill>
          </w14:textFill>
        </w:rPr>
        <w:t>本项目危险物质数量与临界值的比值1≤Q＜10，行业及生产工艺分值为M3，则本项目危险物质及工艺系统危险性等级为P4。</w:t>
      </w:r>
    </w:p>
    <w:p w14:paraId="6F217D5B">
      <w:pPr>
        <w:ind w:firstLine="480"/>
      </w:pPr>
      <w:r>
        <w:rPr>
          <w:rFonts w:hint="eastAsia"/>
        </w:rPr>
        <w:t>（4）大气环境风险评价工作等级划分</w:t>
      </w:r>
    </w:p>
    <w:p w14:paraId="72D2F97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rPr>
        <w:t>大气环境敏感程度（E）分级</w:t>
      </w:r>
    </w:p>
    <w:p w14:paraId="2389D200">
      <w:pPr>
        <w:ind w:firstLine="480"/>
        <w:textAlignment w:val="auto"/>
        <w:rPr>
          <w:color w:val="000000" w:themeColor="text1"/>
          <w:kern w:val="0"/>
          <w:szCs w:val="20"/>
          <w14:textFill>
            <w14:solidFill>
              <w14:schemeClr w14:val="tx1"/>
            </w14:solidFill>
          </w14:textFill>
        </w:rPr>
      </w:pPr>
      <w:r>
        <w:t>根据《建设项目环境风险评价技术导则》（HJ169-2018）附录D的规定</w:t>
      </w:r>
      <w:r>
        <w:rPr>
          <w:rFonts w:hint="eastAsia"/>
        </w:rPr>
        <w:t>：</w:t>
      </w:r>
      <w:r>
        <w:t>项目所在区域大气环境敏感程度是依据环境敏感目标环境敏感性及人口密度划分环境风险受体的敏感性来确定。大气环境敏感程度共分为三种类型：E1为环境高度敏感区，E2为环境中度敏感区，E3为环境低度敏感区，</w:t>
      </w:r>
      <w:r>
        <w:rPr>
          <w:rFonts w:hint="eastAsia"/>
        </w:rPr>
        <w:t>分级原则见表1-</w:t>
      </w:r>
      <w:r>
        <w:t>6</w:t>
      </w:r>
      <w:r>
        <w:rPr>
          <w:rFonts w:hint="eastAsia"/>
          <w:color w:val="000000" w:themeColor="text1"/>
          <w:kern w:val="0"/>
          <w:szCs w:val="20"/>
          <w14:textFill>
            <w14:solidFill>
              <w14:schemeClr w14:val="tx1"/>
            </w14:solidFill>
          </w14:textFill>
        </w:rPr>
        <w:t>。</w:t>
      </w:r>
    </w:p>
    <w:p w14:paraId="794A0DE2">
      <w:pPr>
        <w:spacing w:before="163" w:beforeLines="50" w:line="240" w:lineRule="auto"/>
        <w:ind w:firstLine="480" w:firstLineChars="0"/>
        <w:jc w:val="center"/>
        <w:textAlignment w:val="auto"/>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表1-</w:t>
      </w:r>
      <w:r>
        <w:rPr>
          <w:b/>
          <w:color w:val="000000" w:themeColor="text1"/>
          <w:sz w:val="21"/>
          <w14:textFill>
            <w14:solidFill>
              <w14:schemeClr w14:val="tx1"/>
            </w14:solidFill>
          </w14:textFill>
        </w:rPr>
        <w:t xml:space="preserve">6 </w:t>
      </w:r>
      <w:r>
        <w:rPr>
          <w:rFonts w:hint="eastAsia"/>
          <w:b/>
          <w:color w:val="000000" w:themeColor="text1"/>
          <w:sz w:val="21"/>
          <w14:textFill>
            <w14:solidFill>
              <w14:schemeClr w14:val="tx1"/>
            </w14:solidFill>
          </w14:textFill>
        </w:rPr>
        <w:t xml:space="preserve"> 大气环境风险受体敏感程度类型划分</w:t>
      </w:r>
    </w:p>
    <w:tbl>
      <w:tblPr>
        <w:tblStyle w:val="2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99"/>
        <w:gridCol w:w="7901"/>
      </w:tblGrid>
      <w:tr w14:paraId="787FFB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659" w:type="pct"/>
            <w:tcBorders>
              <w:tl2br w:val="nil"/>
              <w:tr2bl w:val="nil"/>
            </w:tcBorders>
            <w:tcMar>
              <w:top w:w="15" w:type="dxa"/>
              <w:left w:w="15" w:type="dxa"/>
              <w:bottom w:w="15" w:type="dxa"/>
              <w:right w:w="15" w:type="dxa"/>
            </w:tcMar>
            <w:vAlign w:val="center"/>
          </w:tcPr>
          <w:p w14:paraId="290386A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4341" w:type="pct"/>
            <w:tcBorders>
              <w:tl2br w:val="nil"/>
              <w:tr2bl w:val="nil"/>
            </w:tcBorders>
            <w:tcMar>
              <w:top w:w="15" w:type="dxa"/>
              <w:left w:w="15" w:type="dxa"/>
              <w:bottom w:w="15" w:type="dxa"/>
              <w:right w:w="15" w:type="dxa"/>
            </w:tcMar>
            <w:vAlign w:val="center"/>
          </w:tcPr>
          <w:p w14:paraId="075239C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环境风险受体情况</w:t>
            </w:r>
          </w:p>
        </w:tc>
      </w:tr>
      <w:tr w14:paraId="5BC602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659" w:type="pct"/>
            <w:tcBorders>
              <w:tl2br w:val="nil"/>
              <w:tr2bl w:val="nil"/>
            </w:tcBorders>
            <w:tcMar>
              <w:top w:w="15" w:type="dxa"/>
              <w:left w:w="15" w:type="dxa"/>
              <w:bottom w:w="15" w:type="dxa"/>
              <w:right w:w="15" w:type="dxa"/>
            </w:tcMar>
            <w:vAlign w:val="center"/>
          </w:tcPr>
          <w:p w14:paraId="60D6FD0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E1</w:t>
            </w:r>
            <w:r>
              <w:rPr>
                <w:rFonts w:hint="eastAsia"/>
                <w:color w:val="000000" w:themeColor="text1"/>
                <w14:textFill>
                  <w14:solidFill>
                    <w14:schemeClr w14:val="tx1"/>
                  </w14:solidFill>
                </w14:textFill>
              </w:rPr>
              <w:t>）</w:t>
            </w:r>
          </w:p>
        </w:tc>
        <w:tc>
          <w:tcPr>
            <w:tcW w:w="4341" w:type="pct"/>
            <w:tcBorders>
              <w:tl2br w:val="nil"/>
              <w:tr2bl w:val="nil"/>
            </w:tcBorders>
            <w:tcMar>
              <w:top w:w="15" w:type="dxa"/>
              <w:left w:w="15" w:type="dxa"/>
              <w:bottom w:w="15" w:type="dxa"/>
              <w:right w:w="15" w:type="dxa"/>
            </w:tcMar>
            <w:vAlign w:val="center"/>
          </w:tcPr>
          <w:p w14:paraId="32B4C3BD">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企业周边</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公里范围内居住区、医疗卫生机构、文化教育机构、科研单位、行政机关、企事业单位、商场、公园等人口总数</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万人以上，或企业周边</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米范围内人口总数</w:t>
            </w: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人以上，或企业周边</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公里涉及军事禁区、军事管理区、国家相关保密区域。</w:t>
            </w:r>
          </w:p>
        </w:tc>
      </w:tr>
      <w:tr w14:paraId="7E35F9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659" w:type="pct"/>
            <w:tcBorders>
              <w:tl2br w:val="nil"/>
              <w:tr2bl w:val="nil"/>
            </w:tcBorders>
            <w:tcMar>
              <w:top w:w="15" w:type="dxa"/>
              <w:left w:w="15" w:type="dxa"/>
              <w:bottom w:w="15" w:type="dxa"/>
              <w:right w:w="15" w:type="dxa"/>
            </w:tcMar>
            <w:vAlign w:val="center"/>
          </w:tcPr>
          <w:p w14:paraId="5650395F">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E2</w:t>
            </w:r>
            <w:r>
              <w:rPr>
                <w:rFonts w:hint="eastAsia"/>
                <w:color w:val="000000" w:themeColor="text1"/>
                <w14:textFill>
                  <w14:solidFill>
                    <w14:schemeClr w14:val="tx1"/>
                  </w14:solidFill>
                </w14:textFill>
              </w:rPr>
              <w:t>）</w:t>
            </w:r>
          </w:p>
        </w:tc>
        <w:tc>
          <w:tcPr>
            <w:tcW w:w="4341" w:type="pct"/>
            <w:tcBorders>
              <w:tl2br w:val="nil"/>
              <w:tr2bl w:val="nil"/>
            </w:tcBorders>
            <w:tcMar>
              <w:top w:w="15" w:type="dxa"/>
              <w:left w:w="15" w:type="dxa"/>
              <w:bottom w:w="15" w:type="dxa"/>
              <w:right w:w="15" w:type="dxa"/>
            </w:tcMar>
            <w:vAlign w:val="center"/>
          </w:tcPr>
          <w:p w14:paraId="5EB5C43B">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企业周边</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公里范围内居住区、医疗卫生机构、文化教育机构、科研单位、行政机关、企事业单位、商场、公园等人口总数</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万人以上、</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万人以下，或企业周边</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米范围内人口总数</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人以上、</w:t>
            </w: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人以下。</w:t>
            </w:r>
          </w:p>
        </w:tc>
      </w:tr>
      <w:tr w14:paraId="2A265C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1" w:hRule="atLeast"/>
        </w:trPr>
        <w:tc>
          <w:tcPr>
            <w:tcW w:w="659" w:type="pct"/>
            <w:tcBorders>
              <w:tl2br w:val="nil"/>
              <w:tr2bl w:val="nil"/>
            </w:tcBorders>
            <w:shd w:val="clear" w:color="auto" w:fill="E7E6E6" w:themeFill="background2"/>
            <w:tcMar>
              <w:top w:w="15" w:type="dxa"/>
              <w:left w:w="15" w:type="dxa"/>
              <w:bottom w:w="15" w:type="dxa"/>
              <w:right w:w="15" w:type="dxa"/>
            </w:tcMar>
            <w:vAlign w:val="center"/>
          </w:tcPr>
          <w:p w14:paraId="77B75CE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类型</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E3</w:t>
            </w:r>
            <w:r>
              <w:rPr>
                <w:rFonts w:hint="eastAsia"/>
                <w:color w:val="000000" w:themeColor="text1"/>
                <w14:textFill>
                  <w14:solidFill>
                    <w14:schemeClr w14:val="tx1"/>
                  </w14:solidFill>
                </w14:textFill>
              </w:rPr>
              <w:t>）</w:t>
            </w:r>
          </w:p>
        </w:tc>
        <w:tc>
          <w:tcPr>
            <w:tcW w:w="4341" w:type="pct"/>
            <w:tcBorders>
              <w:tl2br w:val="nil"/>
              <w:tr2bl w:val="nil"/>
            </w:tcBorders>
            <w:shd w:val="clear" w:color="auto" w:fill="E7E6E6" w:themeFill="background2"/>
            <w:tcMar>
              <w:top w:w="15" w:type="dxa"/>
              <w:left w:w="15" w:type="dxa"/>
              <w:bottom w:w="15" w:type="dxa"/>
              <w:right w:w="15" w:type="dxa"/>
            </w:tcMar>
            <w:vAlign w:val="center"/>
          </w:tcPr>
          <w:p w14:paraId="5074C13F">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企业周边</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公里范围内居住区、医疗卫生机构、文化教育机构、科研单位、行政机关、企事业单位、商场、公园等人口总数</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万人以下，且企业周边</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米范围内人口总数</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人以下。</w:t>
            </w:r>
          </w:p>
        </w:tc>
      </w:tr>
    </w:tbl>
    <w:p w14:paraId="1CC82EDE">
      <w:pPr>
        <w:ind w:firstLine="480"/>
        <w:textAlignment w:val="auto"/>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根据企业周边主要环境风险受体情况，按照相应标准划分，企业周边大气环境风险受体情况划分为</w:t>
      </w:r>
      <w:r>
        <w:rPr>
          <w:color w:val="000000" w:themeColor="text1"/>
          <w:kern w:val="0"/>
          <w:szCs w:val="20"/>
          <w14:textFill>
            <w14:solidFill>
              <w14:schemeClr w14:val="tx1"/>
            </w14:solidFill>
          </w14:textFill>
        </w:rPr>
        <w:t>E3</w:t>
      </w:r>
      <w:r>
        <w:rPr>
          <w:rFonts w:hint="eastAsia"/>
          <w:color w:val="000000" w:themeColor="text1"/>
          <w:kern w:val="0"/>
          <w:szCs w:val="20"/>
          <w14:textFill>
            <w14:solidFill>
              <w14:schemeClr w14:val="tx1"/>
            </w14:solidFill>
          </w14:textFill>
        </w:rPr>
        <w:t>。</w:t>
      </w:r>
    </w:p>
    <w:p w14:paraId="7AD16DEC">
      <w:pPr>
        <w:ind w:firstLine="480"/>
      </w:pPr>
      <w:r>
        <w:t>2）地表水环境敏感程度</w:t>
      </w:r>
    </w:p>
    <w:p w14:paraId="4F72E3E7">
      <w:pPr>
        <w:ind w:firstLine="480"/>
      </w:pPr>
      <w:r>
        <w:rPr>
          <w:rFonts w:hint="eastAsia"/>
        </w:rPr>
        <w:t>根据《建设项目环境风险评价技术导则》（HJ169-2018）附录D的规定，区域地表水环境敏感程度由事故情况下危险物质泄漏至水体后的排放点受纳地表水体功能敏感性及下游环境敏感目标情况共同确定。根据导则划分，地表水环境敏感程度分为三类：E1为环境高度敏感区，E2为环境中度敏感区，E3为环境低度敏感区。</w:t>
      </w:r>
    </w:p>
    <w:p w14:paraId="059E07C9">
      <w:pPr>
        <w:pStyle w:val="90"/>
        <w:ind w:firstLine="422"/>
        <w:rPr>
          <w:color w:val="000000"/>
          <w:sz w:val="21"/>
          <w:szCs w:val="21"/>
        </w:rPr>
      </w:pPr>
      <w:r>
        <w:rPr>
          <w:color w:val="000000"/>
          <w:sz w:val="21"/>
          <w:szCs w:val="21"/>
        </w:rPr>
        <w:t>表1-7  地表水环境敏感程度分级原则一览表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19"/>
        <w:gridCol w:w="2320"/>
        <w:gridCol w:w="2322"/>
        <w:gridCol w:w="2323"/>
      </w:tblGrid>
      <w:tr w14:paraId="04411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Merge w:val="restart"/>
            <w:vAlign w:val="center"/>
          </w:tcPr>
          <w:p w14:paraId="1A9D6EF5">
            <w:pPr>
              <w:pStyle w:val="89"/>
              <w:spacing w:line="240" w:lineRule="auto"/>
              <w:ind w:firstLine="0" w:firstLineChars="0"/>
              <w:jc w:val="center"/>
              <w:rPr>
                <w:rFonts w:ascii="Times New Roman"/>
                <w:color w:val="000000"/>
                <w:sz w:val="21"/>
                <w:szCs w:val="21"/>
              </w:rPr>
            </w:pPr>
            <w:r>
              <w:rPr>
                <w:rFonts w:ascii="Times New Roman"/>
                <w:color w:val="000000"/>
                <w:sz w:val="21"/>
                <w:szCs w:val="21"/>
              </w:rPr>
              <w:t>环境敏感目标</w:t>
            </w:r>
          </w:p>
        </w:tc>
        <w:tc>
          <w:tcPr>
            <w:tcW w:w="3750" w:type="pct"/>
            <w:gridSpan w:val="3"/>
            <w:vAlign w:val="center"/>
          </w:tcPr>
          <w:p w14:paraId="24B664AD">
            <w:pPr>
              <w:pStyle w:val="89"/>
              <w:spacing w:line="240" w:lineRule="auto"/>
              <w:ind w:firstLine="0" w:firstLineChars="0"/>
              <w:jc w:val="center"/>
              <w:rPr>
                <w:rFonts w:ascii="Times New Roman"/>
                <w:color w:val="000000"/>
                <w:sz w:val="21"/>
                <w:szCs w:val="21"/>
              </w:rPr>
            </w:pPr>
            <w:r>
              <w:rPr>
                <w:rFonts w:ascii="Times New Roman"/>
                <w:color w:val="000000"/>
                <w:sz w:val="21"/>
                <w:szCs w:val="21"/>
              </w:rPr>
              <w:t>地表水功能敏感性</w:t>
            </w:r>
          </w:p>
        </w:tc>
      </w:tr>
      <w:tr w14:paraId="00776C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Merge w:val="continue"/>
            <w:vAlign w:val="center"/>
          </w:tcPr>
          <w:p w14:paraId="506D4653">
            <w:pPr>
              <w:pStyle w:val="89"/>
              <w:spacing w:line="240" w:lineRule="auto"/>
              <w:ind w:firstLine="0" w:firstLineChars="0"/>
              <w:jc w:val="center"/>
              <w:rPr>
                <w:rFonts w:ascii="Times New Roman"/>
                <w:color w:val="000000"/>
                <w:sz w:val="21"/>
                <w:szCs w:val="21"/>
              </w:rPr>
            </w:pPr>
          </w:p>
        </w:tc>
        <w:tc>
          <w:tcPr>
            <w:tcW w:w="1249" w:type="pct"/>
            <w:vAlign w:val="center"/>
          </w:tcPr>
          <w:p w14:paraId="0B2FC15C">
            <w:pPr>
              <w:pStyle w:val="89"/>
              <w:spacing w:line="240" w:lineRule="auto"/>
              <w:ind w:firstLine="0" w:firstLineChars="0"/>
              <w:jc w:val="center"/>
              <w:rPr>
                <w:rFonts w:ascii="Times New Roman"/>
                <w:color w:val="000000"/>
                <w:sz w:val="21"/>
                <w:szCs w:val="21"/>
              </w:rPr>
            </w:pPr>
            <w:r>
              <w:rPr>
                <w:rFonts w:ascii="Times New Roman"/>
                <w:color w:val="000000"/>
                <w:sz w:val="21"/>
                <w:szCs w:val="21"/>
              </w:rPr>
              <w:t>F1</w:t>
            </w:r>
          </w:p>
        </w:tc>
        <w:tc>
          <w:tcPr>
            <w:tcW w:w="1250" w:type="pct"/>
            <w:vAlign w:val="center"/>
          </w:tcPr>
          <w:p w14:paraId="4219ACC8">
            <w:pPr>
              <w:pStyle w:val="89"/>
              <w:spacing w:line="240" w:lineRule="auto"/>
              <w:ind w:firstLine="0" w:firstLineChars="0"/>
              <w:jc w:val="center"/>
              <w:rPr>
                <w:rFonts w:ascii="Times New Roman"/>
                <w:color w:val="000000"/>
                <w:sz w:val="21"/>
                <w:szCs w:val="21"/>
              </w:rPr>
            </w:pPr>
            <w:r>
              <w:rPr>
                <w:rFonts w:ascii="Times New Roman"/>
                <w:color w:val="000000"/>
                <w:sz w:val="21"/>
                <w:szCs w:val="21"/>
              </w:rPr>
              <w:t>F2</w:t>
            </w:r>
          </w:p>
        </w:tc>
        <w:tc>
          <w:tcPr>
            <w:tcW w:w="1249" w:type="pct"/>
            <w:vAlign w:val="center"/>
          </w:tcPr>
          <w:p w14:paraId="6E063DA2">
            <w:pPr>
              <w:pStyle w:val="89"/>
              <w:spacing w:line="240" w:lineRule="auto"/>
              <w:ind w:firstLine="0" w:firstLineChars="0"/>
              <w:jc w:val="center"/>
              <w:rPr>
                <w:rFonts w:ascii="Times New Roman"/>
                <w:color w:val="000000"/>
                <w:sz w:val="21"/>
                <w:szCs w:val="21"/>
              </w:rPr>
            </w:pPr>
            <w:r>
              <w:rPr>
                <w:rFonts w:ascii="Times New Roman"/>
                <w:color w:val="000000"/>
                <w:sz w:val="21"/>
                <w:szCs w:val="21"/>
              </w:rPr>
              <w:t>F3</w:t>
            </w:r>
          </w:p>
        </w:tc>
      </w:tr>
      <w:tr w14:paraId="7B5CDD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Align w:val="center"/>
          </w:tcPr>
          <w:p w14:paraId="0099E045">
            <w:pPr>
              <w:pStyle w:val="89"/>
              <w:spacing w:line="240" w:lineRule="auto"/>
              <w:ind w:firstLine="0" w:firstLineChars="0"/>
              <w:jc w:val="center"/>
              <w:rPr>
                <w:rFonts w:ascii="Times New Roman"/>
                <w:color w:val="000000"/>
                <w:sz w:val="21"/>
                <w:szCs w:val="21"/>
              </w:rPr>
            </w:pPr>
            <w:r>
              <w:rPr>
                <w:rFonts w:ascii="Times New Roman"/>
                <w:color w:val="000000"/>
                <w:sz w:val="21"/>
                <w:szCs w:val="21"/>
              </w:rPr>
              <w:t>S1</w:t>
            </w:r>
          </w:p>
        </w:tc>
        <w:tc>
          <w:tcPr>
            <w:tcW w:w="1249" w:type="pct"/>
            <w:vAlign w:val="center"/>
          </w:tcPr>
          <w:p w14:paraId="2A3D5E55">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50" w:type="pct"/>
            <w:vAlign w:val="center"/>
          </w:tcPr>
          <w:p w14:paraId="0F58A8C0">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c>
          <w:tcPr>
            <w:tcW w:w="1249" w:type="pct"/>
            <w:vAlign w:val="center"/>
          </w:tcPr>
          <w:p w14:paraId="574E8BFA">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r>
      <w:tr w14:paraId="517011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Align w:val="center"/>
          </w:tcPr>
          <w:p w14:paraId="349E30B0">
            <w:pPr>
              <w:pStyle w:val="89"/>
              <w:spacing w:line="240" w:lineRule="auto"/>
              <w:ind w:firstLine="0" w:firstLineChars="0"/>
              <w:jc w:val="center"/>
              <w:rPr>
                <w:rFonts w:ascii="Times New Roman"/>
                <w:color w:val="000000"/>
                <w:sz w:val="21"/>
                <w:szCs w:val="21"/>
              </w:rPr>
            </w:pPr>
            <w:r>
              <w:rPr>
                <w:rFonts w:ascii="Times New Roman"/>
                <w:color w:val="000000"/>
                <w:sz w:val="21"/>
                <w:szCs w:val="21"/>
              </w:rPr>
              <w:t>S2</w:t>
            </w:r>
          </w:p>
        </w:tc>
        <w:tc>
          <w:tcPr>
            <w:tcW w:w="1249" w:type="pct"/>
            <w:vAlign w:val="center"/>
          </w:tcPr>
          <w:p w14:paraId="33BE96E5">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50" w:type="pct"/>
            <w:vAlign w:val="center"/>
          </w:tcPr>
          <w:p w14:paraId="31AFA98E">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c>
          <w:tcPr>
            <w:tcW w:w="1249" w:type="pct"/>
            <w:vAlign w:val="center"/>
          </w:tcPr>
          <w:p w14:paraId="3B0888AC">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r>
      <w:tr w14:paraId="7BF31D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Align w:val="center"/>
          </w:tcPr>
          <w:p w14:paraId="5357FA2D">
            <w:pPr>
              <w:pStyle w:val="89"/>
              <w:spacing w:line="240" w:lineRule="auto"/>
              <w:ind w:firstLine="0" w:firstLineChars="0"/>
              <w:jc w:val="center"/>
              <w:rPr>
                <w:rFonts w:ascii="Times New Roman"/>
                <w:color w:val="000000"/>
                <w:sz w:val="21"/>
                <w:szCs w:val="21"/>
              </w:rPr>
            </w:pPr>
            <w:r>
              <w:rPr>
                <w:rFonts w:ascii="Times New Roman"/>
                <w:color w:val="000000"/>
                <w:sz w:val="21"/>
                <w:szCs w:val="21"/>
              </w:rPr>
              <w:t>S3</w:t>
            </w:r>
          </w:p>
        </w:tc>
        <w:tc>
          <w:tcPr>
            <w:tcW w:w="1249" w:type="pct"/>
            <w:vAlign w:val="center"/>
          </w:tcPr>
          <w:p w14:paraId="712569CF">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50" w:type="pct"/>
            <w:vAlign w:val="center"/>
          </w:tcPr>
          <w:p w14:paraId="435925C2">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c>
          <w:tcPr>
            <w:tcW w:w="1249" w:type="pct"/>
            <w:shd w:val="clear" w:color="auto" w:fill="E7E6E6" w:themeFill="background2"/>
            <w:vAlign w:val="center"/>
          </w:tcPr>
          <w:p w14:paraId="4E0A4B2F">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r>
    </w:tbl>
    <w:p w14:paraId="38BB84EF">
      <w:pPr>
        <w:pStyle w:val="90"/>
        <w:ind w:firstLine="422"/>
        <w:rPr>
          <w:color w:val="000000"/>
          <w:sz w:val="21"/>
          <w:szCs w:val="21"/>
        </w:rPr>
      </w:pPr>
      <w:r>
        <w:rPr>
          <w:color w:val="000000"/>
          <w:sz w:val="21"/>
          <w:szCs w:val="21"/>
        </w:rPr>
        <w:t>表1-8  地表水功能敏感性分区原则一览表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22"/>
        <w:gridCol w:w="7862"/>
      </w:tblGrid>
      <w:tr w14:paraId="3524F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0CE78531">
            <w:pPr>
              <w:pStyle w:val="89"/>
              <w:spacing w:line="240" w:lineRule="auto"/>
              <w:ind w:firstLine="0" w:firstLineChars="0"/>
              <w:jc w:val="center"/>
              <w:rPr>
                <w:rFonts w:ascii="Times New Roman"/>
                <w:color w:val="000000"/>
                <w:sz w:val="21"/>
                <w:szCs w:val="21"/>
              </w:rPr>
            </w:pPr>
            <w:r>
              <w:rPr>
                <w:rFonts w:ascii="Times New Roman"/>
                <w:color w:val="000000"/>
                <w:sz w:val="21"/>
                <w:szCs w:val="21"/>
              </w:rPr>
              <w:t>敏感性</w:t>
            </w:r>
          </w:p>
        </w:tc>
        <w:tc>
          <w:tcPr>
            <w:tcW w:w="4233" w:type="pct"/>
          </w:tcPr>
          <w:p w14:paraId="28ED5D67">
            <w:pPr>
              <w:pStyle w:val="89"/>
              <w:spacing w:line="240" w:lineRule="auto"/>
              <w:ind w:firstLine="0" w:firstLineChars="0"/>
              <w:jc w:val="center"/>
              <w:rPr>
                <w:rFonts w:ascii="Times New Roman"/>
                <w:color w:val="000000"/>
                <w:sz w:val="21"/>
                <w:szCs w:val="21"/>
              </w:rPr>
            </w:pPr>
            <w:r>
              <w:rPr>
                <w:rFonts w:ascii="Times New Roman"/>
                <w:color w:val="000000"/>
                <w:sz w:val="21"/>
                <w:szCs w:val="21"/>
              </w:rPr>
              <w:t>地表水环境敏感特征</w:t>
            </w:r>
          </w:p>
        </w:tc>
      </w:tr>
      <w:tr w14:paraId="4209D4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676B9FFA">
            <w:pPr>
              <w:pStyle w:val="89"/>
              <w:spacing w:line="240" w:lineRule="auto"/>
              <w:ind w:firstLine="0" w:firstLineChars="0"/>
              <w:jc w:val="center"/>
              <w:rPr>
                <w:rFonts w:ascii="Times New Roman"/>
                <w:color w:val="000000"/>
                <w:sz w:val="21"/>
                <w:szCs w:val="21"/>
              </w:rPr>
            </w:pPr>
            <w:r>
              <w:rPr>
                <w:rFonts w:ascii="Times New Roman"/>
                <w:color w:val="000000"/>
                <w:sz w:val="21"/>
                <w:szCs w:val="21"/>
              </w:rPr>
              <w:t>敏感F1</w:t>
            </w:r>
          </w:p>
        </w:tc>
        <w:tc>
          <w:tcPr>
            <w:tcW w:w="4233" w:type="pct"/>
          </w:tcPr>
          <w:p w14:paraId="26E53408">
            <w:pPr>
              <w:pStyle w:val="89"/>
              <w:spacing w:line="240" w:lineRule="auto"/>
              <w:ind w:firstLine="0" w:firstLineChars="0"/>
              <w:jc w:val="center"/>
              <w:rPr>
                <w:rFonts w:ascii="Times New Roman"/>
                <w:color w:val="000000"/>
                <w:sz w:val="21"/>
                <w:szCs w:val="21"/>
              </w:rPr>
            </w:pPr>
            <w:r>
              <w:rPr>
                <w:rFonts w:ascii="Times New Roman"/>
                <w:color w:val="000000"/>
                <w:sz w:val="21"/>
                <w:szCs w:val="21"/>
              </w:rPr>
              <w:t>排放点进入地表水水域环境功能为Ⅱ类及以上，或海水水质分类第一类；或以发生事故时，危险物质泄漏到水体的排放点算起，排放进入受纳河流最大流速时，24h流经范围内涉跨国界的</w:t>
            </w:r>
          </w:p>
        </w:tc>
      </w:tr>
      <w:tr w14:paraId="5D4DC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0E1E7256">
            <w:pPr>
              <w:pStyle w:val="89"/>
              <w:spacing w:line="240" w:lineRule="auto"/>
              <w:ind w:firstLine="0" w:firstLineChars="0"/>
              <w:jc w:val="center"/>
              <w:rPr>
                <w:rFonts w:ascii="Times New Roman"/>
                <w:color w:val="000000"/>
                <w:sz w:val="21"/>
                <w:szCs w:val="21"/>
              </w:rPr>
            </w:pPr>
            <w:r>
              <w:rPr>
                <w:rFonts w:ascii="Times New Roman"/>
                <w:color w:val="000000"/>
                <w:sz w:val="21"/>
                <w:szCs w:val="21"/>
              </w:rPr>
              <w:t>较敏感F2</w:t>
            </w:r>
          </w:p>
        </w:tc>
        <w:tc>
          <w:tcPr>
            <w:tcW w:w="4233" w:type="pct"/>
          </w:tcPr>
          <w:p w14:paraId="4114FD7F">
            <w:pPr>
              <w:pStyle w:val="89"/>
              <w:spacing w:line="240" w:lineRule="auto"/>
              <w:ind w:firstLine="0" w:firstLineChars="0"/>
              <w:jc w:val="center"/>
              <w:rPr>
                <w:rFonts w:ascii="Times New Roman"/>
                <w:color w:val="000000"/>
                <w:sz w:val="21"/>
                <w:szCs w:val="21"/>
              </w:rPr>
            </w:pPr>
            <w:r>
              <w:rPr>
                <w:rFonts w:ascii="Times New Roman"/>
                <w:color w:val="000000"/>
                <w:sz w:val="21"/>
                <w:szCs w:val="21"/>
              </w:rPr>
              <w:t>排放点进入地表水水域环境功能为Ⅲ类，或海水水质分类第二类；或以发生事故时，危险物质泄漏到水体的排放点算起，排放进入受纳河流最大流速时，24h流经范围内涉跨省界的</w:t>
            </w:r>
          </w:p>
        </w:tc>
      </w:tr>
      <w:tr w14:paraId="4BBFC0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shd w:val="clear" w:color="auto" w:fill="E7E6E6" w:themeFill="background2"/>
            <w:vAlign w:val="center"/>
          </w:tcPr>
          <w:p w14:paraId="0C4E2C0C">
            <w:pPr>
              <w:pStyle w:val="89"/>
              <w:spacing w:line="240" w:lineRule="auto"/>
              <w:ind w:firstLine="0" w:firstLineChars="0"/>
              <w:jc w:val="center"/>
              <w:rPr>
                <w:rFonts w:ascii="Times New Roman"/>
                <w:color w:val="000000"/>
                <w:sz w:val="21"/>
                <w:szCs w:val="21"/>
              </w:rPr>
            </w:pPr>
            <w:r>
              <w:rPr>
                <w:rFonts w:ascii="Times New Roman"/>
                <w:color w:val="000000"/>
                <w:sz w:val="21"/>
                <w:szCs w:val="21"/>
              </w:rPr>
              <w:t>低敏感F3</w:t>
            </w:r>
          </w:p>
        </w:tc>
        <w:tc>
          <w:tcPr>
            <w:tcW w:w="4233" w:type="pct"/>
            <w:shd w:val="clear" w:color="auto" w:fill="E7E6E6" w:themeFill="background2"/>
          </w:tcPr>
          <w:p w14:paraId="2DFC867A">
            <w:pPr>
              <w:pStyle w:val="89"/>
              <w:spacing w:line="240" w:lineRule="auto"/>
              <w:ind w:firstLine="0" w:firstLineChars="0"/>
              <w:jc w:val="center"/>
              <w:rPr>
                <w:rFonts w:ascii="Times New Roman"/>
                <w:color w:val="000000"/>
                <w:sz w:val="21"/>
                <w:szCs w:val="21"/>
              </w:rPr>
            </w:pPr>
            <w:r>
              <w:rPr>
                <w:rFonts w:ascii="Times New Roman"/>
                <w:color w:val="000000"/>
                <w:sz w:val="21"/>
                <w:szCs w:val="21"/>
              </w:rPr>
              <w:t>上述地区之外的其他地区</w:t>
            </w:r>
          </w:p>
        </w:tc>
      </w:tr>
    </w:tbl>
    <w:p w14:paraId="16378260">
      <w:pPr>
        <w:pStyle w:val="90"/>
        <w:ind w:firstLine="422"/>
        <w:rPr>
          <w:color w:val="000000"/>
          <w:sz w:val="21"/>
          <w:szCs w:val="21"/>
        </w:rPr>
      </w:pPr>
      <w:r>
        <w:rPr>
          <w:color w:val="000000"/>
          <w:sz w:val="21"/>
          <w:szCs w:val="21"/>
        </w:rPr>
        <w:t>表1-9  环境敏感目标分级原则一览表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22"/>
        <w:gridCol w:w="7862"/>
      </w:tblGrid>
      <w:tr w14:paraId="0538DE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6A915392">
            <w:pPr>
              <w:pStyle w:val="89"/>
              <w:spacing w:line="240" w:lineRule="auto"/>
              <w:ind w:firstLine="0" w:firstLineChars="0"/>
              <w:jc w:val="center"/>
              <w:rPr>
                <w:rFonts w:ascii="Times New Roman"/>
                <w:color w:val="000000"/>
                <w:sz w:val="21"/>
                <w:szCs w:val="21"/>
              </w:rPr>
            </w:pPr>
            <w:r>
              <w:rPr>
                <w:rFonts w:ascii="Times New Roman"/>
                <w:color w:val="000000"/>
                <w:sz w:val="21"/>
                <w:szCs w:val="21"/>
              </w:rPr>
              <w:t>分级</w:t>
            </w:r>
          </w:p>
        </w:tc>
        <w:tc>
          <w:tcPr>
            <w:tcW w:w="4234" w:type="pct"/>
          </w:tcPr>
          <w:p w14:paraId="643FF8CE">
            <w:pPr>
              <w:pStyle w:val="89"/>
              <w:spacing w:line="240" w:lineRule="auto"/>
              <w:ind w:firstLine="0" w:firstLineChars="0"/>
              <w:jc w:val="center"/>
              <w:rPr>
                <w:rFonts w:ascii="Times New Roman"/>
                <w:color w:val="000000"/>
                <w:sz w:val="21"/>
                <w:szCs w:val="21"/>
              </w:rPr>
            </w:pPr>
            <w:r>
              <w:rPr>
                <w:rFonts w:ascii="Times New Roman"/>
                <w:color w:val="000000"/>
                <w:sz w:val="21"/>
                <w:szCs w:val="21"/>
              </w:rPr>
              <w:t>环境敏感目标</w:t>
            </w:r>
          </w:p>
        </w:tc>
      </w:tr>
      <w:tr w14:paraId="5D3EAD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71C99613">
            <w:pPr>
              <w:pStyle w:val="89"/>
              <w:spacing w:line="240" w:lineRule="auto"/>
              <w:ind w:firstLine="0" w:firstLineChars="0"/>
              <w:jc w:val="center"/>
              <w:rPr>
                <w:rFonts w:ascii="Times New Roman"/>
                <w:color w:val="000000"/>
                <w:sz w:val="21"/>
                <w:szCs w:val="21"/>
              </w:rPr>
            </w:pPr>
            <w:r>
              <w:rPr>
                <w:rFonts w:ascii="Times New Roman"/>
                <w:color w:val="000000"/>
                <w:sz w:val="21"/>
                <w:szCs w:val="21"/>
              </w:rPr>
              <w:t>S1</w:t>
            </w:r>
          </w:p>
        </w:tc>
        <w:tc>
          <w:tcPr>
            <w:tcW w:w="4234" w:type="pct"/>
          </w:tcPr>
          <w:p w14:paraId="5D8F4B0A">
            <w:pPr>
              <w:pStyle w:val="89"/>
              <w:spacing w:line="240" w:lineRule="auto"/>
              <w:ind w:firstLine="0" w:firstLineChars="0"/>
              <w:jc w:val="center"/>
              <w:rPr>
                <w:rFonts w:ascii="Times New Roman"/>
                <w:color w:val="000000"/>
                <w:sz w:val="21"/>
                <w:szCs w:val="21"/>
              </w:rPr>
            </w:pPr>
            <w:r>
              <w:rPr>
                <w:rFonts w:ascii="Times New Roman"/>
                <w:color w:val="000000"/>
                <w:sz w:val="21"/>
                <w:szCs w:val="21"/>
              </w:rPr>
              <w:t>发生事故时，危险物质泄漏到内陆水体的排放点下游（顺水流向）10km范围内、近岸海域一个潮周期水质点可能达到的最大水平距离的两倍范围内，有如下一类或多类环境风险受体：集中式地表水饮用水水源保护区（包括一级保护区、二级保护区及准保护区）；农村及分散式饮用水水源保护区自然保护区；重要湿地；珍稀濒危野生动植物天然集中分布区；重要水生生物的自然产卵场及索饵场、越冬场和洄游通道；世界文化和自然遗产地；红树林、珊瑚礁等滨海湿地生态系统；珍稀、濒危海洋生物的天然集中分布区；海洋特别保护区；海上自然保护区；盐场保护区；海水浴场；海洋自然历史遗迹；风景名胜区；或其他特殊重要保护区域</w:t>
            </w:r>
          </w:p>
        </w:tc>
      </w:tr>
      <w:tr w14:paraId="02B77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vAlign w:val="center"/>
          </w:tcPr>
          <w:p w14:paraId="4891076B">
            <w:pPr>
              <w:pStyle w:val="89"/>
              <w:spacing w:line="240" w:lineRule="auto"/>
              <w:ind w:firstLine="0" w:firstLineChars="0"/>
              <w:jc w:val="center"/>
              <w:rPr>
                <w:rFonts w:ascii="Times New Roman"/>
                <w:color w:val="000000"/>
                <w:sz w:val="21"/>
                <w:szCs w:val="21"/>
              </w:rPr>
            </w:pPr>
            <w:r>
              <w:rPr>
                <w:rFonts w:ascii="Times New Roman"/>
                <w:color w:val="000000"/>
                <w:sz w:val="21"/>
                <w:szCs w:val="21"/>
              </w:rPr>
              <w:t>S2</w:t>
            </w:r>
          </w:p>
        </w:tc>
        <w:tc>
          <w:tcPr>
            <w:tcW w:w="4234" w:type="pct"/>
          </w:tcPr>
          <w:p w14:paraId="7ED66A43">
            <w:pPr>
              <w:pStyle w:val="89"/>
              <w:spacing w:line="240" w:lineRule="auto"/>
              <w:ind w:firstLine="0" w:firstLineChars="0"/>
              <w:jc w:val="center"/>
              <w:rPr>
                <w:rFonts w:ascii="Times New Roman"/>
                <w:color w:val="000000"/>
                <w:sz w:val="21"/>
                <w:szCs w:val="21"/>
              </w:rPr>
            </w:pPr>
            <w:r>
              <w:rPr>
                <w:rFonts w:ascii="Times New Roman"/>
                <w:color w:val="000000"/>
                <w:sz w:val="21"/>
                <w:szCs w:val="21"/>
              </w:rPr>
              <w:t>发生事故时，危险物质泄漏到内陆水体的排放点下游（顺水流向）10km范围内、近岸海域一个潮周期水质点可能达到的最大水平距离的两倍范围内，有如下一类或多类环境风险受体的：水产养殖区；天然渔场；森林公园；地质公园；海滨风景游览区；具有重要经济价值的海洋生物生存区域</w:t>
            </w:r>
          </w:p>
        </w:tc>
      </w:tr>
      <w:tr w14:paraId="64617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66" w:type="pct"/>
            <w:shd w:val="clear" w:color="auto" w:fill="E7E6E6" w:themeFill="background2"/>
            <w:vAlign w:val="center"/>
          </w:tcPr>
          <w:p w14:paraId="535307CD">
            <w:pPr>
              <w:pStyle w:val="89"/>
              <w:spacing w:line="240" w:lineRule="auto"/>
              <w:ind w:firstLine="0" w:firstLineChars="0"/>
              <w:jc w:val="center"/>
              <w:rPr>
                <w:rFonts w:ascii="Times New Roman"/>
                <w:color w:val="000000"/>
                <w:sz w:val="21"/>
                <w:szCs w:val="21"/>
              </w:rPr>
            </w:pPr>
            <w:r>
              <w:rPr>
                <w:rFonts w:ascii="Times New Roman"/>
                <w:color w:val="000000"/>
                <w:sz w:val="21"/>
                <w:szCs w:val="21"/>
              </w:rPr>
              <w:t>S3</w:t>
            </w:r>
          </w:p>
        </w:tc>
        <w:tc>
          <w:tcPr>
            <w:tcW w:w="4234" w:type="pct"/>
            <w:shd w:val="clear" w:color="auto" w:fill="E7E6E6" w:themeFill="background2"/>
          </w:tcPr>
          <w:p w14:paraId="335F26D5">
            <w:pPr>
              <w:pStyle w:val="89"/>
              <w:spacing w:line="240" w:lineRule="auto"/>
              <w:ind w:firstLine="0" w:firstLineChars="0"/>
              <w:jc w:val="center"/>
              <w:rPr>
                <w:rFonts w:ascii="Times New Roman"/>
                <w:color w:val="000000"/>
                <w:sz w:val="21"/>
                <w:szCs w:val="21"/>
              </w:rPr>
            </w:pPr>
            <w:r>
              <w:rPr>
                <w:rFonts w:ascii="Times New Roman"/>
                <w:color w:val="000000"/>
                <w:sz w:val="21"/>
                <w:szCs w:val="21"/>
              </w:rPr>
              <w:t>排放点下游（顺水流向）10km范围、近岸海域一个潮周期水质点可能达到的最大水平距离的两倍范围内无上述类型1和类型2包括的敏感保护目标</w:t>
            </w:r>
          </w:p>
        </w:tc>
      </w:tr>
    </w:tbl>
    <w:p w14:paraId="0B37A11A">
      <w:pPr>
        <w:ind w:firstLine="480"/>
        <w:textAlignment w:val="auto"/>
        <w:rPr>
          <w:rFonts w:cs="等线"/>
          <w:color w:val="000000" w:themeColor="text1"/>
          <w:szCs w:val="20"/>
          <w14:textFill>
            <w14:solidFill>
              <w14:schemeClr w14:val="tx1"/>
            </w14:solidFill>
          </w14:textFill>
        </w:rPr>
      </w:pPr>
      <w:r>
        <w:rPr>
          <w:rFonts w:hint="eastAsia"/>
          <w:color w:val="000000" w:themeColor="text1"/>
          <w14:textFill>
            <w14:solidFill>
              <w14:schemeClr w14:val="tx1"/>
            </w14:solidFill>
          </w14:textFill>
        </w:rPr>
        <w:t>本项目危险物质为丁烷和丙烷，结合项目所在位置，本站储气系统采用4台20m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卧式液化石油气储罐，安装方式为埋地储罐，储存采用全压力式储存，设计压力1.77MPa，充装系数0.9。本项目中卸气柱、储罐区、充气区等燃气工艺设备安装地点，按室外10m间距设置可燃气体检测装置，可燃气体报警系统安放在控制室内，在控制室内实现声光报警；此外，储罐区周边1000m范围内多为空地、道路、荒草地等，无地表水体。</w:t>
      </w:r>
      <w:r>
        <w:rPr>
          <w:rFonts w:hint="eastAsia" w:cs="等线"/>
          <w:color w:val="000000" w:themeColor="text1"/>
          <w:szCs w:val="20"/>
          <w14:textFill>
            <w14:solidFill>
              <w14:schemeClr w14:val="tx1"/>
            </w14:solidFill>
          </w14:textFill>
        </w:rPr>
        <w:t>因此，项目所设地表水功能敏感性分区为低敏感</w:t>
      </w:r>
      <w:r>
        <w:rPr>
          <w:rFonts w:cs="等线"/>
          <w:color w:val="000000" w:themeColor="text1"/>
          <w:szCs w:val="20"/>
          <w14:textFill>
            <w14:solidFill>
              <w14:schemeClr w14:val="tx1"/>
            </w14:solidFill>
          </w14:textFill>
        </w:rPr>
        <w:t>F3</w:t>
      </w:r>
      <w:r>
        <w:rPr>
          <w:rFonts w:hint="eastAsia" w:cs="等线"/>
          <w:color w:val="000000" w:themeColor="text1"/>
          <w:szCs w:val="20"/>
          <w14:textFill>
            <w14:solidFill>
              <w14:schemeClr w14:val="tx1"/>
            </w14:solidFill>
          </w14:textFill>
        </w:rPr>
        <w:t>，环境敏感目标分级为</w:t>
      </w:r>
      <w:r>
        <w:rPr>
          <w:rFonts w:cs="等线"/>
          <w:color w:val="000000" w:themeColor="text1"/>
          <w:szCs w:val="20"/>
          <w14:textFill>
            <w14:solidFill>
              <w14:schemeClr w14:val="tx1"/>
            </w14:solidFill>
          </w14:textFill>
        </w:rPr>
        <w:t>S3</w:t>
      </w:r>
      <w:r>
        <w:rPr>
          <w:bCs/>
          <w:kern w:val="0"/>
          <w:szCs w:val="26"/>
        </w:rPr>
        <w:t>。</w:t>
      </w:r>
    </w:p>
    <w:p w14:paraId="541A3581">
      <w:pPr>
        <w:ind w:firstLine="480"/>
        <w:jc w:val="left"/>
        <w:rPr>
          <w:bCs/>
          <w:kern w:val="0"/>
          <w:szCs w:val="26"/>
        </w:rPr>
      </w:pPr>
      <w:r>
        <w:rPr>
          <w:bCs/>
          <w:kern w:val="0"/>
          <w:szCs w:val="26"/>
        </w:rPr>
        <w:t>3）地下水环境敏感程度</w:t>
      </w:r>
    </w:p>
    <w:p w14:paraId="0C837AA5">
      <w:pPr>
        <w:ind w:firstLine="480"/>
        <w:rPr>
          <w:bCs/>
          <w:kern w:val="0"/>
          <w:szCs w:val="26"/>
        </w:rPr>
      </w:pPr>
      <w:r>
        <w:rPr>
          <w:bCs/>
          <w:kern w:val="0"/>
          <w:szCs w:val="26"/>
        </w:rPr>
        <w:t>根据《建设项目环境风险评价技术导则》（HJ169-2018）附录D的规定：项目所在区域地下水环境敏感程度依据地下水功能敏感性与包气带防污性能确定。区域地下水环境敏感程度共分为三种类型，E1为环境高度敏感区，E2为环境中度敏感区，E3为环境低度敏感区，其分级原则见</w:t>
      </w:r>
      <w:r>
        <w:rPr>
          <w:rFonts w:hint="eastAsia"/>
          <w:bCs/>
          <w:kern w:val="0"/>
          <w:szCs w:val="26"/>
        </w:rPr>
        <w:t>表1-</w:t>
      </w:r>
      <w:r>
        <w:rPr>
          <w:bCs/>
          <w:kern w:val="0"/>
          <w:szCs w:val="26"/>
        </w:rPr>
        <w:t>10。其中地下水功能敏感性分区和包气带防污性能分级分别见</w:t>
      </w:r>
      <w:r>
        <w:rPr>
          <w:rFonts w:hint="eastAsia"/>
          <w:bCs/>
          <w:kern w:val="0"/>
          <w:szCs w:val="26"/>
        </w:rPr>
        <w:t>表1-1</w:t>
      </w:r>
      <w:r>
        <w:rPr>
          <w:bCs/>
          <w:kern w:val="0"/>
          <w:szCs w:val="26"/>
        </w:rPr>
        <w:t>1和</w:t>
      </w:r>
      <w:r>
        <w:rPr>
          <w:rFonts w:hint="eastAsia"/>
          <w:bCs/>
          <w:kern w:val="0"/>
          <w:szCs w:val="26"/>
        </w:rPr>
        <w:t>表1-1</w:t>
      </w:r>
      <w:r>
        <w:rPr>
          <w:bCs/>
          <w:kern w:val="0"/>
          <w:szCs w:val="26"/>
        </w:rPr>
        <w:t>2。当同一建设项目涉及两个G分区或D分级及以上时，取相对值。</w:t>
      </w:r>
    </w:p>
    <w:p w14:paraId="1ABA26C5">
      <w:pPr>
        <w:pStyle w:val="90"/>
        <w:ind w:firstLine="422"/>
        <w:rPr>
          <w:color w:val="000000"/>
          <w:sz w:val="21"/>
          <w:szCs w:val="21"/>
        </w:rPr>
      </w:pPr>
      <w:r>
        <w:rPr>
          <w:color w:val="000000"/>
          <w:sz w:val="21"/>
          <w:szCs w:val="21"/>
        </w:rPr>
        <w:t>表1-10  地下水环境敏感程度分级原则一览表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19"/>
        <w:gridCol w:w="2320"/>
        <w:gridCol w:w="2322"/>
        <w:gridCol w:w="2323"/>
      </w:tblGrid>
      <w:tr w14:paraId="383A21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Merge w:val="restart"/>
            <w:vAlign w:val="center"/>
          </w:tcPr>
          <w:p w14:paraId="726E08D6">
            <w:pPr>
              <w:pStyle w:val="89"/>
              <w:spacing w:line="240" w:lineRule="auto"/>
              <w:ind w:firstLine="0" w:firstLineChars="0"/>
              <w:jc w:val="center"/>
              <w:rPr>
                <w:rFonts w:ascii="Times New Roman"/>
                <w:color w:val="000000"/>
                <w:sz w:val="21"/>
                <w:szCs w:val="21"/>
              </w:rPr>
            </w:pPr>
            <w:r>
              <w:rPr>
                <w:rFonts w:ascii="Times New Roman"/>
                <w:color w:val="000000"/>
                <w:sz w:val="21"/>
                <w:szCs w:val="21"/>
              </w:rPr>
              <w:t>包气带防污性能</w:t>
            </w:r>
          </w:p>
        </w:tc>
        <w:tc>
          <w:tcPr>
            <w:tcW w:w="3750" w:type="pct"/>
            <w:gridSpan w:val="3"/>
          </w:tcPr>
          <w:p w14:paraId="0255FF91">
            <w:pPr>
              <w:pStyle w:val="89"/>
              <w:spacing w:line="240" w:lineRule="auto"/>
              <w:ind w:firstLine="0" w:firstLineChars="0"/>
              <w:jc w:val="center"/>
              <w:rPr>
                <w:rFonts w:ascii="Times New Roman"/>
                <w:color w:val="000000"/>
                <w:sz w:val="21"/>
                <w:szCs w:val="21"/>
              </w:rPr>
            </w:pPr>
            <w:r>
              <w:rPr>
                <w:rFonts w:ascii="Times New Roman"/>
                <w:color w:val="000000"/>
                <w:sz w:val="21"/>
                <w:szCs w:val="21"/>
              </w:rPr>
              <w:t>地下水功能敏感性</w:t>
            </w:r>
          </w:p>
        </w:tc>
      </w:tr>
      <w:tr w14:paraId="086C10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vMerge w:val="continue"/>
          </w:tcPr>
          <w:p w14:paraId="29123B6D">
            <w:pPr>
              <w:pStyle w:val="89"/>
              <w:spacing w:line="240" w:lineRule="auto"/>
              <w:ind w:firstLine="0" w:firstLineChars="0"/>
              <w:jc w:val="center"/>
              <w:rPr>
                <w:rFonts w:ascii="Times New Roman"/>
                <w:color w:val="000000"/>
                <w:sz w:val="21"/>
                <w:szCs w:val="21"/>
              </w:rPr>
            </w:pPr>
          </w:p>
        </w:tc>
        <w:tc>
          <w:tcPr>
            <w:tcW w:w="1249" w:type="pct"/>
          </w:tcPr>
          <w:p w14:paraId="3B7E9752">
            <w:pPr>
              <w:pStyle w:val="89"/>
              <w:spacing w:line="240" w:lineRule="auto"/>
              <w:ind w:firstLine="0" w:firstLineChars="0"/>
              <w:jc w:val="center"/>
              <w:rPr>
                <w:rFonts w:ascii="Times New Roman"/>
                <w:color w:val="000000"/>
                <w:sz w:val="21"/>
                <w:szCs w:val="21"/>
              </w:rPr>
            </w:pPr>
            <w:r>
              <w:rPr>
                <w:rFonts w:ascii="Times New Roman"/>
                <w:color w:val="000000"/>
                <w:sz w:val="21"/>
                <w:szCs w:val="21"/>
              </w:rPr>
              <w:t>G1</w:t>
            </w:r>
          </w:p>
        </w:tc>
        <w:tc>
          <w:tcPr>
            <w:tcW w:w="1250" w:type="pct"/>
          </w:tcPr>
          <w:p w14:paraId="027FECA6">
            <w:pPr>
              <w:pStyle w:val="89"/>
              <w:spacing w:line="240" w:lineRule="auto"/>
              <w:ind w:firstLine="0" w:firstLineChars="0"/>
              <w:jc w:val="center"/>
              <w:rPr>
                <w:rFonts w:ascii="Times New Roman"/>
                <w:color w:val="000000"/>
                <w:sz w:val="21"/>
                <w:szCs w:val="21"/>
              </w:rPr>
            </w:pPr>
            <w:r>
              <w:rPr>
                <w:rFonts w:ascii="Times New Roman"/>
                <w:color w:val="000000"/>
                <w:sz w:val="21"/>
                <w:szCs w:val="21"/>
              </w:rPr>
              <w:t>G2</w:t>
            </w:r>
          </w:p>
        </w:tc>
        <w:tc>
          <w:tcPr>
            <w:tcW w:w="1249" w:type="pct"/>
          </w:tcPr>
          <w:p w14:paraId="00A65734">
            <w:pPr>
              <w:pStyle w:val="89"/>
              <w:spacing w:line="240" w:lineRule="auto"/>
              <w:ind w:firstLine="0" w:firstLineChars="0"/>
              <w:jc w:val="center"/>
              <w:rPr>
                <w:rFonts w:ascii="Times New Roman"/>
                <w:color w:val="000000"/>
                <w:sz w:val="21"/>
                <w:szCs w:val="21"/>
              </w:rPr>
            </w:pPr>
            <w:r>
              <w:rPr>
                <w:rFonts w:ascii="Times New Roman"/>
                <w:color w:val="000000"/>
                <w:sz w:val="21"/>
                <w:szCs w:val="21"/>
              </w:rPr>
              <w:t>G3</w:t>
            </w:r>
          </w:p>
        </w:tc>
      </w:tr>
      <w:tr w14:paraId="54CE23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tcPr>
          <w:p w14:paraId="34C2E314">
            <w:pPr>
              <w:pStyle w:val="89"/>
              <w:spacing w:line="240" w:lineRule="auto"/>
              <w:ind w:firstLine="0" w:firstLineChars="0"/>
              <w:jc w:val="center"/>
              <w:rPr>
                <w:rFonts w:ascii="Times New Roman"/>
                <w:color w:val="000000"/>
                <w:sz w:val="21"/>
                <w:szCs w:val="21"/>
              </w:rPr>
            </w:pPr>
            <w:r>
              <w:rPr>
                <w:rFonts w:ascii="Times New Roman"/>
                <w:color w:val="000000"/>
                <w:sz w:val="21"/>
                <w:szCs w:val="21"/>
              </w:rPr>
              <w:t>D1</w:t>
            </w:r>
          </w:p>
        </w:tc>
        <w:tc>
          <w:tcPr>
            <w:tcW w:w="1249" w:type="pct"/>
          </w:tcPr>
          <w:p w14:paraId="338E4D64">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50" w:type="pct"/>
          </w:tcPr>
          <w:p w14:paraId="753BBA2F">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49" w:type="pct"/>
            <w:shd w:val="clear" w:color="auto" w:fill="E7E6E6" w:themeFill="background2"/>
          </w:tcPr>
          <w:p w14:paraId="0F629A82">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r>
      <w:tr w14:paraId="605FF0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tcPr>
          <w:p w14:paraId="0330E669">
            <w:pPr>
              <w:pStyle w:val="89"/>
              <w:spacing w:line="240" w:lineRule="auto"/>
              <w:ind w:firstLine="0" w:firstLineChars="0"/>
              <w:jc w:val="center"/>
              <w:rPr>
                <w:rFonts w:ascii="Times New Roman"/>
                <w:color w:val="000000"/>
                <w:sz w:val="21"/>
                <w:szCs w:val="21"/>
              </w:rPr>
            </w:pPr>
            <w:r>
              <w:rPr>
                <w:rFonts w:ascii="Times New Roman"/>
                <w:color w:val="000000"/>
                <w:sz w:val="21"/>
                <w:szCs w:val="21"/>
              </w:rPr>
              <w:t>D2</w:t>
            </w:r>
          </w:p>
        </w:tc>
        <w:tc>
          <w:tcPr>
            <w:tcW w:w="1249" w:type="pct"/>
          </w:tcPr>
          <w:p w14:paraId="06040245">
            <w:pPr>
              <w:pStyle w:val="89"/>
              <w:spacing w:line="240" w:lineRule="auto"/>
              <w:ind w:firstLine="0" w:firstLineChars="0"/>
              <w:jc w:val="center"/>
              <w:rPr>
                <w:rFonts w:ascii="Times New Roman"/>
                <w:color w:val="000000"/>
                <w:sz w:val="21"/>
                <w:szCs w:val="21"/>
              </w:rPr>
            </w:pPr>
            <w:r>
              <w:rPr>
                <w:rFonts w:ascii="Times New Roman"/>
                <w:color w:val="000000"/>
                <w:sz w:val="21"/>
                <w:szCs w:val="21"/>
              </w:rPr>
              <w:t>E1</w:t>
            </w:r>
          </w:p>
        </w:tc>
        <w:tc>
          <w:tcPr>
            <w:tcW w:w="1250" w:type="pct"/>
          </w:tcPr>
          <w:p w14:paraId="62D7C66A">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c>
          <w:tcPr>
            <w:tcW w:w="1249" w:type="pct"/>
          </w:tcPr>
          <w:p w14:paraId="0AE3CDEF">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r>
      <w:tr w14:paraId="37AB93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tcPr>
          <w:p w14:paraId="5B9C9AA1">
            <w:pPr>
              <w:pStyle w:val="89"/>
              <w:spacing w:line="240" w:lineRule="auto"/>
              <w:ind w:firstLine="0" w:firstLineChars="0"/>
              <w:jc w:val="center"/>
              <w:rPr>
                <w:rFonts w:ascii="Times New Roman"/>
                <w:color w:val="000000"/>
                <w:sz w:val="21"/>
                <w:szCs w:val="21"/>
              </w:rPr>
            </w:pPr>
            <w:r>
              <w:rPr>
                <w:rFonts w:ascii="Times New Roman"/>
                <w:color w:val="000000"/>
                <w:sz w:val="21"/>
                <w:szCs w:val="21"/>
              </w:rPr>
              <w:t>D3</w:t>
            </w:r>
          </w:p>
        </w:tc>
        <w:tc>
          <w:tcPr>
            <w:tcW w:w="1249" w:type="pct"/>
          </w:tcPr>
          <w:p w14:paraId="21E4F5EC">
            <w:pPr>
              <w:pStyle w:val="89"/>
              <w:spacing w:line="240" w:lineRule="auto"/>
              <w:ind w:firstLine="0" w:firstLineChars="0"/>
              <w:jc w:val="center"/>
              <w:rPr>
                <w:rFonts w:ascii="Times New Roman"/>
                <w:color w:val="000000"/>
                <w:sz w:val="21"/>
                <w:szCs w:val="21"/>
              </w:rPr>
            </w:pPr>
            <w:r>
              <w:rPr>
                <w:rFonts w:ascii="Times New Roman"/>
                <w:color w:val="000000"/>
                <w:sz w:val="21"/>
                <w:szCs w:val="21"/>
              </w:rPr>
              <w:t>E2</w:t>
            </w:r>
          </w:p>
        </w:tc>
        <w:tc>
          <w:tcPr>
            <w:tcW w:w="1250" w:type="pct"/>
          </w:tcPr>
          <w:p w14:paraId="67BB13A2">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c>
          <w:tcPr>
            <w:tcW w:w="1249" w:type="pct"/>
            <w:shd w:val="clear" w:color="auto" w:fill="FFFFFF" w:themeFill="background1"/>
          </w:tcPr>
          <w:p w14:paraId="0EED10D6">
            <w:pPr>
              <w:pStyle w:val="89"/>
              <w:spacing w:line="240" w:lineRule="auto"/>
              <w:ind w:firstLine="0" w:firstLineChars="0"/>
              <w:jc w:val="center"/>
              <w:rPr>
                <w:rFonts w:ascii="Times New Roman"/>
                <w:color w:val="000000"/>
                <w:sz w:val="21"/>
                <w:szCs w:val="21"/>
              </w:rPr>
            </w:pPr>
            <w:r>
              <w:rPr>
                <w:rFonts w:ascii="Times New Roman"/>
                <w:color w:val="000000"/>
                <w:sz w:val="21"/>
                <w:szCs w:val="21"/>
              </w:rPr>
              <w:t>E3</w:t>
            </w:r>
          </w:p>
        </w:tc>
      </w:tr>
    </w:tbl>
    <w:p w14:paraId="4C3ABA82">
      <w:pPr>
        <w:pStyle w:val="90"/>
        <w:ind w:firstLine="422"/>
        <w:rPr>
          <w:color w:val="000000"/>
          <w:sz w:val="21"/>
          <w:szCs w:val="21"/>
        </w:rPr>
      </w:pPr>
      <w:r>
        <w:rPr>
          <w:color w:val="000000"/>
          <w:sz w:val="21"/>
          <w:szCs w:val="21"/>
        </w:rPr>
        <w:t>表1-11  地下水功能敏感性分区原则一览表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740"/>
        <w:gridCol w:w="7544"/>
      </w:tblGrid>
      <w:tr w14:paraId="6C7BF2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vAlign w:val="center"/>
          </w:tcPr>
          <w:p w14:paraId="0411E2CC">
            <w:pPr>
              <w:pStyle w:val="89"/>
              <w:spacing w:line="240" w:lineRule="auto"/>
              <w:ind w:firstLine="0" w:firstLineChars="0"/>
              <w:jc w:val="center"/>
              <w:rPr>
                <w:rFonts w:ascii="Times New Roman"/>
                <w:color w:val="000000"/>
                <w:sz w:val="21"/>
                <w:szCs w:val="21"/>
              </w:rPr>
            </w:pPr>
            <w:r>
              <w:rPr>
                <w:rFonts w:ascii="Times New Roman"/>
                <w:color w:val="000000"/>
                <w:sz w:val="21"/>
                <w:szCs w:val="21"/>
              </w:rPr>
              <w:t>分级</w:t>
            </w:r>
          </w:p>
        </w:tc>
        <w:tc>
          <w:tcPr>
            <w:tcW w:w="4062" w:type="pct"/>
          </w:tcPr>
          <w:p w14:paraId="3D367038">
            <w:pPr>
              <w:pStyle w:val="89"/>
              <w:spacing w:line="240" w:lineRule="auto"/>
              <w:ind w:firstLine="0" w:firstLineChars="0"/>
              <w:jc w:val="center"/>
              <w:rPr>
                <w:rFonts w:ascii="Times New Roman"/>
                <w:color w:val="000000"/>
                <w:sz w:val="21"/>
                <w:szCs w:val="21"/>
              </w:rPr>
            </w:pPr>
            <w:r>
              <w:rPr>
                <w:rFonts w:ascii="Times New Roman"/>
                <w:color w:val="000000"/>
                <w:sz w:val="21"/>
                <w:szCs w:val="21"/>
              </w:rPr>
              <w:t>分级地下水环境敏感特征</w:t>
            </w:r>
          </w:p>
        </w:tc>
      </w:tr>
      <w:tr w14:paraId="076B55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vAlign w:val="center"/>
          </w:tcPr>
          <w:p w14:paraId="6A112B5F">
            <w:pPr>
              <w:pStyle w:val="89"/>
              <w:spacing w:line="240" w:lineRule="auto"/>
              <w:ind w:firstLine="0" w:firstLineChars="0"/>
              <w:jc w:val="center"/>
              <w:rPr>
                <w:rFonts w:ascii="Times New Roman"/>
                <w:color w:val="000000"/>
                <w:sz w:val="21"/>
                <w:szCs w:val="21"/>
              </w:rPr>
            </w:pPr>
            <w:r>
              <w:rPr>
                <w:rFonts w:ascii="Times New Roman"/>
                <w:color w:val="000000"/>
                <w:sz w:val="21"/>
                <w:szCs w:val="21"/>
              </w:rPr>
              <w:t>敏感G1</w:t>
            </w:r>
          </w:p>
        </w:tc>
        <w:tc>
          <w:tcPr>
            <w:tcW w:w="4062" w:type="pct"/>
          </w:tcPr>
          <w:p w14:paraId="2FB9D69F">
            <w:pPr>
              <w:pStyle w:val="89"/>
              <w:spacing w:line="240" w:lineRule="auto"/>
              <w:ind w:firstLine="0" w:firstLineChars="0"/>
              <w:jc w:val="center"/>
              <w:rPr>
                <w:rFonts w:ascii="Times New Roman"/>
                <w:color w:val="000000"/>
                <w:sz w:val="21"/>
                <w:szCs w:val="21"/>
              </w:rPr>
            </w:pPr>
            <w:r>
              <w:rPr>
                <w:rFonts w:ascii="Times New Roman"/>
                <w:color w:val="000000"/>
                <w:sz w:val="21"/>
                <w:szCs w:val="21"/>
              </w:rPr>
              <w:t>集中式饮用水水源（包括已建成的在用、备用、应急水源，在建和规划的饮用水水源）准保护区；除集中式饮用水水源以外的国家或地方政府设定的与地下水环境相关的其他保护区，如热水、矿泉水、温泉等特殊地下水资源保护区</w:t>
            </w:r>
          </w:p>
        </w:tc>
      </w:tr>
      <w:tr w14:paraId="161E1B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vAlign w:val="center"/>
          </w:tcPr>
          <w:p w14:paraId="3BCD09FE">
            <w:pPr>
              <w:pStyle w:val="89"/>
              <w:spacing w:line="240" w:lineRule="auto"/>
              <w:ind w:firstLine="0" w:firstLineChars="0"/>
              <w:jc w:val="center"/>
              <w:rPr>
                <w:rFonts w:ascii="Times New Roman"/>
                <w:color w:val="000000"/>
                <w:sz w:val="21"/>
                <w:szCs w:val="21"/>
              </w:rPr>
            </w:pPr>
            <w:r>
              <w:rPr>
                <w:rFonts w:ascii="Times New Roman"/>
                <w:color w:val="000000"/>
                <w:sz w:val="21"/>
                <w:szCs w:val="21"/>
              </w:rPr>
              <w:t>较敏感G2</w:t>
            </w:r>
          </w:p>
        </w:tc>
        <w:tc>
          <w:tcPr>
            <w:tcW w:w="4062" w:type="pct"/>
          </w:tcPr>
          <w:p w14:paraId="44053063">
            <w:pPr>
              <w:pStyle w:val="89"/>
              <w:spacing w:line="240" w:lineRule="auto"/>
              <w:ind w:firstLine="0" w:firstLineChars="0"/>
              <w:jc w:val="center"/>
              <w:rPr>
                <w:rFonts w:ascii="Times New Roman"/>
                <w:color w:val="000000"/>
                <w:sz w:val="21"/>
                <w:szCs w:val="21"/>
              </w:rPr>
            </w:pPr>
            <w:r>
              <w:rPr>
                <w:rFonts w:ascii="Times New Roman"/>
                <w:color w:val="000000"/>
                <w:sz w:val="21"/>
                <w:szCs w:val="21"/>
              </w:rPr>
              <w:t>集中式饮用水水源（包括已建成的在用、备用、应急水源，在建和规划的饮用水水源）准保护区以外的补给径流区；未划定准保护区的集中式饮用水水源，其保护区以外的补给径流区；分散式饮用水水源地；特殊地下水资源（如热水、矿泉水、温泉等）保护区以外的分布区等其他未列入上述敏感分级的环境敏感区</w:t>
            </w:r>
          </w:p>
        </w:tc>
      </w:tr>
      <w:tr w14:paraId="5952BD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shd w:val="clear" w:color="auto" w:fill="E7E6E6" w:themeFill="background2"/>
            <w:vAlign w:val="center"/>
          </w:tcPr>
          <w:p w14:paraId="1BFEFBCA">
            <w:pPr>
              <w:pStyle w:val="89"/>
              <w:spacing w:line="240" w:lineRule="auto"/>
              <w:ind w:firstLine="0" w:firstLineChars="0"/>
              <w:jc w:val="center"/>
              <w:rPr>
                <w:rFonts w:ascii="Times New Roman"/>
                <w:color w:val="000000"/>
                <w:sz w:val="21"/>
                <w:szCs w:val="21"/>
              </w:rPr>
            </w:pPr>
            <w:r>
              <w:rPr>
                <w:rFonts w:ascii="Times New Roman"/>
                <w:color w:val="000000"/>
                <w:sz w:val="21"/>
                <w:szCs w:val="21"/>
              </w:rPr>
              <w:t>不敏感G3</w:t>
            </w:r>
          </w:p>
        </w:tc>
        <w:tc>
          <w:tcPr>
            <w:tcW w:w="4062" w:type="pct"/>
            <w:shd w:val="clear" w:color="auto" w:fill="E7E6E6" w:themeFill="background2"/>
          </w:tcPr>
          <w:p w14:paraId="200E229E">
            <w:pPr>
              <w:pStyle w:val="89"/>
              <w:spacing w:line="240" w:lineRule="auto"/>
              <w:ind w:firstLine="0" w:firstLineChars="0"/>
              <w:jc w:val="center"/>
              <w:rPr>
                <w:rFonts w:ascii="Times New Roman"/>
                <w:color w:val="000000"/>
                <w:sz w:val="21"/>
                <w:szCs w:val="21"/>
              </w:rPr>
            </w:pPr>
            <w:r>
              <w:rPr>
                <w:rFonts w:ascii="Times New Roman"/>
                <w:color w:val="000000"/>
                <w:sz w:val="21"/>
                <w:szCs w:val="21"/>
              </w:rPr>
              <w:t>上述地区之外的其他地区</w:t>
            </w:r>
          </w:p>
        </w:tc>
      </w:tr>
      <w:tr w14:paraId="490DF4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2"/>
          </w:tcPr>
          <w:p w14:paraId="56425043">
            <w:pPr>
              <w:pStyle w:val="89"/>
              <w:spacing w:line="240" w:lineRule="auto"/>
              <w:ind w:firstLine="0" w:firstLineChars="0"/>
              <w:jc w:val="center"/>
              <w:rPr>
                <w:rFonts w:ascii="Times New Roman"/>
                <w:color w:val="000000"/>
                <w:sz w:val="21"/>
                <w:szCs w:val="21"/>
              </w:rPr>
            </w:pPr>
            <w:r>
              <w:rPr>
                <w:rFonts w:ascii="Times New Roman"/>
                <w:color w:val="000000"/>
                <w:sz w:val="21"/>
                <w:szCs w:val="21"/>
              </w:rPr>
              <w:t>环境敏感区是指《建设项目环境影响评价分类管理名录》中所界定的涉及地下水的环境敏感区</w:t>
            </w:r>
          </w:p>
        </w:tc>
      </w:tr>
    </w:tbl>
    <w:p w14:paraId="3771797A">
      <w:pPr>
        <w:pStyle w:val="90"/>
        <w:ind w:firstLine="422"/>
        <w:rPr>
          <w:color w:val="000000"/>
          <w:sz w:val="21"/>
          <w:szCs w:val="21"/>
        </w:rPr>
      </w:pPr>
      <w:r>
        <w:rPr>
          <w:color w:val="000000"/>
          <w:sz w:val="21"/>
          <w:szCs w:val="21"/>
        </w:rPr>
        <w:t>表1-12  包气带防污性能分级原则一览表</w:t>
      </w:r>
    </w:p>
    <w:tbl>
      <w:tblPr>
        <w:tblStyle w:val="2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740"/>
        <w:gridCol w:w="7544"/>
      </w:tblGrid>
      <w:tr w14:paraId="7D1D0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vAlign w:val="center"/>
          </w:tcPr>
          <w:p w14:paraId="174E203A">
            <w:pPr>
              <w:pStyle w:val="89"/>
              <w:spacing w:line="240" w:lineRule="auto"/>
              <w:ind w:firstLine="0" w:firstLineChars="0"/>
              <w:jc w:val="center"/>
              <w:rPr>
                <w:rFonts w:ascii="Times New Roman"/>
                <w:color w:val="000000"/>
                <w:sz w:val="21"/>
                <w:szCs w:val="21"/>
              </w:rPr>
            </w:pPr>
            <w:r>
              <w:rPr>
                <w:rFonts w:ascii="Times New Roman"/>
                <w:color w:val="000000"/>
                <w:sz w:val="21"/>
                <w:szCs w:val="21"/>
              </w:rPr>
              <w:t>分级</w:t>
            </w:r>
          </w:p>
        </w:tc>
        <w:tc>
          <w:tcPr>
            <w:tcW w:w="4063" w:type="pct"/>
          </w:tcPr>
          <w:p w14:paraId="2B3721EB">
            <w:pPr>
              <w:pStyle w:val="89"/>
              <w:spacing w:line="240" w:lineRule="auto"/>
              <w:ind w:firstLine="0" w:firstLineChars="0"/>
              <w:jc w:val="center"/>
              <w:rPr>
                <w:rFonts w:ascii="Times New Roman"/>
                <w:color w:val="000000"/>
                <w:sz w:val="21"/>
                <w:szCs w:val="21"/>
              </w:rPr>
            </w:pPr>
            <w:r>
              <w:rPr>
                <w:rFonts w:ascii="Times New Roman"/>
                <w:color w:val="000000"/>
                <w:sz w:val="21"/>
                <w:szCs w:val="21"/>
              </w:rPr>
              <w:t>包气带岩土的渗透性能</w:t>
            </w:r>
          </w:p>
        </w:tc>
      </w:tr>
      <w:tr w14:paraId="28E001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shd w:val="clear" w:color="auto" w:fill="FFFFFF" w:themeFill="background1"/>
            <w:vAlign w:val="center"/>
          </w:tcPr>
          <w:p w14:paraId="5EA89FEF">
            <w:pPr>
              <w:pStyle w:val="89"/>
              <w:spacing w:line="240" w:lineRule="auto"/>
              <w:ind w:firstLine="0" w:firstLineChars="0"/>
              <w:jc w:val="center"/>
              <w:rPr>
                <w:rFonts w:ascii="Times New Roman"/>
                <w:color w:val="000000"/>
                <w:sz w:val="21"/>
                <w:szCs w:val="21"/>
              </w:rPr>
            </w:pPr>
            <w:r>
              <w:rPr>
                <w:rFonts w:ascii="Times New Roman"/>
                <w:color w:val="000000"/>
                <w:sz w:val="21"/>
                <w:szCs w:val="21"/>
              </w:rPr>
              <w:t>D3</w:t>
            </w:r>
          </w:p>
        </w:tc>
        <w:tc>
          <w:tcPr>
            <w:tcW w:w="4063" w:type="pct"/>
            <w:shd w:val="clear" w:color="auto" w:fill="FFFFFF" w:themeFill="background1"/>
          </w:tcPr>
          <w:p w14:paraId="060C81E6">
            <w:pPr>
              <w:pStyle w:val="89"/>
              <w:spacing w:line="240" w:lineRule="auto"/>
              <w:ind w:firstLine="0" w:firstLineChars="0"/>
              <w:jc w:val="center"/>
              <w:rPr>
                <w:rFonts w:ascii="Times New Roman"/>
                <w:color w:val="000000"/>
                <w:sz w:val="21"/>
                <w:szCs w:val="21"/>
              </w:rPr>
            </w:pPr>
            <w:r>
              <w:rPr>
                <w:rFonts w:ascii="Times New Roman"/>
                <w:color w:val="000000"/>
                <w:sz w:val="21"/>
                <w:szCs w:val="21"/>
              </w:rPr>
              <w:t>Mb≥1.0m，K≤1.0×10</w:t>
            </w:r>
            <w:r>
              <w:rPr>
                <w:rFonts w:ascii="Times New Roman"/>
                <w:color w:val="000000"/>
                <w:sz w:val="21"/>
                <w:szCs w:val="21"/>
                <w:vertAlign w:val="superscript"/>
              </w:rPr>
              <w:t>-6</w:t>
            </w:r>
            <w:r>
              <w:rPr>
                <w:rFonts w:ascii="Times New Roman"/>
                <w:color w:val="000000"/>
                <w:sz w:val="21"/>
                <w:szCs w:val="21"/>
              </w:rPr>
              <w:t>cm/s，且分布连续、稳定</w:t>
            </w:r>
          </w:p>
        </w:tc>
      </w:tr>
      <w:tr w14:paraId="26CCE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vAlign w:val="center"/>
          </w:tcPr>
          <w:p w14:paraId="34A6D7D5">
            <w:pPr>
              <w:pStyle w:val="89"/>
              <w:spacing w:line="240" w:lineRule="auto"/>
              <w:ind w:firstLine="0" w:firstLineChars="0"/>
              <w:jc w:val="center"/>
              <w:rPr>
                <w:rFonts w:ascii="Times New Roman"/>
                <w:color w:val="000000"/>
                <w:sz w:val="21"/>
                <w:szCs w:val="21"/>
              </w:rPr>
            </w:pPr>
            <w:r>
              <w:rPr>
                <w:rFonts w:ascii="Times New Roman"/>
                <w:color w:val="000000"/>
                <w:sz w:val="21"/>
                <w:szCs w:val="21"/>
              </w:rPr>
              <w:t>D2</w:t>
            </w:r>
          </w:p>
        </w:tc>
        <w:tc>
          <w:tcPr>
            <w:tcW w:w="4063" w:type="pct"/>
          </w:tcPr>
          <w:p w14:paraId="7FB2C6AA">
            <w:pPr>
              <w:pStyle w:val="89"/>
              <w:spacing w:line="240" w:lineRule="auto"/>
              <w:ind w:firstLine="0" w:firstLineChars="0"/>
              <w:jc w:val="center"/>
              <w:rPr>
                <w:rFonts w:ascii="Times New Roman"/>
                <w:color w:val="000000"/>
                <w:sz w:val="21"/>
                <w:szCs w:val="21"/>
              </w:rPr>
            </w:pPr>
            <w:r>
              <w:rPr>
                <w:rFonts w:ascii="Times New Roman"/>
                <w:color w:val="000000"/>
                <w:sz w:val="21"/>
                <w:szCs w:val="21"/>
              </w:rPr>
              <w:t>0.5m≤Mb&lt;1.0m，K≤1.0×10</w:t>
            </w:r>
            <w:r>
              <w:rPr>
                <w:rFonts w:ascii="Times New Roman"/>
                <w:color w:val="000000"/>
                <w:sz w:val="21"/>
                <w:szCs w:val="21"/>
                <w:vertAlign w:val="superscript"/>
              </w:rPr>
              <w:t>-6</w:t>
            </w:r>
            <w:r>
              <w:rPr>
                <w:rFonts w:ascii="Times New Roman"/>
                <w:color w:val="000000"/>
                <w:sz w:val="21"/>
                <w:szCs w:val="21"/>
              </w:rPr>
              <w:t>cm/s，且分布连续、稳定</w:t>
            </w:r>
          </w:p>
          <w:p w14:paraId="087C621F">
            <w:pPr>
              <w:pStyle w:val="89"/>
              <w:spacing w:line="240" w:lineRule="auto"/>
              <w:ind w:firstLine="0" w:firstLineChars="0"/>
              <w:jc w:val="center"/>
              <w:rPr>
                <w:rFonts w:ascii="Times New Roman"/>
                <w:color w:val="000000"/>
                <w:sz w:val="21"/>
                <w:szCs w:val="21"/>
              </w:rPr>
            </w:pPr>
            <w:r>
              <w:rPr>
                <w:rFonts w:ascii="Times New Roman"/>
                <w:color w:val="000000"/>
                <w:sz w:val="21"/>
                <w:szCs w:val="21"/>
              </w:rPr>
              <w:t>Mb≥1.0m，1.0×10</w:t>
            </w:r>
            <w:r>
              <w:rPr>
                <w:rFonts w:ascii="Times New Roman"/>
                <w:color w:val="000000"/>
                <w:sz w:val="21"/>
                <w:szCs w:val="21"/>
                <w:vertAlign w:val="superscript"/>
              </w:rPr>
              <w:t>-6</w:t>
            </w:r>
            <w:r>
              <w:rPr>
                <w:rFonts w:ascii="Times New Roman"/>
                <w:color w:val="000000"/>
                <w:sz w:val="21"/>
                <w:szCs w:val="21"/>
              </w:rPr>
              <w:t>cm/s＜K≤1.0×10</w:t>
            </w:r>
            <w:r>
              <w:rPr>
                <w:rFonts w:ascii="Times New Roman"/>
                <w:color w:val="000000"/>
                <w:sz w:val="21"/>
                <w:szCs w:val="21"/>
                <w:vertAlign w:val="superscript"/>
              </w:rPr>
              <w:t>-4</w:t>
            </w:r>
            <w:r>
              <w:rPr>
                <w:rFonts w:ascii="Times New Roman"/>
                <w:color w:val="000000"/>
                <w:sz w:val="21"/>
                <w:szCs w:val="21"/>
              </w:rPr>
              <w:t>cm/s，且分布连续、稳定</w:t>
            </w:r>
          </w:p>
        </w:tc>
      </w:tr>
      <w:tr w14:paraId="23C3D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37" w:type="pct"/>
            <w:shd w:val="clear" w:color="auto" w:fill="E7E6E6" w:themeFill="background2"/>
            <w:vAlign w:val="center"/>
          </w:tcPr>
          <w:p w14:paraId="1D5B676C">
            <w:pPr>
              <w:pStyle w:val="89"/>
              <w:spacing w:line="240" w:lineRule="auto"/>
              <w:ind w:firstLine="0" w:firstLineChars="0"/>
              <w:jc w:val="center"/>
              <w:rPr>
                <w:rFonts w:ascii="Times New Roman"/>
                <w:color w:val="000000"/>
                <w:sz w:val="21"/>
                <w:szCs w:val="21"/>
              </w:rPr>
            </w:pPr>
            <w:r>
              <w:rPr>
                <w:rFonts w:ascii="Times New Roman"/>
                <w:color w:val="000000"/>
                <w:sz w:val="21"/>
                <w:szCs w:val="21"/>
              </w:rPr>
              <w:t>D1</w:t>
            </w:r>
          </w:p>
        </w:tc>
        <w:tc>
          <w:tcPr>
            <w:tcW w:w="4063" w:type="pct"/>
            <w:shd w:val="clear" w:color="auto" w:fill="E7E6E6" w:themeFill="background2"/>
          </w:tcPr>
          <w:p w14:paraId="569B6D7B">
            <w:pPr>
              <w:pStyle w:val="89"/>
              <w:spacing w:line="240" w:lineRule="auto"/>
              <w:ind w:firstLine="0" w:firstLineChars="0"/>
              <w:jc w:val="center"/>
              <w:rPr>
                <w:rFonts w:ascii="Times New Roman"/>
                <w:color w:val="000000"/>
                <w:sz w:val="21"/>
                <w:szCs w:val="21"/>
              </w:rPr>
            </w:pPr>
            <w:r>
              <w:rPr>
                <w:rFonts w:ascii="Times New Roman"/>
                <w:color w:val="000000"/>
                <w:sz w:val="21"/>
                <w:szCs w:val="21"/>
              </w:rPr>
              <w:t>岩（土）层不满足上述“D2”和“D3”条件</w:t>
            </w:r>
          </w:p>
        </w:tc>
      </w:tr>
      <w:tr w14:paraId="6752C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2"/>
          </w:tcPr>
          <w:p w14:paraId="2B8D506A">
            <w:pPr>
              <w:pStyle w:val="89"/>
              <w:spacing w:line="240" w:lineRule="auto"/>
              <w:ind w:firstLine="0" w:firstLineChars="0"/>
              <w:rPr>
                <w:rFonts w:ascii="Times New Roman"/>
                <w:color w:val="000000"/>
                <w:sz w:val="21"/>
                <w:szCs w:val="21"/>
              </w:rPr>
            </w:pPr>
            <w:r>
              <w:rPr>
                <w:rFonts w:ascii="Times New Roman"/>
                <w:color w:val="000000"/>
                <w:sz w:val="21"/>
                <w:szCs w:val="21"/>
              </w:rPr>
              <w:t>Mb：岩土层单层厚度。K：渗透系数</w:t>
            </w:r>
          </w:p>
        </w:tc>
      </w:tr>
    </w:tbl>
    <w:p w14:paraId="304DC0FD">
      <w:pPr>
        <w:ind w:firstLine="480"/>
        <w:textAlignment w:val="auto"/>
        <w:rPr>
          <w:rFonts w:cs="Times New Roman"/>
          <w:color w:val="000000" w:themeColor="text1"/>
          <w14:textFill>
            <w14:solidFill>
              <w14:schemeClr w14:val="tx1"/>
            </w14:solidFill>
          </w14:textFill>
        </w:rPr>
      </w:pPr>
      <w:r>
        <w:rPr>
          <w:rFonts w:cs="Times New Roman"/>
        </w:rPr>
        <w:t>结合项目情况，根据实地调查场地下游评价范围内不涉及集中式饮用水水源准保护区，不涉及集中式水源准保护区以外的径流补给区，亦不属于热水、矿泉水、温泉等特殊地下水资源保护区、国家或地方政府设定的与地下水环境相关的其他保护区，确定建设项目场地的地下水环境敏感程度属不敏感（G3）；包气带的防污性能为（D1）。因此，项目地下水环境敏感程度分级为E2</w:t>
      </w:r>
      <w:r>
        <w:rPr>
          <w:rFonts w:cs="Times New Roman"/>
          <w:color w:val="000000" w:themeColor="text1"/>
          <w14:textFill>
            <w14:solidFill>
              <w14:schemeClr w14:val="tx1"/>
            </w14:solidFill>
          </w14:textFill>
        </w:rPr>
        <w:t>。</w:t>
      </w:r>
    </w:p>
    <w:p w14:paraId="0B015507">
      <w:pPr>
        <w:pStyle w:val="4"/>
        <w:rPr>
          <w:color w:val="000000" w:themeColor="text1"/>
          <w14:textFill>
            <w14:solidFill>
              <w14:schemeClr w14:val="tx1"/>
            </w14:solidFill>
          </w14:textFill>
        </w:rPr>
      </w:pPr>
      <w:r>
        <w:rPr>
          <w:color w:val="000000" w:themeColor="text1"/>
          <w14:textFill>
            <w14:solidFill>
              <w14:schemeClr w14:val="tx1"/>
            </w14:solidFill>
          </w14:textFill>
        </w:rPr>
        <w:t>1.5.2环境风险潜势判定</w:t>
      </w:r>
    </w:p>
    <w:p w14:paraId="4D27ADC2">
      <w:pPr>
        <w:ind w:firstLine="480"/>
      </w:pPr>
      <w:r>
        <w:rPr>
          <w:bCs/>
          <w:kern w:val="0"/>
          <w:szCs w:val="26"/>
        </w:rPr>
        <w:t>经分析得知，本项目不考虑风险事故</w:t>
      </w:r>
      <w:r>
        <w:rPr>
          <w:rFonts w:hint="eastAsia"/>
          <w:bCs/>
          <w:kern w:val="0"/>
          <w:szCs w:val="26"/>
        </w:rPr>
        <w:t>泄漏</w:t>
      </w:r>
      <w:r>
        <w:rPr>
          <w:bCs/>
          <w:kern w:val="0"/>
          <w:szCs w:val="26"/>
        </w:rPr>
        <w:t>危险物质对地表水体的影响，项目的所在区域大气环境敏感程度为环境低度敏感区</w:t>
      </w:r>
      <w:r>
        <w:rPr>
          <w:rFonts w:hint="eastAsia"/>
          <w:bCs/>
          <w:kern w:val="0"/>
          <w:szCs w:val="26"/>
        </w:rPr>
        <w:t>“</w:t>
      </w:r>
      <w:r>
        <w:rPr>
          <w:bCs/>
          <w:kern w:val="0"/>
          <w:szCs w:val="26"/>
        </w:rPr>
        <w:t>E3</w:t>
      </w:r>
      <w:r>
        <w:rPr>
          <w:rFonts w:hint="eastAsia"/>
          <w:bCs/>
          <w:kern w:val="0"/>
          <w:szCs w:val="26"/>
        </w:rPr>
        <w:t>”</w:t>
      </w:r>
      <w:r>
        <w:rPr>
          <w:bCs/>
          <w:kern w:val="0"/>
          <w:szCs w:val="26"/>
        </w:rPr>
        <w:t>，项目所在区域的地下水环境敏感程度分级为</w:t>
      </w:r>
      <w:r>
        <w:rPr>
          <w:rFonts w:hint="eastAsia"/>
          <w:bCs/>
          <w:kern w:val="0"/>
          <w:szCs w:val="26"/>
        </w:rPr>
        <w:t>“</w:t>
      </w:r>
      <w:r>
        <w:rPr>
          <w:bCs/>
          <w:kern w:val="0"/>
          <w:szCs w:val="26"/>
        </w:rPr>
        <w:t>E</w:t>
      </w:r>
      <w:r>
        <w:rPr>
          <w:rFonts w:hint="eastAsia"/>
          <w:bCs/>
          <w:kern w:val="0"/>
          <w:szCs w:val="26"/>
        </w:rPr>
        <w:t>2”</w:t>
      </w:r>
      <w:r>
        <w:rPr>
          <w:bCs/>
          <w:kern w:val="0"/>
          <w:szCs w:val="26"/>
        </w:rPr>
        <w:t>，其环境风险潜势判定结果具体见</w:t>
      </w:r>
      <w:r>
        <w:rPr>
          <w:rFonts w:hint="eastAsia"/>
          <w:bCs/>
          <w:kern w:val="0"/>
          <w:szCs w:val="26"/>
        </w:rPr>
        <w:t>表1-1</w:t>
      </w:r>
      <w:r>
        <w:rPr>
          <w:bCs/>
          <w:kern w:val="0"/>
          <w:szCs w:val="26"/>
        </w:rPr>
        <w:t>3</w:t>
      </w:r>
      <w:r>
        <w:rPr>
          <w:rFonts w:hint="eastAsia"/>
          <w:bCs/>
          <w:kern w:val="0"/>
          <w:szCs w:val="26"/>
        </w:rPr>
        <w:t>。</w:t>
      </w:r>
    </w:p>
    <w:p w14:paraId="0641B882">
      <w:pPr>
        <w:spacing w:line="240" w:lineRule="auto"/>
        <w:ind w:firstLine="0" w:firstLineChars="0"/>
        <w:jc w:val="center"/>
        <w:textAlignment w:val="auto"/>
        <w:rPr>
          <w:rFonts w:cs="Times New Roman"/>
          <w:b/>
          <w:sz w:val="21"/>
          <w:szCs w:val="24"/>
        </w:rPr>
      </w:pPr>
      <w:bookmarkStart w:id="46" w:name="_Ref24079"/>
      <w:r>
        <w:rPr>
          <w:rFonts w:cs="Times New Roman"/>
          <w:b/>
          <w:sz w:val="21"/>
          <w:szCs w:val="24"/>
        </w:rPr>
        <w:t>表</w:t>
      </w:r>
      <w:r>
        <w:rPr>
          <w:rFonts w:hint="eastAsia" w:cs="Times New Roman"/>
          <w:b/>
          <w:sz w:val="21"/>
          <w:szCs w:val="24"/>
        </w:rPr>
        <w:t>1-</w:t>
      </w:r>
      <w:r>
        <w:rPr>
          <w:rFonts w:cs="Times New Roman"/>
          <w:b/>
          <w:sz w:val="21"/>
          <w:szCs w:val="24"/>
        </w:rPr>
        <w:fldChar w:fldCharType="begin"/>
      </w:r>
      <w:r>
        <w:rPr>
          <w:rFonts w:cs="Times New Roman"/>
          <w:b/>
          <w:sz w:val="21"/>
          <w:szCs w:val="24"/>
        </w:rPr>
        <w:instrText xml:space="preserve"> SEQ 表 \* ARABIC \s 2 </w:instrText>
      </w:r>
      <w:r>
        <w:rPr>
          <w:rFonts w:cs="Times New Roman"/>
          <w:b/>
          <w:sz w:val="21"/>
          <w:szCs w:val="24"/>
        </w:rPr>
        <w:fldChar w:fldCharType="separate"/>
      </w:r>
      <w:r>
        <w:rPr>
          <w:rFonts w:cs="Times New Roman"/>
          <w:b/>
          <w:sz w:val="21"/>
          <w:szCs w:val="24"/>
        </w:rPr>
        <w:t>1</w:t>
      </w:r>
      <w:r>
        <w:rPr>
          <w:rFonts w:cs="Times New Roman"/>
          <w:b/>
          <w:sz w:val="21"/>
          <w:szCs w:val="24"/>
        </w:rPr>
        <w:fldChar w:fldCharType="end"/>
      </w:r>
      <w:bookmarkEnd w:id="46"/>
      <w:r>
        <w:rPr>
          <w:rFonts w:cs="Times New Roman"/>
          <w:b/>
          <w:sz w:val="21"/>
          <w:szCs w:val="24"/>
        </w:rPr>
        <w:t>3  项目环境风险潜势判定结果一览表</w:t>
      </w:r>
    </w:p>
    <w:tbl>
      <w:tblPr>
        <w:tblStyle w:val="2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781"/>
        <w:gridCol w:w="752"/>
        <w:gridCol w:w="2355"/>
        <w:gridCol w:w="1534"/>
        <w:gridCol w:w="27"/>
        <w:gridCol w:w="783"/>
        <w:gridCol w:w="746"/>
        <w:gridCol w:w="82"/>
        <w:gridCol w:w="2040"/>
      </w:tblGrid>
      <w:tr w14:paraId="1166CB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tcBorders>
              <w:top w:val="single" w:color="000000" w:sz="12" w:space="0"/>
              <w:left w:val="single" w:color="000000" w:sz="12" w:space="0"/>
              <w:bottom w:val="single" w:color="000000" w:sz="4" w:space="0"/>
              <w:right w:val="single" w:color="000000" w:sz="4" w:space="0"/>
            </w:tcBorders>
            <w:vAlign w:val="center"/>
          </w:tcPr>
          <w:p w14:paraId="224FFC3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类别</w:t>
            </w:r>
          </w:p>
        </w:tc>
        <w:tc>
          <w:tcPr>
            <w:tcW w:w="4571" w:type="pct"/>
            <w:gridSpan w:val="8"/>
            <w:tcBorders>
              <w:top w:val="single" w:color="000000" w:sz="12" w:space="0"/>
              <w:left w:val="single" w:color="000000" w:sz="4" w:space="0"/>
              <w:bottom w:val="single" w:color="000000" w:sz="4" w:space="0"/>
              <w:right w:val="single" w:color="000000" w:sz="12" w:space="0"/>
            </w:tcBorders>
            <w:vAlign w:val="center"/>
          </w:tcPr>
          <w:p w14:paraId="718B8B2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环境敏感特征</w:t>
            </w:r>
          </w:p>
        </w:tc>
      </w:tr>
      <w:tr w14:paraId="7F102C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restart"/>
            <w:tcBorders>
              <w:top w:val="single" w:color="000000" w:sz="4" w:space="0"/>
              <w:left w:val="single" w:color="000000" w:sz="12" w:space="0"/>
              <w:right w:val="single" w:color="000000" w:sz="4" w:space="0"/>
            </w:tcBorders>
            <w:vAlign w:val="center"/>
          </w:tcPr>
          <w:p w14:paraId="2F9A20C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环境空气</w:t>
            </w:r>
          </w:p>
        </w:tc>
        <w:tc>
          <w:tcPr>
            <w:tcW w:w="4571" w:type="pct"/>
            <w:gridSpan w:val="8"/>
            <w:tcBorders>
              <w:top w:val="single" w:color="000000" w:sz="4" w:space="0"/>
              <w:left w:val="single" w:color="000000" w:sz="4" w:space="0"/>
              <w:bottom w:val="single" w:color="000000" w:sz="4" w:space="0"/>
              <w:right w:val="single" w:color="000000" w:sz="12" w:space="0"/>
            </w:tcBorders>
            <w:vAlign w:val="center"/>
          </w:tcPr>
          <w:p w14:paraId="46E94BD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厂址周边5km范围内</w:t>
            </w:r>
          </w:p>
        </w:tc>
      </w:tr>
      <w:tr w14:paraId="333F24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continue"/>
            <w:tcBorders>
              <w:left w:val="single" w:color="000000" w:sz="12" w:space="0"/>
              <w:right w:val="single" w:color="000000" w:sz="4" w:space="0"/>
            </w:tcBorders>
            <w:vAlign w:val="center"/>
          </w:tcPr>
          <w:p w14:paraId="2A8D2A67">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04A08C7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294" w:type="pct"/>
            <w:tcBorders>
              <w:top w:val="single" w:color="000000" w:sz="4" w:space="0"/>
              <w:left w:val="single" w:color="000000" w:sz="4" w:space="0"/>
              <w:bottom w:val="single" w:color="000000" w:sz="4" w:space="0"/>
              <w:right w:val="single" w:color="000000" w:sz="4" w:space="0"/>
            </w:tcBorders>
            <w:vAlign w:val="center"/>
          </w:tcPr>
          <w:p w14:paraId="1E39329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敏感目标名称</w:t>
            </w:r>
          </w:p>
        </w:tc>
        <w:tc>
          <w:tcPr>
            <w:tcW w:w="843" w:type="pct"/>
            <w:tcBorders>
              <w:top w:val="single" w:color="000000" w:sz="4" w:space="0"/>
              <w:left w:val="single" w:color="000000" w:sz="4" w:space="0"/>
              <w:bottom w:val="single" w:color="000000" w:sz="4" w:space="0"/>
              <w:right w:val="single" w:color="000000" w:sz="4" w:space="0"/>
            </w:tcBorders>
            <w:vAlign w:val="center"/>
          </w:tcPr>
          <w:p w14:paraId="13563BF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相对方位</w:t>
            </w:r>
          </w:p>
        </w:tc>
        <w:tc>
          <w:tcPr>
            <w:tcW w:w="445" w:type="pct"/>
            <w:gridSpan w:val="2"/>
            <w:tcBorders>
              <w:top w:val="single" w:color="000000" w:sz="4" w:space="0"/>
              <w:left w:val="single" w:color="000000" w:sz="4" w:space="0"/>
              <w:bottom w:val="single" w:color="000000" w:sz="4" w:space="0"/>
              <w:right w:val="single" w:color="000000" w:sz="4" w:space="0"/>
            </w:tcBorders>
            <w:vAlign w:val="center"/>
          </w:tcPr>
          <w:p w14:paraId="6E46872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距离/m</w:t>
            </w:r>
          </w:p>
        </w:tc>
        <w:tc>
          <w:tcPr>
            <w:tcW w:w="410" w:type="pct"/>
            <w:tcBorders>
              <w:top w:val="single" w:color="000000" w:sz="4" w:space="0"/>
              <w:left w:val="single" w:color="000000" w:sz="4" w:space="0"/>
              <w:bottom w:val="single" w:color="000000" w:sz="4" w:space="0"/>
              <w:right w:val="single" w:color="000000" w:sz="4" w:space="0"/>
            </w:tcBorders>
            <w:vAlign w:val="center"/>
          </w:tcPr>
          <w:p w14:paraId="22BB037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属性</w:t>
            </w:r>
          </w:p>
        </w:tc>
        <w:tc>
          <w:tcPr>
            <w:tcW w:w="1166" w:type="pct"/>
            <w:gridSpan w:val="2"/>
            <w:tcBorders>
              <w:top w:val="single" w:color="000000" w:sz="4" w:space="0"/>
              <w:left w:val="single" w:color="000000" w:sz="4" w:space="0"/>
              <w:bottom w:val="single" w:color="000000" w:sz="4" w:space="0"/>
              <w:right w:val="single" w:color="000000" w:sz="12" w:space="0"/>
            </w:tcBorders>
            <w:vAlign w:val="center"/>
          </w:tcPr>
          <w:p w14:paraId="7B8187A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人口数</w:t>
            </w:r>
          </w:p>
        </w:tc>
      </w:tr>
      <w:tr w14:paraId="0C9718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continue"/>
            <w:tcBorders>
              <w:left w:val="single" w:color="000000" w:sz="12" w:space="0"/>
              <w:right w:val="single" w:color="000000" w:sz="4" w:space="0"/>
            </w:tcBorders>
            <w:vAlign w:val="center"/>
          </w:tcPr>
          <w:p w14:paraId="185630A2">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3D9475A4">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p>
        </w:tc>
        <w:tc>
          <w:tcPr>
            <w:tcW w:w="1294" w:type="pct"/>
            <w:tcBorders>
              <w:top w:val="single" w:color="000000" w:sz="4" w:space="0"/>
              <w:left w:val="single" w:color="000000" w:sz="4" w:space="0"/>
              <w:bottom w:val="single" w:color="000000" w:sz="4" w:space="0"/>
              <w:right w:val="single" w:color="000000" w:sz="4" w:space="0"/>
            </w:tcBorders>
          </w:tcPr>
          <w:p w14:paraId="0371F6AA">
            <w:pPr>
              <w:adjustRightInd w:val="0"/>
              <w:snapToGrid w:val="0"/>
              <w:spacing w:line="240" w:lineRule="auto"/>
              <w:ind w:firstLine="0" w:firstLineChars="0"/>
              <w:jc w:val="center"/>
              <w:textAlignment w:val="auto"/>
              <w:rPr>
                <w:rFonts w:cs="Times New Roman"/>
                <w:sz w:val="21"/>
                <w:szCs w:val="21"/>
              </w:rPr>
            </w:pPr>
            <w:r>
              <w:rPr>
                <w:color w:val="000000" w:themeColor="text1"/>
                <w:sz w:val="21"/>
                <w:szCs w:val="21"/>
                <w14:textFill>
                  <w14:solidFill>
                    <w14:schemeClr w14:val="tx1"/>
                  </w14:solidFill>
                </w14:textFill>
              </w:rPr>
              <w:t>/</w:t>
            </w:r>
          </w:p>
        </w:tc>
        <w:tc>
          <w:tcPr>
            <w:tcW w:w="843" w:type="pct"/>
            <w:tcBorders>
              <w:top w:val="single" w:color="000000" w:sz="4" w:space="0"/>
              <w:left w:val="single" w:color="000000" w:sz="4" w:space="0"/>
              <w:bottom w:val="single" w:color="000000" w:sz="4" w:space="0"/>
              <w:right w:val="single" w:color="000000" w:sz="4" w:space="0"/>
            </w:tcBorders>
          </w:tcPr>
          <w:p w14:paraId="46108251">
            <w:pPr>
              <w:adjustRightInd w:val="0"/>
              <w:snapToGrid w:val="0"/>
              <w:spacing w:line="240" w:lineRule="auto"/>
              <w:ind w:firstLine="0" w:firstLineChars="0"/>
              <w:jc w:val="center"/>
              <w:textAlignment w:val="auto"/>
              <w:rPr>
                <w:rFonts w:cs="Times New Roman"/>
                <w:sz w:val="21"/>
                <w:szCs w:val="21"/>
              </w:rPr>
            </w:pPr>
            <w:r>
              <w:rPr>
                <w:color w:val="000000" w:themeColor="text1"/>
                <w:sz w:val="21"/>
                <w:szCs w:val="21"/>
                <w14:textFill>
                  <w14:solidFill>
                    <w14:schemeClr w14:val="tx1"/>
                  </w14:solidFill>
                </w14:textFill>
              </w:rPr>
              <w:t>/</w:t>
            </w:r>
          </w:p>
        </w:tc>
        <w:tc>
          <w:tcPr>
            <w:tcW w:w="445" w:type="pct"/>
            <w:gridSpan w:val="2"/>
            <w:tcBorders>
              <w:top w:val="single" w:color="000000" w:sz="4" w:space="0"/>
              <w:left w:val="single" w:color="000000" w:sz="4" w:space="0"/>
              <w:bottom w:val="single" w:color="000000" w:sz="4" w:space="0"/>
              <w:right w:val="single" w:color="000000" w:sz="4" w:space="0"/>
            </w:tcBorders>
          </w:tcPr>
          <w:p w14:paraId="02643DDD">
            <w:pPr>
              <w:adjustRightInd w:val="0"/>
              <w:snapToGrid w:val="0"/>
              <w:spacing w:line="240" w:lineRule="auto"/>
              <w:ind w:firstLine="0" w:firstLineChars="0"/>
              <w:jc w:val="center"/>
              <w:textAlignment w:val="auto"/>
              <w:rPr>
                <w:rFonts w:cs="Times New Roman"/>
                <w:sz w:val="21"/>
                <w:szCs w:val="21"/>
              </w:rPr>
            </w:pPr>
            <w:r>
              <w:rPr>
                <w:color w:val="000000" w:themeColor="text1"/>
                <w:sz w:val="21"/>
                <w:szCs w:val="21"/>
                <w14:textFill>
                  <w14:solidFill>
                    <w14:schemeClr w14:val="tx1"/>
                  </w14:solidFill>
                </w14:textFill>
              </w:rPr>
              <w:t>/</w:t>
            </w:r>
          </w:p>
        </w:tc>
        <w:tc>
          <w:tcPr>
            <w:tcW w:w="410" w:type="pct"/>
            <w:tcBorders>
              <w:top w:val="single" w:color="000000" w:sz="4" w:space="0"/>
              <w:left w:val="single" w:color="000000" w:sz="4" w:space="0"/>
              <w:bottom w:val="single" w:color="000000" w:sz="4" w:space="0"/>
              <w:right w:val="single" w:color="000000" w:sz="4" w:space="0"/>
            </w:tcBorders>
          </w:tcPr>
          <w:p w14:paraId="5AA5F1FE">
            <w:pPr>
              <w:adjustRightInd w:val="0"/>
              <w:snapToGrid w:val="0"/>
              <w:spacing w:line="240" w:lineRule="auto"/>
              <w:ind w:firstLine="0" w:firstLineChars="0"/>
              <w:jc w:val="center"/>
              <w:textAlignment w:val="auto"/>
              <w:rPr>
                <w:rFonts w:cs="Times New Roman"/>
                <w:sz w:val="21"/>
                <w:szCs w:val="21"/>
              </w:rPr>
            </w:pPr>
            <w:r>
              <w:rPr>
                <w:color w:val="000000" w:themeColor="text1"/>
                <w:sz w:val="21"/>
                <w:szCs w:val="21"/>
                <w14:textFill>
                  <w14:solidFill>
                    <w14:schemeClr w14:val="tx1"/>
                  </w14:solidFill>
                </w14:textFill>
              </w:rPr>
              <w:t>/</w:t>
            </w:r>
          </w:p>
        </w:tc>
        <w:tc>
          <w:tcPr>
            <w:tcW w:w="1166" w:type="pct"/>
            <w:gridSpan w:val="2"/>
            <w:tcBorders>
              <w:top w:val="single" w:color="000000" w:sz="4" w:space="0"/>
              <w:left w:val="single" w:color="000000" w:sz="4" w:space="0"/>
              <w:bottom w:val="single" w:color="000000" w:sz="4" w:space="0"/>
              <w:right w:val="single" w:color="000000" w:sz="12" w:space="0"/>
            </w:tcBorders>
          </w:tcPr>
          <w:p w14:paraId="2B418BA6">
            <w:pPr>
              <w:adjustRightInd w:val="0"/>
              <w:snapToGrid w:val="0"/>
              <w:spacing w:line="240" w:lineRule="auto"/>
              <w:ind w:firstLine="0" w:firstLineChars="0"/>
              <w:jc w:val="center"/>
              <w:textAlignment w:val="auto"/>
              <w:rPr>
                <w:rFonts w:cs="Times New Roman"/>
                <w:sz w:val="21"/>
                <w:szCs w:val="21"/>
              </w:rPr>
            </w:pPr>
            <w:r>
              <w:rPr>
                <w:color w:val="000000" w:themeColor="text1"/>
                <w:sz w:val="21"/>
                <w:szCs w:val="21"/>
                <w14:textFill>
                  <w14:solidFill>
                    <w14:schemeClr w14:val="tx1"/>
                  </w14:solidFill>
                </w14:textFill>
              </w:rPr>
              <w:t>/</w:t>
            </w:r>
          </w:p>
        </w:tc>
      </w:tr>
      <w:tr w14:paraId="3F7C69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continue"/>
            <w:tcBorders>
              <w:left w:val="single" w:color="000000" w:sz="12" w:space="0"/>
              <w:right w:val="single" w:color="000000" w:sz="4" w:space="0"/>
            </w:tcBorders>
            <w:vAlign w:val="center"/>
          </w:tcPr>
          <w:p w14:paraId="1B9E49FC">
            <w:pPr>
              <w:adjustRightInd w:val="0"/>
              <w:snapToGrid w:val="0"/>
              <w:spacing w:line="240" w:lineRule="auto"/>
              <w:ind w:firstLine="0" w:firstLineChars="0"/>
              <w:jc w:val="center"/>
              <w:textAlignment w:val="auto"/>
              <w:rPr>
                <w:rFonts w:cs="Times New Roman"/>
                <w:sz w:val="21"/>
                <w:szCs w:val="21"/>
              </w:rPr>
            </w:pPr>
          </w:p>
        </w:tc>
        <w:tc>
          <w:tcPr>
            <w:tcW w:w="3405" w:type="pct"/>
            <w:gridSpan w:val="6"/>
            <w:tcBorders>
              <w:top w:val="single" w:color="000000" w:sz="4" w:space="0"/>
              <w:left w:val="single" w:color="000000" w:sz="4" w:space="0"/>
              <w:bottom w:val="single" w:color="000000" w:sz="4" w:space="0"/>
              <w:right w:val="single" w:color="000000" w:sz="4" w:space="0"/>
            </w:tcBorders>
            <w:vAlign w:val="center"/>
          </w:tcPr>
          <w:p w14:paraId="22890B2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厂址周边500m范围内人口数小计</w:t>
            </w:r>
          </w:p>
        </w:tc>
        <w:tc>
          <w:tcPr>
            <w:tcW w:w="1166" w:type="pct"/>
            <w:gridSpan w:val="2"/>
            <w:tcBorders>
              <w:top w:val="single" w:color="000000" w:sz="4" w:space="0"/>
              <w:left w:val="single" w:color="000000" w:sz="4" w:space="0"/>
              <w:bottom w:val="single" w:color="000000" w:sz="4" w:space="0"/>
              <w:right w:val="single" w:color="000000" w:sz="12" w:space="0"/>
            </w:tcBorders>
            <w:vAlign w:val="center"/>
          </w:tcPr>
          <w:p w14:paraId="7E7DE9B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50</w:t>
            </w:r>
          </w:p>
        </w:tc>
      </w:tr>
      <w:tr w14:paraId="30C274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continue"/>
            <w:tcBorders>
              <w:left w:val="single" w:color="000000" w:sz="12" w:space="0"/>
              <w:right w:val="single" w:color="000000" w:sz="4" w:space="0"/>
            </w:tcBorders>
            <w:vAlign w:val="center"/>
          </w:tcPr>
          <w:p w14:paraId="22E820C1">
            <w:pPr>
              <w:adjustRightInd w:val="0"/>
              <w:snapToGrid w:val="0"/>
              <w:spacing w:line="240" w:lineRule="auto"/>
              <w:ind w:firstLine="0" w:firstLineChars="0"/>
              <w:jc w:val="center"/>
              <w:textAlignment w:val="auto"/>
              <w:rPr>
                <w:rFonts w:cs="Times New Roman"/>
                <w:sz w:val="21"/>
                <w:szCs w:val="21"/>
              </w:rPr>
            </w:pPr>
          </w:p>
        </w:tc>
        <w:tc>
          <w:tcPr>
            <w:tcW w:w="3405" w:type="pct"/>
            <w:gridSpan w:val="6"/>
            <w:tcBorders>
              <w:top w:val="single" w:color="000000" w:sz="4" w:space="0"/>
              <w:left w:val="single" w:color="000000" w:sz="4" w:space="0"/>
              <w:bottom w:val="single" w:color="000000" w:sz="4" w:space="0"/>
              <w:right w:val="single" w:color="000000" w:sz="4" w:space="0"/>
            </w:tcBorders>
            <w:vAlign w:val="center"/>
          </w:tcPr>
          <w:p w14:paraId="3E3D4A01">
            <w:pPr>
              <w:adjustRightInd w:val="0"/>
              <w:snapToGrid w:val="0"/>
              <w:spacing w:line="240" w:lineRule="auto"/>
              <w:ind w:firstLine="0" w:firstLineChars="0"/>
              <w:jc w:val="center"/>
              <w:textAlignment w:val="auto"/>
              <w:rPr>
                <w:rFonts w:cs="Times New Roman"/>
                <w:sz w:val="21"/>
                <w:szCs w:val="21"/>
              </w:rPr>
            </w:pPr>
            <w:r>
              <w:rPr>
                <w:rFonts w:hint="eastAsia"/>
                <w:sz w:val="21"/>
                <w:szCs w:val="21"/>
              </w:rPr>
              <w:t>厂址周边5km范围内人口数小计</w:t>
            </w:r>
          </w:p>
        </w:tc>
        <w:tc>
          <w:tcPr>
            <w:tcW w:w="1166" w:type="pct"/>
            <w:gridSpan w:val="2"/>
            <w:tcBorders>
              <w:top w:val="single" w:color="000000" w:sz="4" w:space="0"/>
              <w:left w:val="single" w:color="000000" w:sz="4" w:space="0"/>
              <w:bottom w:val="single" w:color="000000" w:sz="4" w:space="0"/>
              <w:right w:val="single" w:color="000000" w:sz="12" w:space="0"/>
            </w:tcBorders>
            <w:vAlign w:val="center"/>
          </w:tcPr>
          <w:p w14:paraId="504CE38D">
            <w:pPr>
              <w:adjustRightInd w:val="0"/>
              <w:snapToGrid w:val="0"/>
              <w:spacing w:line="240" w:lineRule="auto"/>
              <w:ind w:firstLine="0" w:firstLineChars="0"/>
              <w:jc w:val="center"/>
              <w:textAlignment w:val="auto"/>
              <w:rPr>
                <w:rFonts w:cs="Times New Roman"/>
                <w:sz w:val="21"/>
                <w:szCs w:val="21"/>
              </w:rPr>
            </w:pPr>
            <w:r>
              <w:rPr>
                <w:sz w:val="21"/>
                <w:szCs w:val="21"/>
              </w:rPr>
              <w:t>200</w:t>
            </w:r>
          </w:p>
        </w:tc>
      </w:tr>
      <w:tr w14:paraId="353043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blHeader/>
        </w:trPr>
        <w:tc>
          <w:tcPr>
            <w:tcW w:w="429" w:type="pct"/>
            <w:vMerge w:val="continue"/>
            <w:tcBorders>
              <w:left w:val="single" w:color="000000" w:sz="12" w:space="0"/>
              <w:bottom w:val="single" w:color="000000" w:sz="4" w:space="0"/>
              <w:right w:val="single" w:color="000000" w:sz="4" w:space="0"/>
            </w:tcBorders>
            <w:vAlign w:val="center"/>
          </w:tcPr>
          <w:p w14:paraId="2EF1FDBC">
            <w:pPr>
              <w:adjustRightInd w:val="0"/>
              <w:snapToGrid w:val="0"/>
              <w:spacing w:line="240" w:lineRule="auto"/>
              <w:ind w:firstLine="0" w:firstLineChars="0"/>
              <w:jc w:val="center"/>
              <w:textAlignment w:val="auto"/>
              <w:rPr>
                <w:rFonts w:cs="Times New Roman"/>
                <w:sz w:val="21"/>
                <w:szCs w:val="21"/>
              </w:rPr>
            </w:pPr>
          </w:p>
        </w:tc>
        <w:tc>
          <w:tcPr>
            <w:tcW w:w="3405" w:type="pct"/>
            <w:gridSpan w:val="6"/>
            <w:tcBorders>
              <w:top w:val="single" w:color="000000" w:sz="4" w:space="0"/>
              <w:left w:val="single" w:color="000000" w:sz="4" w:space="0"/>
              <w:bottom w:val="single" w:color="000000" w:sz="4" w:space="0"/>
              <w:right w:val="single" w:color="000000" w:sz="4" w:space="0"/>
            </w:tcBorders>
            <w:vAlign w:val="center"/>
          </w:tcPr>
          <w:p w14:paraId="149FEA4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大气环境敏感程度E值</w:t>
            </w:r>
          </w:p>
        </w:tc>
        <w:tc>
          <w:tcPr>
            <w:tcW w:w="1166" w:type="pct"/>
            <w:gridSpan w:val="2"/>
            <w:tcBorders>
              <w:top w:val="single" w:color="000000" w:sz="4" w:space="0"/>
              <w:left w:val="single" w:color="000000" w:sz="4" w:space="0"/>
              <w:bottom w:val="single" w:color="000000" w:sz="4" w:space="0"/>
              <w:right w:val="single" w:color="000000" w:sz="12" w:space="0"/>
            </w:tcBorders>
            <w:vAlign w:val="center"/>
          </w:tcPr>
          <w:p w14:paraId="55EB0BC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E3</w:t>
            </w:r>
          </w:p>
        </w:tc>
      </w:tr>
      <w:tr w14:paraId="73DD0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restart"/>
            <w:tcBorders>
              <w:top w:val="single" w:color="000000" w:sz="4" w:space="0"/>
              <w:left w:val="single" w:color="000000" w:sz="12" w:space="0"/>
              <w:bottom w:val="single" w:color="000000" w:sz="4" w:space="0"/>
              <w:right w:val="single" w:color="000000" w:sz="4" w:space="0"/>
            </w:tcBorders>
            <w:vAlign w:val="center"/>
          </w:tcPr>
          <w:p w14:paraId="1798E21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w:t>
            </w:r>
          </w:p>
        </w:tc>
        <w:tc>
          <w:tcPr>
            <w:tcW w:w="4571" w:type="pct"/>
            <w:gridSpan w:val="8"/>
            <w:tcBorders>
              <w:top w:val="single" w:color="000000" w:sz="4" w:space="0"/>
              <w:left w:val="single" w:color="000000" w:sz="4" w:space="0"/>
              <w:bottom w:val="single" w:color="000000" w:sz="4" w:space="0"/>
              <w:right w:val="single" w:color="000000" w:sz="12" w:space="0"/>
            </w:tcBorders>
            <w:vAlign w:val="center"/>
          </w:tcPr>
          <w:p w14:paraId="5F26F04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受纳水体</w:t>
            </w:r>
          </w:p>
        </w:tc>
      </w:tr>
      <w:tr w14:paraId="2F2215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02A808A1">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035FB04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294" w:type="pct"/>
            <w:tcBorders>
              <w:top w:val="single" w:color="000000" w:sz="4" w:space="0"/>
              <w:left w:val="single" w:color="000000" w:sz="4" w:space="0"/>
              <w:bottom w:val="single" w:color="000000" w:sz="4" w:space="0"/>
              <w:right w:val="single" w:color="000000" w:sz="4" w:space="0"/>
            </w:tcBorders>
            <w:vAlign w:val="center"/>
          </w:tcPr>
          <w:p w14:paraId="08FA589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受纳水体名称</w:t>
            </w:r>
          </w:p>
        </w:tc>
        <w:tc>
          <w:tcPr>
            <w:tcW w:w="1288" w:type="pct"/>
            <w:gridSpan w:val="3"/>
            <w:tcBorders>
              <w:top w:val="single" w:color="000000" w:sz="4" w:space="0"/>
              <w:left w:val="single" w:color="000000" w:sz="4" w:space="0"/>
              <w:bottom w:val="single" w:color="000000" w:sz="4" w:space="0"/>
              <w:right w:val="single" w:color="000000" w:sz="4" w:space="0"/>
            </w:tcBorders>
            <w:vAlign w:val="center"/>
          </w:tcPr>
          <w:p w14:paraId="07250CD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排放点水域环境功能</w:t>
            </w:r>
          </w:p>
        </w:tc>
        <w:tc>
          <w:tcPr>
            <w:tcW w:w="1576" w:type="pct"/>
            <w:gridSpan w:val="3"/>
            <w:tcBorders>
              <w:top w:val="single" w:color="000000" w:sz="4" w:space="0"/>
              <w:left w:val="single" w:color="000000" w:sz="4" w:space="0"/>
              <w:bottom w:val="single" w:color="000000" w:sz="4" w:space="0"/>
              <w:right w:val="single" w:color="000000" w:sz="12" w:space="0"/>
            </w:tcBorders>
            <w:vAlign w:val="center"/>
          </w:tcPr>
          <w:p w14:paraId="336B1C1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24h内流经范围/km</w:t>
            </w:r>
          </w:p>
        </w:tc>
      </w:tr>
      <w:tr w14:paraId="627332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49B23B80">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55A1829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1294" w:type="pct"/>
            <w:tcBorders>
              <w:top w:val="single" w:color="000000" w:sz="4" w:space="0"/>
              <w:left w:val="single" w:color="000000" w:sz="4" w:space="0"/>
              <w:bottom w:val="single" w:color="000000" w:sz="4" w:space="0"/>
              <w:right w:val="single" w:color="000000" w:sz="4" w:space="0"/>
            </w:tcBorders>
            <w:vAlign w:val="center"/>
          </w:tcPr>
          <w:p w14:paraId="301CB2C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无</w:t>
            </w:r>
          </w:p>
        </w:tc>
        <w:tc>
          <w:tcPr>
            <w:tcW w:w="1288" w:type="pct"/>
            <w:gridSpan w:val="3"/>
            <w:tcBorders>
              <w:top w:val="single" w:color="000000" w:sz="4" w:space="0"/>
              <w:left w:val="single" w:color="000000" w:sz="4" w:space="0"/>
              <w:bottom w:val="single" w:color="000000" w:sz="4" w:space="0"/>
              <w:right w:val="single" w:color="000000" w:sz="4" w:space="0"/>
            </w:tcBorders>
            <w:vAlign w:val="center"/>
          </w:tcPr>
          <w:p w14:paraId="58034BC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1576" w:type="pct"/>
            <w:gridSpan w:val="3"/>
            <w:tcBorders>
              <w:top w:val="single" w:color="000000" w:sz="4" w:space="0"/>
              <w:left w:val="single" w:color="000000" w:sz="4" w:space="0"/>
              <w:bottom w:val="single" w:color="000000" w:sz="4" w:space="0"/>
              <w:right w:val="single" w:color="000000" w:sz="12" w:space="0"/>
            </w:tcBorders>
            <w:vAlign w:val="center"/>
          </w:tcPr>
          <w:p w14:paraId="117F79E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r>
      <w:tr w14:paraId="71AF99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786B3E48">
            <w:pPr>
              <w:adjustRightInd w:val="0"/>
              <w:snapToGrid w:val="0"/>
              <w:spacing w:line="240" w:lineRule="auto"/>
              <w:ind w:firstLine="0" w:firstLineChars="0"/>
              <w:jc w:val="center"/>
              <w:textAlignment w:val="auto"/>
              <w:rPr>
                <w:rFonts w:cs="Times New Roman"/>
                <w:sz w:val="21"/>
                <w:szCs w:val="21"/>
              </w:rPr>
            </w:pPr>
          </w:p>
        </w:tc>
        <w:tc>
          <w:tcPr>
            <w:tcW w:w="4571" w:type="pct"/>
            <w:gridSpan w:val="8"/>
            <w:tcBorders>
              <w:top w:val="single" w:color="000000" w:sz="4" w:space="0"/>
              <w:left w:val="single" w:color="000000" w:sz="4" w:space="0"/>
              <w:bottom w:val="single" w:color="000000" w:sz="4" w:space="0"/>
              <w:right w:val="single" w:color="000000" w:sz="12" w:space="0"/>
            </w:tcBorders>
            <w:vAlign w:val="center"/>
          </w:tcPr>
          <w:p w14:paraId="4541358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内陆水体排放点下游10km（近岸海域一个潮周期最大水平距离两倍）范围内敏感目标</w:t>
            </w:r>
          </w:p>
        </w:tc>
      </w:tr>
      <w:tr w14:paraId="6BAF16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789F5C1E">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149DEEB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294" w:type="pct"/>
            <w:tcBorders>
              <w:top w:val="single" w:color="000000" w:sz="4" w:space="0"/>
              <w:left w:val="single" w:color="000000" w:sz="4" w:space="0"/>
              <w:bottom w:val="single" w:color="000000" w:sz="4" w:space="0"/>
              <w:right w:val="single" w:color="000000" w:sz="4" w:space="0"/>
            </w:tcBorders>
            <w:vAlign w:val="center"/>
          </w:tcPr>
          <w:p w14:paraId="09DB0FF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敏感目标名称</w:t>
            </w:r>
          </w:p>
        </w:tc>
        <w:tc>
          <w:tcPr>
            <w:tcW w:w="858" w:type="pct"/>
            <w:gridSpan w:val="2"/>
            <w:tcBorders>
              <w:top w:val="single" w:color="000000" w:sz="4" w:space="0"/>
              <w:left w:val="single" w:color="000000" w:sz="4" w:space="0"/>
              <w:bottom w:val="single" w:color="000000" w:sz="4" w:space="0"/>
              <w:right w:val="single" w:color="000000" w:sz="4" w:space="0"/>
            </w:tcBorders>
            <w:vAlign w:val="center"/>
          </w:tcPr>
          <w:p w14:paraId="340110E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环境敏感特征</w:t>
            </w:r>
          </w:p>
        </w:tc>
        <w:tc>
          <w:tcPr>
            <w:tcW w:w="884" w:type="pct"/>
            <w:gridSpan w:val="3"/>
            <w:tcBorders>
              <w:top w:val="single" w:color="000000" w:sz="4" w:space="0"/>
              <w:left w:val="single" w:color="000000" w:sz="4" w:space="0"/>
              <w:bottom w:val="single" w:color="000000" w:sz="4" w:space="0"/>
              <w:right w:val="single" w:color="000000" w:sz="4" w:space="0"/>
            </w:tcBorders>
            <w:vAlign w:val="center"/>
          </w:tcPr>
          <w:p w14:paraId="27F296B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水质目标</w:t>
            </w:r>
          </w:p>
        </w:tc>
        <w:tc>
          <w:tcPr>
            <w:tcW w:w="1121" w:type="pct"/>
            <w:tcBorders>
              <w:top w:val="single" w:color="000000" w:sz="4" w:space="0"/>
              <w:left w:val="single" w:color="000000" w:sz="4" w:space="0"/>
              <w:bottom w:val="single" w:color="000000" w:sz="4" w:space="0"/>
              <w:right w:val="single" w:color="000000" w:sz="12" w:space="0"/>
            </w:tcBorders>
            <w:vAlign w:val="center"/>
          </w:tcPr>
          <w:p w14:paraId="208D66D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与排放点距离/m</w:t>
            </w:r>
          </w:p>
        </w:tc>
      </w:tr>
      <w:tr w14:paraId="569CF1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3710681B">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0B76A92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1294" w:type="pct"/>
            <w:tcBorders>
              <w:top w:val="single" w:color="000000" w:sz="4" w:space="0"/>
              <w:left w:val="single" w:color="000000" w:sz="4" w:space="0"/>
              <w:bottom w:val="single" w:color="000000" w:sz="4" w:space="0"/>
              <w:right w:val="single" w:color="000000" w:sz="4" w:space="0"/>
            </w:tcBorders>
            <w:vAlign w:val="center"/>
          </w:tcPr>
          <w:p w14:paraId="624412B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无</w:t>
            </w:r>
          </w:p>
        </w:tc>
        <w:tc>
          <w:tcPr>
            <w:tcW w:w="858" w:type="pct"/>
            <w:gridSpan w:val="2"/>
            <w:tcBorders>
              <w:top w:val="single" w:color="000000" w:sz="4" w:space="0"/>
              <w:left w:val="single" w:color="000000" w:sz="4" w:space="0"/>
              <w:bottom w:val="single" w:color="000000" w:sz="4" w:space="0"/>
              <w:right w:val="single" w:color="000000" w:sz="4" w:space="0"/>
            </w:tcBorders>
            <w:vAlign w:val="center"/>
          </w:tcPr>
          <w:p w14:paraId="688FA0C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884" w:type="pct"/>
            <w:gridSpan w:val="3"/>
            <w:tcBorders>
              <w:top w:val="single" w:color="000000" w:sz="4" w:space="0"/>
              <w:left w:val="single" w:color="000000" w:sz="4" w:space="0"/>
              <w:bottom w:val="single" w:color="000000" w:sz="4" w:space="0"/>
              <w:right w:val="single" w:color="000000" w:sz="4" w:space="0"/>
            </w:tcBorders>
            <w:vAlign w:val="center"/>
          </w:tcPr>
          <w:p w14:paraId="691783A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1121" w:type="pct"/>
            <w:tcBorders>
              <w:top w:val="single" w:color="000000" w:sz="4" w:space="0"/>
              <w:left w:val="single" w:color="000000" w:sz="4" w:space="0"/>
              <w:bottom w:val="single" w:color="000000" w:sz="4" w:space="0"/>
              <w:right w:val="single" w:color="000000" w:sz="12" w:space="0"/>
            </w:tcBorders>
            <w:vAlign w:val="center"/>
          </w:tcPr>
          <w:p w14:paraId="4623631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r>
      <w:tr w14:paraId="7F49C2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5DE1D430">
            <w:pPr>
              <w:adjustRightInd w:val="0"/>
              <w:snapToGrid w:val="0"/>
              <w:spacing w:line="240" w:lineRule="auto"/>
              <w:ind w:firstLine="0" w:firstLineChars="0"/>
              <w:jc w:val="center"/>
              <w:textAlignment w:val="auto"/>
              <w:rPr>
                <w:rFonts w:cs="Times New Roman"/>
                <w:sz w:val="21"/>
                <w:szCs w:val="21"/>
              </w:rPr>
            </w:pPr>
          </w:p>
        </w:tc>
        <w:tc>
          <w:tcPr>
            <w:tcW w:w="3450" w:type="pct"/>
            <w:gridSpan w:val="7"/>
            <w:tcBorders>
              <w:top w:val="single" w:color="000000" w:sz="4" w:space="0"/>
              <w:left w:val="single" w:color="000000" w:sz="4" w:space="0"/>
              <w:bottom w:val="single" w:color="000000" w:sz="4" w:space="0"/>
              <w:right w:val="single" w:color="000000" w:sz="4" w:space="0"/>
            </w:tcBorders>
            <w:vAlign w:val="center"/>
          </w:tcPr>
          <w:p w14:paraId="3B961EA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地表水环境敏感程度 E 值</w:t>
            </w:r>
          </w:p>
        </w:tc>
        <w:tc>
          <w:tcPr>
            <w:tcW w:w="1121" w:type="pct"/>
            <w:tcBorders>
              <w:top w:val="single" w:color="000000" w:sz="4" w:space="0"/>
              <w:left w:val="single" w:color="000000" w:sz="4" w:space="0"/>
              <w:bottom w:val="single" w:color="000000" w:sz="4" w:space="0"/>
              <w:right w:val="single" w:color="000000" w:sz="12" w:space="0"/>
            </w:tcBorders>
            <w:vAlign w:val="center"/>
          </w:tcPr>
          <w:p w14:paraId="09222DF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E3</w:t>
            </w:r>
          </w:p>
        </w:tc>
      </w:tr>
      <w:tr w14:paraId="4C97CE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restart"/>
            <w:tcBorders>
              <w:top w:val="single" w:color="000000" w:sz="4" w:space="0"/>
              <w:left w:val="single" w:color="000000" w:sz="12" w:space="0"/>
              <w:bottom w:val="single" w:color="000000" w:sz="4" w:space="0"/>
              <w:right w:val="single" w:color="000000" w:sz="4" w:space="0"/>
            </w:tcBorders>
            <w:vAlign w:val="center"/>
          </w:tcPr>
          <w:p w14:paraId="4BAC398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w:t>
            </w:r>
          </w:p>
        </w:tc>
        <w:tc>
          <w:tcPr>
            <w:tcW w:w="413" w:type="pct"/>
            <w:tcBorders>
              <w:top w:val="single" w:color="000000" w:sz="4" w:space="0"/>
              <w:left w:val="single" w:color="000000" w:sz="4" w:space="0"/>
              <w:bottom w:val="single" w:color="000000" w:sz="4" w:space="0"/>
              <w:right w:val="single" w:color="000000" w:sz="4" w:space="0"/>
            </w:tcBorders>
            <w:vAlign w:val="center"/>
          </w:tcPr>
          <w:p w14:paraId="2928CF6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294" w:type="pct"/>
            <w:tcBorders>
              <w:top w:val="single" w:color="000000" w:sz="4" w:space="0"/>
              <w:left w:val="single" w:color="000000" w:sz="4" w:space="0"/>
              <w:bottom w:val="single" w:color="000000" w:sz="4" w:space="0"/>
              <w:right w:val="single" w:color="000000" w:sz="4" w:space="0"/>
            </w:tcBorders>
            <w:vAlign w:val="center"/>
          </w:tcPr>
          <w:p w14:paraId="1DA8B16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敏感区名称</w:t>
            </w:r>
          </w:p>
        </w:tc>
        <w:tc>
          <w:tcPr>
            <w:tcW w:w="843" w:type="pct"/>
            <w:tcBorders>
              <w:top w:val="single" w:color="000000" w:sz="4" w:space="0"/>
              <w:left w:val="single" w:color="000000" w:sz="4" w:space="0"/>
              <w:bottom w:val="single" w:color="000000" w:sz="4" w:space="0"/>
              <w:right w:val="single" w:color="000000" w:sz="4" w:space="0"/>
            </w:tcBorders>
            <w:vAlign w:val="center"/>
          </w:tcPr>
          <w:p w14:paraId="6BAB7FB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环境敏感特征</w:t>
            </w:r>
          </w:p>
        </w:tc>
        <w:tc>
          <w:tcPr>
            <w:tcW w:w="445" w:type="pct"/>
            <w:gridSpan w:val="2"/>
            <w:tcBorders>
              <w:top w:val="single" w:color="000000" w:sz="4" w:space="0"/>
              <w:left w:val="single" w:color="000000" w:sz="4" w:space="0"/>
              <w:bottom w:val="single" w:color="000000" w:sz="4" w:space="0"/>
              <w:right w:val="single" w:color="000000" w:sz="4" w:space="0"/>
            </w:tcBorders>
            <w:vAlign w:val="center"/>
          </w:tcPr>
          <w:p w14:paraId="2D5020A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水质目标</w:t>
            </w:r>
          </w:p>
        </w:tc>
        <w:tc>
          <w:tcPr>
            <w:tcW w:w="455" w:type="pct"/>
            <w:gridSpan w:val="2"/>
            <w:tcBorders>
              <w:top w:val="single" w:color="000000" w:sz="4" w:space="0"/>
              <w:left w:val="single" w:color="000000" w:sz="4" w:space="0"/>
              <w:bottom w:val="single" w:color="000000" w:sz="4" w:space="0"/>
              <w:right w:val="single" w:color="000000" w:sz="4" w:space="0"/>
            </w:tcBorders>
            <w:vAlign w:val="center"/>
          </w:tcPr>
          <w:p w14:paraId="7602242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包气带防污性能</w:t>
            </w:r>
          </w:p>
        </w:tc>
        <w:tc>
          <w:tcPr>
            <w:tcW w:w="1121" w:type="pct"/>
            <w:tcBorders>
              <w:top w:val="single" w:color="000000" w:sz="4" w:space="0"/>
              <w:left w:val="single" w:color="000000" w:sz="4" w:space="0"/>
              <w:bottom w:val="single" w:color="000000" w:sz="4" w:space="0"/>
              <w:right w:val="single" w:color="000000" w:sz="12" w:space="0"/>
            </w:tcBorders>
            <w:vAlign w:val="center"/>
          </w:tcPr>
          <w:p w14:paraId="4B31B27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与下游厂界距离/m</w:t>
            </w:r>
          </w:p>
        </w:tc>
      </w:tr>
      <w:tr w14:paraId="593F81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76D248B8">
            <w:pPr>
              <w:adjustRightInd w:val="0"/>
              <w:snapToGrid w:val="0"/>
              <w:spacing w:line="240" w:lineRule="auto"/>
              <w:ind w:firstLine="0" w:firstLineChars="0"/>
              <w:jc w:val="center"/>
              <w:textAlignment w:val="auto"/>
              <w:rPr>
                <w:rFonts w:cs="Times New Roman"/>
                <w:sz w:val="21"/>
                <w:szCs w:val="21"/>
              </w:rPr>
            </w:pPr>
          </w:p>
        </w:tc>
        <w:tc>
          <w:tcPr>
            <w:tcW w:w="413" w:type="pct"/>
            <w:tcBorders>
              <w:top w:val="single" w:color="000000" w:sz="4" w:space="0"/>
              <w:left w:val="single" w:color="000000" w:sz="4" w:space="0"/>
              <w:bottom w:val="single" w:color="000000" w:sz="4" w:space="0"/>
              <w:right w:val="single" w:color="000000" w:sz="4" w:space="0"/>
            </w:tcBorders>
            <w:vAlign w:val="center"/>
          </w:tcPr>
          <w:p w14:paraId="7C3CB87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1294" w:type="pct"/>
            <w:tcBorders>
              <w:top w:val="single" w:color="000000" w:sz="4" w:space="0"/>
              <w:left w:val="single" w:color="000000" w:sz="4" w:space="0"/>
              <w:bottom w:val="single" w:color="000000" w:sz="4" w:space="0"/>
              <w:right w:val="single" w:color="000000" w:sz="4" w:space="0"/>
            </w:tcBorders>
            <w:vAlign w:val="center"/>
          </w:tcPr>
          <w:p w14:paraId="407ED18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无</w:t>
            </w:r>
          </w:p>
        </w:tc>
        <w:tc>
          <w:tcPr>
            <w:tcW w:w="843" w:type="pct"/>
            <w:tcBorders>
              <w:top w:val="single" w:color="000000" w:sz="4" w:space="0"/>
              <w:left w:val="single" w:color="000000" w:sz="4" w:space="0"/>
              <w:bottom w:val="single" w:color="000000" w:sz="4" w:space="0"/>
              <w:right w:val="single" w:color="000000" w:sz="4" w:space="0"/>
            </w:tcBorders>
            <w:vAlign w:val="center"/>
          </w:tcPr>
          <w:p w14:paraId="5C3814F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445" w:type="pct"/>
            <w:gridSpan w:val="2"/>
            <w:tcBorders>
              <w:top w:val="single" w:color="000000" w:sz="4" w:space="0"/>
              <w:left w:val="single" w:color="000000" w:sz="4" w:space="0"/>
              <w:bottom w:val="single" w:color="000000" w:sz="4" w:space="0"/>
              <w:right w:val="single" w:color="000000" w:sz="4" w:space="0"/>
            </w:tcBorders>
            <w:vAlign w:val="center"/>
          </w:tcPr>
          <w:p w14:paraId="6E88E5B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455" w:type="pct"/>
            <w:gridSpan w:val="2"/>
            <w:tcBorders>
              <w:top w:val="single" w:color="000000" w:sz="4" w:space="0"/>
              <w:left w:val="single" w:color="000000" w:sz="4" w:space="0"/>
              <w:bottom w:val="single" w:color="000000" w:sz="4" w:space="0"/>
              <w:right w:val="single" w:color="000000" w:sz="4" w:space="0"/>
            </w:tcBorders>
            <w:vAlign w:val="center"/>
          </w:tcPr>
          <w:p w14:paraId="14E0F70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1121" w:type="pct"/>
            <w:tcBorders>
              <w:top w:val="single" w:color="000000" w:sz="4" w:space="0"/>
              <w:left w:val="single" w:color="000000" w:sz="4" w:space="0"/>
              <w:bottom w:val="single" w:color="000000" w:sz="4" w:space="0"/>
              <w:right w:val="single" w:color="000000" w:sz="12" w:space="0"/>
            </w:tcBorders>
            <w:vAlign w:val="center"/>
          </w:tcPr>
          <w:p w14:paraId="157233F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r>
      <w:tr w14:paraId="6A0589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429" w:type="pct"/>
            <w:vMerge w:val="continue"/>
            <w:tcBorders>
              <w:top w:val="single" w:color="000000" w:sz="4" w:space="0"/>
              <w:left w:val="single" w:color="000000" w:sz="12" w:space="0"/>
              <w:bottom w:val="single" w:color="000000" w:sz="4" w:space="0"/>
              <w:right w:val="single" w:color="000000" w:sz="4" w:space="0"/>
            </w:tcBorders>
            <w:vAlign w:val="center"/>
          </w:tcPr>
          <w:p w14:paraId="7450AEF4">
            <w:pPr>
              <w:adjustRightInd w:val="0"/>
              <w:snapToGrid w:val="0"/>
              <w:spacing w:line="240" w:lineRule="auto"/>
              <w:ind w:firstLine="0" w:firstLineChars="0"/>
              <w:jc w:val="center"/>
              <w:textAlignment w:val="auto"/>
              <w:rPr>
                <w:rFonts w:cs="Times New Roman"/>
                <w:sz w:val="21"/>
                <w:szCs w:val="21"/>
              </w:rPr>
            </w:pPr>
          </w:p>
        </w:tc>
        <w:tc>
          <w:tcPr>
            <w:tcW w:w="3450" w:type="pct"/>
            <w:gridSpan w:val="7"/>
            <w:tcBorders>
              <w:top w:val="single" w:color="000000" w:sz="4" w:space="0"/>
              <w:left w:val="single" w:color="000000" w:sz="4" w:space="0"/>
              <w:bottom w:val="single" w:color="000000" w:sz="4" w:space="0"/>
              <w:right w:val="single" w:color="000000" w:sz="4" w:space="0"/>
            </w:tcBorders>
            <w:vAlign w:val="center"/>
          </w:tcPr>
          <w:p w14:paraId="5654BF2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地下水环境敏感程度 E 值</w:t>
            </w:r>
          </w:p>
        </w:tc>
        <w:tc>
          <w:tcPr>
            <w:tcW w:w="1121" w:type="pct"/>
            <w:tcBorders>
              <w:top w:val="single" w:color="000000" w:sz="4" w:space="0"/>
              <w:left w:val="single" w:color="000000" w:sz="4" w:space="0"/>
              <w:bottom w:val="single" w:color="000000" w:sz="4" w:space="0"/>
              <w:right w:val="single" w:color="000000" w:sz="12" w:space="0"/>
            </w:tcBorders>
            <w:vAlign w:val="center"/>
          </w:tcPr>
          <w:p w14:paraId="0C350B7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E2</w:t>
            </w:r>
          </w:p>
        </w:tc>
      </w:tr>
      <w:tr w14:paraId="6989BF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994" w:type="pct"/>
            <w:gridSpan w:val="5"/>
            <w:vMerge w:val="restart"/>
            <w:tcBorders>
              <w:top w:val="single" w:color="000000" w:sz="4" w:space="0"/>
              <w:left w:val="single" w:color="000000" w:sz="12" w:space="0"/>
              <w:bottom w:val="single" w:color="000000" w:sz="4" w:space="0"/>
              <w:right w:val="single" w:color="000000" w:sz="4" w:space="0"/>
            </w:tcBorders>
            <w:vAlign w:val="center"/>
          </w:tcPr>
          <w:p w14:paraId="718198E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项目环境敏感程度</w:t>
            </w:r>
          </w:p>
        </w:tc>
        <w:tc>
          <w:tcPr>
            <w:tcW w:w="2006" w:type="pct"/>
            <w:gridSpan w:val="4"/>
            <w:tcBorders>
              <w:top w:val="single" w:color="000000" w:sz="4" w:space="0"/>
              <w:left w:val="single" w:color="000000" w:sz="4" w:space="0"/>
              <w:bottom w:val="single" w:color="000000" w:sz="4" w:space="0"/>
              <w:right w:val="single" w:color="000000" w:sz="12" w:space="0"/>
            </w:tcBorders>
            <w:vAlign w:val="center"/>
          </w:tcPr>
          <w:p w14:paraId="13D4E60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项目危险物质及工艺系统危险性P</w:t>
            </w:r>
          </w:p>
        </w:tc>
      </w:tr>
      <w:tr w14:paraId="3CD99D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994" w:type="pct"/>
            <w:gridSpan w:val="5"/>
            <w:vMerge w:val="continue"/>
            <w:tcBorders>
              <w:top w:val="single" w:color="000000" w:sz="4" w:space="0"/>
              <w:left w:val="single" w:color="000000" w:sz="12" w:space="0"/>
              <w:bottom w:val="single" w:color="000000" w:sz="4" w:space="0"/>
              <w:right w:val="single" w:color="000000" w:sz="4" w:space="0"/>
            </w:tcBorders>
            <w:vAlign w:val="center"/>
          </w:tcPr>
          <w:p w14:paraId="6488A36E">
            <w:pPr>
              <w:adjustRightInd w:val="0"/>
              <w:snapToGrid w:val="0"/>
              <w:spacing w:line="240" w:lineRule="auto"/>
              <w:ind w:firstLine="0" w:firstLineChars="0"/>
              <w:jc w:val="center"/>
              <w:textAlignment w:val="auto"/>
              <w:rPr>
                <w:rFonts w:cs="Times New Roman"/>
                <w:sz w:val="21"/>
                <w:szCs w:val="21"/>
              </w:rPr>
            </w:pPr>
          </w:p>
        </w:tc>
        <w:tc>
          <w:tcPr>
            <w:tcW w:w="2006" w:type="pct"/>
            <w:gridSpan w:val="4"/>
            <w:tcBorders>
              <w:top w:val="single" w:color="000000" w:sz="4" w:space="0"/>
              <w:left w:val="single" w:color="000000" w:sz="4" w:space="0"/>
              <w:bottom w:val="single" w:color="000000" w:sz="4" w:space="0"/>
              <w:right w:val="single" w:color="000000" w:sz="12" w:space="0"/>
            </w:tcBorders>
            <w:vAlign w:val="center"/>
          </w:tcPr>
          <w:p w14:paraId="68F2920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P</w:t>
            </w:r>
            <w:r>
              <w:rPr>
                <w:rFonts w:hint="eastAsia" w:cs="Times New Roman"/>
                <w:sz w:val="21"/>
                <w:szCs w:val="21"/>
              </w:rPr>
              <w:t>4</w:t>
            </w:r>
          </w:p>
        </w:tc>
      </w:tr>
      <w:tr w14:paraId="6D1AA0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994" w:type="pct"/>
            <w:gridSpan w:val="5"/>
            <w:tcBorders>
              <w:top w:val="single" w:color="000000" w:sz="4" w:space="0"/>
              <w:left w:val="single" w:color="000000" w:sz="12" w:space="0"/>
              <w:bottom w:val="single" w:color="000000" w:sz="4" w:space="0"/>
              <w:right w:val="single" w:color="000000" w:sz="4" w:space="0"/>
            </w:tcBorders>
            <w:vAlign w:val="center"/>
          </w:tcPr>
          <w:p w14:paraId="036C672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大气环境低度敏感度区（E3）</w:t>
            </w:r>
          </w:p>
        </w:tc>
        <w:tc>
          <w:tcPr>
            <w:tcW w:w="2006" w:type="pct"/>
            <w:gridSpan w:val="4"/>
            <w:tcBorders>
              <w:top w:val="single" w:color="000000" w:sz="4" w:space="0"/>
              <w:left w:val="single" w:color="000000" w:sz="4" w:space="0"/>
              <w:bottom w:val="single" w:color="000000" w:sz="4" w:space="0"/>
              <w:right w:val="single" w:color="000000" w:sz="12" w:space="0"/>
            </w:tcBorders>
            <w:vAlign w:val="center"/>
          </w:tcPr>
          <w:p w14:paraId="70BF11CC">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I</w:t>
            </w:r>
          </w:p>
        </w:tc>
      </w:tr>
      <w:tr w14:paraId="61CB43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994" w:type="pct"/>
            <w:gridSpan w:val="5"/>
            <w:tcBorders>
              <w:top w:val="single" w:color="000000" w:sz="4" w:space="0"/>
              <w:left w:val="single" w:color="000000" w:sz="12" w:space="0"/>
              <w:bottom w:val="single" w:color="000000" w:sz="4" w:space="0"/>
              <w:right w:val="single" w:color="000000" w:sz="4" w:space="0"/>
            </w:tcBorders>
            <w:vAlign w:val="center"/>
          </w:tcPr>
          <w:p w14:paraId="7DED9D4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地表水环境低度敏感度区（E3）</w:t>
            </w:r>
          </w:p>
        </w:tc>
        <w:tc>
          <w:tcPr>
            <w:tcW w:w="2006" w:type="pct"/>
            <w:gridSpan w:val="4"/>
            <w:tcBorders>
              <w:top w:val="single" w:color="000000" w:sz="4" w:space="0"/>
              <w:left w:val="single" w:color="000000" w:sz="4" w:space="0"/>
              <w:bottom w:val="single" w:color="000000" w:sz="4" w:space="0"/>
              <w:right w:val="single" w:color="000000" w:sz="12" w:space="0"/>
            </w:tcBorders>
            <w:vAlign w:val="center"/>
          </w:tcPr>
          <w:p w14:paraId="1FB79B3D">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I</w:t>
            </w:r>
          </w:p>
        </w:tc>
      </w:tr>
      <w:tr w14:paraId="7F5B8F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994" w:type="pct"/>
            <w:gridSpan w:val="5"/>
            <w:tcBorders>
              <w:top w:val="single" w:color="000000" w:sz="4" w:space="0"/>
              <w:left w:val="single" w:color="000000" w:sz="12" w:space="0"/>
              <w:bottom w:val="single" w:color="000000" w:sz="12" w:space="0"/>
              <w:right w:val="single" w:color="000000" w:sz="4" w:space="0"/>
            </w:tcBorders>
            <w:vAlign w:val="center"/>
          </w:tcPr>
          <w:p w14:paraId="319B265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地下水环境</w:t>
            </w:r>
            <w:r>
              <w:rPr>
                <w:rFonts w:hint="eastAsia" w:cs="Times New Roman"/>
                <w:sz w:val="21"/>
                <w:szCs w:val="21"/>
              </w:rPr>
              <w:t>中</w:t>
            </w:r>
            <w:r>
              <w:rPr>
                <w:rFonts w:cs="Times New Roman"/>
                <w:sz w:val="21"/>
                <w:szCs w:val="21"/>
              </w:rPr>
              <w:t>度敏感度区（E</w:t>
            </w:r>
            <w:r>
              <w:rPr>
                <w:rFonts w:hint="eastAsia" w:cs="Times New Roman"/>
                <w:sz w:val="21"/>
                <w:szCs w:val="21"/>
              </w:rPr>
              <w:t>2</w:t>
            </w:r>
            <w:r>
              <w:rPr>
                <w:rFonts w:cs="Times New Roman"/>
                <w:sz w:val="21"/>
                <w:szCs w:val="21"/>
              </w:rPr>
              <w:t>）</w:t>
            </w:r>
          </w:p>
        </w:tc>
        <w:tc>
          <w:tcPr>
            <w:tcW w:w="2006" w:type="pct"/>
            <w:gridSpan w:val="4"/>
            <w:tcBorders>
              <w:top w:val="single" w:color="000000" w:sz="4" w:space="0"/>
              <w:left w:val="single" w:color="000000" w:sz="4" w:space="0"/>
              <w:bottom w:val="single" w:color="000000" w:sz="12" w:space="0"/>
              <w:right w:val="single" w:color="000000" w:sz="12" w:space="0"/>
            </w:tcBorders>
            <w:vAlign w:val="center"/>
          </w:tcPr>
          <w:p w14:paraId="2819C30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I</w:t>
            </w:r>
            <w:r>
              <w:rPr>
                <w:rFonts w:hint="eastAsia" w:cs="Times New Roman"/>
                <w:sz w:val="21"/>
                <w:szCs w:val="21"/>
              </w:rPr>
              <w:t>I</w:t>
            </w:r>
          </w:p>
        </w:tc>
      </w:tr>
    </w:tbl>
    <w:p w14:paraId="76A0D94A">
      <w:pPr>
        <w:adjustRightInd w:val="0"/>
        <w:snapToGrid w:val="0"/>
        <w:ind w:firstLine="480"/>
        <w:jc w:val="left"/>
        <w:rPr>
          <w:bCs/>
          <w:kern w:val="0"/>
          <w:szCs w:val="26"/>
        </w:rPr>
      </w:pPr>
      <w:r>
        <w:rPr>
          <w:rFonts w:hint="eastAsia"/>
          <w:bCs/>
          <w:kern w:val="0"/>
          <w:szCs w:val="26"/>
        </w:rPr>
        <w:t>根据上表，本项目大气、地表水、地下水环境风险潜势分别为I级、I级和II级。</w:t>
      </w:r>
    </w:p>
    <w:p w14:paraId="7AAD0FCF">
      <w:pPr>
        <w:pStyle w:val="3"/>
        <w:rPr>
          <w:color w:val="000000" w:themeColor="text1"/>
          <w14:textFill>
            <w14:solidFill>
              <w14:schemeClr w14:val="tx1"/>
            </w14:solidFill>
          </w14:textFill>
        </w:rPr>
      </w:pPr>
      <w:bookmarkStart w:id="47" w:name="_Toc2662"/>
      <w:r>
        <w:rPr>
          <w:color w:val="000000" w:themeColor="text1"/>
          <w14:textFill>
            <w14:solidFill>
              <w14:schemeClr w14:val="tx1"/>
            </w14:solidFill>
          </w14:textFill>
        </w:rPr>
        <w:t>1.6评价等级及评价范围</w:t>
      </w:r>
      <w:bookmarkEnd w:id="47"/>
    </w:p>
    <w:p w14:paraId="5C447FD1">
      <w:pPr>
        <w:pStyle w:val="4"/>
        <w:rPr>
          <w:color w:val="000000" w:themeColor="text1"/>
          <w14:textFill>
            <w14:solidFill>
              <w14:schemeClr w14:val="tx1"/>
            </w14:solidFill>
          </w14:textFill>
        </w:rPr>
      </w:pPr>
      <w:r>
        <w:rPr>
          <w:color w:val="000000" w:themeColor="text1"/>
          <w14:textFill>
            <w14:solidFill>
              <w14:schemeClr w14:val="tx1"/>
            </w14:solidFill>
          </w14:textFill>
        </w:rPr>
        <w:t>1.6.1评价等级</w:t>
      </w:r>
    </w:p>
    <w:p w14:paraId="4AE86C70">
      <w:pPr>
        <w:spacing w:line="520" w:lineRule="exact"/>
        <w:ind w:firstLine="472"/>
        <w:rPr>
          <w:rFonts w:cs="Times New Roman"/>
          <w:color w:val="000000"/>
          <w:spacing w:val="-2"/>
        </w:rPr>
      </w:pPr>
      <w:r>
        <w:rPr>
          <w:rFonts w:cs="Times New Roman"/>
          <w:color w:val="000000"/>
          <w:spacing w:val="-2"/>
        </w:rPr>
        <w:t>根据《建设项目环境风险评价技术导则》（HJ169-2018）规定：“环境风险评价工作是依据建设项目涉及的物质及工艺系统危险性和所在地的环境敏感性确定环境风险潜势进行分级，环境影响评价工作等级划分为一级、二级、三级”，其具体分级判据见表1-14。</w:t>
      </w:r>
    </w:p>
    <w:p w14:paraId="2BF2202B">
      <w:pPr>
        <w:spacing w:before="163" w:beforeLines="50" w:line="240" w:lineRule="auto"/>
        <w:ind w:firstLine="480" w:firstLineChars="0"/>
        <w:jc w:val="center"/>
        <w:textAlignment w:val="auto"/>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1-14</w:t>
      </w:r>
      <w:r>
        <w:rPr>
          <w:rFonts w:hint="eastAsia"/>
          <w:b/>
          <w:color w:val="000000" w:themeColor="text1"/>
          <w:sz w:val="21"/>
          <w14:textFill>
            <w14:solidFill>
              <w14:schemeClr w14:val="tx1"/>
            </w14:solidFill>
          </w14:textFill>
        </w:rPr>
        <w:t xml:space="preserve">  评价工作等级划分</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28" w:type="dxa"/>
          <w:bottom w:w="0" w:type="dxa"/>
          <w:right w:w="28" w:type="dxa"/>
        </w:tblCellMar>
      </w:tblPr>
      <w:tblGrid>
        <w:gridCol w:w="1646"/>
        <w:gridCol w:w="1628"/>
        <w:gridCol w:w="1882"/>
        <w:gridCol w:w="2292"/>
        <w:gridCol w:w="1678"/>
      </w:tblGrid>
      <w:tr w14:paraId="56AAAD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02" w:type="pct"/>
            <w:vAlign w:val="center"/>
          </w:tcPr>
          <w:p w14:paraId="02C8D848">
            <w:pPr>
              <w:pStyle w:val="32"/>
              <w:rPr>
                <w:snapToGrid w:val="0"/>
                <w:szCs w:val="24"/>
              </w:rPr>
            </w:pPr>
            <w:r>
              <w:rPr>
                <w:rFonts w:hint="eastAsia"/>
                <w:snapToGrid w:val="0"/>
                <w:szCs w:val="24"/>
              </w:rPr>
              <w:t>环境风险潜势</w:t>
            </w:r>
          </w:p>
        </w:tc>
        <w:tc>
          <w:tcPr>
            <w:tcW w:w="892" w:type="pct"/>
            <w:vAlign w:val="center"/>
          </w:tcPr>
          <w:p w14:paraId="6E1E00A5">
            <w:pPr>
              <w:pStyle w:val="32"/>
              <w:rPr>
                <w:snapToGrid w:val="0"/>
                <w:szCs w:val="24"/>
              </w:rPr>
            </w:pPr>
            <w:r>
              <w:rPr>
                <w:snapToGrid w:val="0"/>
                <w:szCs w:val="24"/>
              </w:rPr>
              <w:t>Ⅳ+</w:t>
            </w:r>
            <w:r>
              <w:rPr>
                <w:rFonts w:hint="eastAsia"/>
                <w:snapToGrid w:val="0"/>
                <w:szCs w:val="24"/>
              </w:rPr>
              <w:t>、</w:t>
            </w:r>
            <w:r>
              <w:rPr>
                <w:snapToGrid w:val="0"/>
                <w:szCs w:val="24"/>
              </w:rPr>
              <w:t>Ⅳ</w:t>
            </w:r>
          </w:p>
        </w:tc>
        <w:tc>
          <w:tcPr>
            <w:tcW w:w="1031" w:type="pct"/>
            <w:vAlign w:val="center"/>
          </w:tcPr>
          <w:p w14:paraId="100BA685">
            <w:pPr>
              <w:pStyle w:val="32"/>
              <w:rPr>
                <w:snapToGrid w:val="0"/>
                <w:szCs w:val="24"/>
              </w:rPr>
            </w:pPr>
            <w:r>
              <w:rPr>
                <w:snapToGrid w:val="0"/>
                <w:szCs w:val="24"/>
              </w:rPr>
              <w:t>Ⅲ</w:t>
            </w:r>
          </w:p>
        </w:tc>
        <w:tc>
          <w:tcPr>
            <w:tcW w:w="1256" w:type="pct"/>
            <w:shd w:val="clear" w:color="auto" w:fill="FFFFFF" w:themeFill="background1"/>
            <w:vAlign w:val="center"/>
          </w:tcPr>
          <w:p w14:paraId="29FFE800">
            <w:pPr>
              <w:pStyle w:val="32"/>
              <w:rPr>
                <w:snapToGrid w:val="0"/>
                <w:szCs w:val="24"/>
              </w:rPr>
            </w:pPr>
            <w:r>
              <w:rPr>
                <w:snapToGrid w:val="0"/>
                <w:szCs w:val="24"/>
              </w:rPr>
              <w:t>Ⅱ</w:t>
            </w:r>
          </w:p>
        </w:tc>
        <w:tc>
          <w:tcPr>
            <w:tcW w:w="919" w:type="pct"/>
            <w:shd w:val="clear" w:color="auto" w:fill="FFFFFF" w:themeFill="background1"/>
            <w:vAlign w:val="center"/>
          </w:tcPr>
          <w:p w14:paraId="59741DDE">
            <w:pPr>
              <w:pStyle w:val="32"/>
              <w:rPr>
                <w:snapToGrid w:val="0"/>
                <w:szCs w:val="24"/>
              </w:rPr>
            </w:pPr>
            <w:r>
              <w:rPr>
                <w:snapToGrid w:val="0"/>
                <w:szCs w:val="24"/>
              </w:rPr>
              <w:t>Ⅰ</w:t>
            </w:r>
          </w:p>
        </w:tc>
      </w:tr>
      <w:tr w14:paraId="5A75D0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02" w:type="pct"/>
            <w:vAlign w:val="center"/>
          </w:tcPr>
          <w:p w14:paraId="6CD3ED7A">
            <w:pPr>
              <w:pStyle w:val="32"/>
              <w:rPr>
                <w:snapToGrid w:val="0"/>
                <w:szCs w:val="24"/>
              </w:rPr>
            </w:pPr>
            <w:r>
              <w:rPr>
                <w:rFonts w:hint="eastAsia"/>
                <w:snapToGrid w:val="0"/>
                <w:szCs w:val="24"/>
              </w:rPr>
              <w:t>评价工作等级</w:t>
            </w:r>
          </w:p>
        </w:tc>
        <w:tc>
          <w:tcPr>
            <w:tcW w:w="892" w:type="pct"/>
            <w:vAlign w:val="center"/>
          </w:tcPr>
          <w:p w14:paraId="194A420E">
            <w:pPr>
              <w:pStyle w:val="32"/>
              <w:rPr>
                <w:snapToGrid w:val="0"/>
                <w:szCs w:val="24"/>
              </w:rPr>
            </w:pPr>
            <w:r>
              <w:rPr>
                <w:rFonts w:hint="eastAsia"/>
                <w:snapToGrid w:val="0"/>
                <w:szCs w:val="24"/>
              </w:rPr>
              <w:t>一</w:t>
            </w:r>
          </w:p>
        </w:tc>
        <w:tc>
          <w:tcPr>
            <w:tcW w:w="1031" w:type="pct"/>
            <w:vAlign w:val="center"/>
          </w:tcPr>
          <w:p w14:paraId="50D4D9BE">
            <w:pPr>
              <w:pStyle w:val="32"/>
              <w:rPr>
                <w:snapToGrid w:val="0"/>
                <w:szCs w:val="24"/>
              </w:rPr>
            </w:pPr>
            <w:r>
              <w:rPr>
                <w:rFonts w:hint="eastAsia"/>
                <w:snapToGrid w:val="0"/>
                <w:szCs w:val="24"/>
              </w:rPr>
              <w:t>二</w:t>
            </w:r>
          </w:p>
        </w:tc>
        <w:tc>
          <w:tcPr>
            <w:tcW w:w="1256" w:type="pct"/>
            <w:shd w:val="clear" w:color="auto" w:fill="FFFFFF" w:themeFill="background1"/>
            <w:vAlign w:val="center"/>
          </w:tcPr>
          <w:p w14:paraId="10B232E1">
            <w:pPr>
              <w:pStyle w:val="32"/>
              <w:rPr>
                <w:snapToGrid w:val="0"/>
                <w:szCs w:val="24"/>
              </w:rPr>
            </w:pPr>
            <w:r>
              <w:rPr>
                <w:rFonts w:hint="eastAsia"/>
                <w:snapToGrid w:val="0"/>
                <w:szCs w:val="24"/>
              </w:rPr>
              <w:t>三</w:t>
            </w:r>
          </w:p>
        </w:tc>
        <w:tc>
          <w:tcPr>
            <w:tcW w:w="919" w:type="pct"/>
            <w:shd w:val="clear" w:color="auto" w:fill="FFFFFF" w:themeFill="background1"/>
            <w:vAlign w:val="center"/>
          </w:tcPr>
          <w:p w14:paraId="1F56A7F3">
            <w:pPr>
              <w:pStyle w:val="32"/>
              <w:rPr>
                <w:snapToGrid w:val="0"/>
                <w:szCs w:val="24"/>
              </w:rPr>
            </w:pPr>
            <w:r>
              <w:rPr>
                <w:rFonts w:hint="eastAsia"/>
                <w:snapToGrid w:val="0"/>
                <w:szCs w:val="24"/>
              </w:rPr>
              <w:t>简单分析</w:t>
            </w:r>
            <w:r>
              <w:rPr>
                <w:snapToGrid w:val="0"/>
                <w:szCs w:val="24"/>
              </w:rPr>
              <w:t>a</w:t>
            </w:r>
          </w:p>
        </w:tc>
      </w:tr>
      <w:tr w14:paraId="604C70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5000" w:type="pct"/>
            <w:gridSpan w:val="5"/>
            <w:vAlign w:val="center"/>
          </w:tcPr>
          <w:p w14:paraId="74C5B8B8">
            <w:pPr>
              <w:pStyle w:val="32"/>
              <w:jc w:val="both"/>
              <w:rPr>
                <w:snapToGrid w:val="0"/>
                <w:szCs w:val="24"/>
              </w:rPr>
            </w:pPr>
            <w:r>
              <w:rPr>
                <w:snapToGrid w:val="0"/>
                <w:szCs w:val="24"/>
              </w:rPr>
              <w:t>a</w:t>
            </w:r>
            <w:r>
              <w:rPr>
                <w:rFonts w:hint="eastAsia"/>
                <w:snapToGrid w:val="0"/>
                <w:szCs w:val="24"/>
              </w:rPr>
              <w:t>是相对于详细评价工作内容而言，在描述危险物质、环境影响途径、环境危害后果、风险防范措施等方面给出定性的说明。见附录</w:t>
            </w:r>
            <w:r>
              <w:rPr>
                <w:snapToGrid w:val="0"/>
                <w:szCs w:val="24"/>
              </w:rPr>
              <w:t>A.</w:t>
            </w:r>
          </w:p>
        </w:tc>
      </w:tr>
    </w:tbl>
    <w:p w14:paraId="43A56635">
      <w:pPr>
        <w:ind w:firstLine="480"/>
      </w:pPr>
      <w:r>
        <w:rPr>
          <w:rFonts w:hint="eastAsia"/>
        </w:rPr>
        <w:t>由上表可知，本项目环境风险潜势综合等级取各要素等级的相对高值，即三级，其中大气环境风险评价工作等级为简单分析，地表水环境风险评价工作等级为简单分析，地下水环境风险评价工作等级为三级。</w:t>
      </w:r>
    </w:p>
    <w:p w14:paraId="62D45F32">
      <w:pPr>
        <w:pStyle w:val="4"/>
      </w:pPr>
      <w:r>
        <w:rPr>
          <w:rFonts w:hint="eastAsia"/>
        </w:rPr>
        <w:t>1</w:t>
      </w:r>
      <w:r>
        <w:t>.6.2</w:t>
      </w:r>
      <w:r>
        <w:rPr>
          <w:rFonts w:hint="eastAsia"/>
        </w:rPr>
        <w:t>环境风险评价范围</w:t>
      </w:r>
    </w:p>
    <w:p w14:paraId="301E282E">
      <w:pPr>
        <w:adjustRightInd w:val="0"/>
        <w:snapToGrid w:val="0"/>
        <w:ind w:firstLine="480"/>
        <w:jc w:val="left"/>
        <w:rPr>
          <w:bCs/>
          <w:kern w:val="0"/>
          <w:szCs w:val="26"/>
        </w:rPr>
      </w:pPr>
      <w:r>
        <w:rPr>
          <w:rFonts w:hint="eastAsia"/>
          <w:bCs/>
          <w:kern w:val="0"/>
          <w:szCs w:val="26"/>
        </w:rPr>
        <w:t>根据《建设项目环境风险评价技术导则》（HJ169-2018）中“4.5评价范围”可知，本项目各环境要素环境风险评价范围如下。</w:t>
      </w:r>
    </w:p>
    <w:p w14:paraId="49989E40">
      <w:pPr>
        <w:adjustRightInd w:val="0"/>
        <w:snapToGrid w:val="0"/>
        <w:ind w:firstLine="480"/>
        <w:jc w:val="left"/>
        <w:rPr>
          <w:bCs/>
          <w:kern w:val="0"/>
          <w:szCs w:val="26"/>
        </w:rPr>
      </w:pPr>
      <w:r>
        <w:rPr>
          <w:bCs/>
          <w:kern w:val="0"/>
          <w:szCs w:val="26"/>
        </w:rPr>
        <w:t>（1）大气环境风险评价范围</w:t>
      </w:r>
    </w:p>
    <w:p w14:paraId="7EFBC733">
      <w:pPr>
        <w:adjustRightInd w:val="0"/>
        <w:snapToGrid w:val="0"/>
        <w:ind w:firstLine="480"/>
        <w:jc w:val="left"/>
        <w:rPr>
          <w:bCs/>
          <w:kern w:val="0"/>
          <w:szCs w:val="26"/>
        </w:rPr>
      </w:pPr>
      <w:r>
        <w:rPr>
          <w:bCs/>
          <w:kern w:val="0"/>
          <w:szCs w:val="26"/>
        </w:rPr>
        <w:t>以建设项目边界为起点，四周外扩3km。</w:t>
      </w:r>
    </w:p>
    <w:p w14:paraId="1C15FA72">
      <w:pPr>
        <w:adjustRightInd w:val="0"/>
        <w:snapToGrid w:val="0"/>
        <w:ind w:firstLine="480"/>
        <w:jc w:val="left"/>
        <w:rPr>
          <w:bCs/>
          <w:kern w:val="0"/>
          <w:szCs w:val="26"/>
        </w:rPr>
      </w:pPr>
      <w:r>
        <w:rPr>
          <w:bCs/>
          <w:kern w:val="0"/>
          <w:szCs w:val="26"/>
        </w:rPr>
        <w:t>（2）地表水环境风险评价范围</w:t>
      </w:r>
    </w:p>
    <w:p w14:paraId="1235B844">
      <w:pPr>
        <w:adjustRightInd w:val="0"/>
        <w:snapToGrid w:val="0"/>
        <w:ind w:firstLine="480"/>
        <w:jc w:val="left"/>
        <w:rPr>
          <w:bCs/>
          <w:kern w:val="0"/>
          <w:szCs w:val="26"/>
        </w:rPr>
      </w:pPr>
      <w:r>
        <w:rPr>
          <w:bCs/>
          <w:kern w:val="0"/>
          <w:szCs w:val="26"/>
        </w:rPr>
        <w:t>本项目不考虑风险事故</w:t>
      </w:r>
      <w:r>
        <w:rPr>
          <w:rFonts w:hint="eastAsia"/>
          <w:bCs/>
          <w:kern w:val="0"/>
          <w:szCs w:val="26"/>
        </w:rPr>
        <w:t>泄漏</w:t>
      </w:r>
      <w:r>
        <w:rPr>
          <w:bCs/>
          <w:kern w:val="0"/>
          <w:szCs w:val="26"/>
        </w:rPr>
        <w:t>危险物质对地表水体的影响，因此不设地表水环境风险评价范围。</w:t>
      </w:r>
    </w:p>
    <w:p w14:paraId="31EABBCE">
      <w:pPr>
        <w:adjustRightInd w:val="0"/>
        <w:snapToGrid w:val="0"/>
        <w:ind w:firstLine="480"/>
        <w:jc w:val="left"/>
        <w:rPr>
          <w:bCs/>
          <w:kern w:val="0"/>
          <w:szCs w:val="26"/>
        </w:rPr>
      </w:pPr>
      <w:r>
        <w:rPr>
          <w:bCs/>
          <w:kern w:val="0"/>
          <w:szCs w:val="26"/>
        </w:rPr>
        <w:t>（3）地下水环境风险评价范围</w:t>
      </w:r>
    </w:p>
    <w:p w14:paraId="4029A5DC">
      <w:pPr>
        <w:snapToGrid w:val="0"/>
        <w:ind w:firstLine="480"/>
        <w:sectPr>
          <w:pgSz w:w="11906" w:h="16838"/>
          <w:pgMar w:top="1418" w:right="1418" w:bottom="1418" w:left="1418" w:header="851" w:footer="992" w:gutter="0"/>
          <w:cols w:space="425" w:num="1"/>
          <w:docGrid w:type="lines" w:linePitch="326" w:charSpace="0"/>
        </w:sectPr>
      </w:pPr>
      <w:r>
        <w:t>本项目事故状态下有可能污染地下水，根据《建设项目环境风险评价技术导则》（HJ169-2018）地下水环境风险评价等级为</w:t>
      </w:r>
      <w:r>
        <w:rPr>
          <w:rFonts w:hint="eastAsia"/>
        </w:rPr>
        <w:t>三</w:t>
      </w:r>
      <w:r>
        <w:t>级，因为地下水环境影响评价预测情景就是建立在事故预设的基础上，因此评价范围与地下水环境影响评价保持一致，仅对地下水评价结论加以延伸</w:t>
      </w:r>
      <w:r>
        <w:rPr>
          <w:rFonts w:hint="eastAsia" w:cs="Times New Roman"/>
          <w:bCs/>
          <w:color w:val="000000" w:themeColor="text1"/>
          <w:szCs w:val="28"/>
          <w14:textFill>
            <w14:solidFill>
              <w14:schemeClr w14:val="tx1"/>
            </w14:solidFill>
          </w14:textFill>
        </w:rPr>
        <w:t>。</w:t>
      </w:r>
    </w:p>
    <w:p w14:paraId="4B4F6498">
      <w:pPr>
        <w:pStyle w:val="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2.环境风险识别</w:t>
      </w:r>
    </w:p>
    <w:p w14:paraId="3FD3065E">
      <w:pPr>
        <w:ind w:firstLine="480"/>
        <w:textAlignment w:val="auto"/>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风险识别对象包括所涉及物质、生产设施、识别危险物质影响环境的途径。</w:t>
      </w:r>
    </w:p>
    <w:p w14:paraId="1DA81440">
      <w:pPr>
        <w:ind w:firstLine="480"/>
        <w:textAlignment w:val="auto"/>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（1）物质风险识别包括主要原材料及辅助材料、燃料、中间产品、最终产品、“三废”污染物、火灾和爆炸等伴生/次生的危险物质。</w:t>
      </w:r>
    </w:p>
    <w:p w14:paraId="541D9565">
      <w:pPr>
        <w:ind w:firstLine="480"/>
        <w:textAlignment w:val="auto"/>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（2）生产设施风险识别包括主要生产装置、贮运系统、公用工程系统、辅助生产设施及环境保护设施等。</w:t>
      </w:r>
    </w:p>
    <w:p w14:paraId="0DF91BBC">
      <w:pPr>
        <w:ind w:firstLine="480"/>
        <w:textAlignment w:val="auto"/>
        <w:rPr>
          <w:rFonts w:cs="Times New Roman"/>
          <w:color w:val="000000" w:themeColor="text1"/>
          <w:kern w:val="0"/>
          <w14:textFill>
            <w14:solidFill>
              <w14:schemeClr w14:val="tx1"/>
            </w14:solidFill>
          </w14:textFill>
        </w:rPr>
      </w:pPr>
      <w:r>
        <w:rPr>
          <w:rFonts w:cs="Times New Roman"/>
          <w:color w:val="000000" w:themeColor="text1"/>
          <w:kern w:val="0"/>
          <w14:textFill>
            <w14:solidFill>
              <w14:schemeClr w14:val="tx1"/>
            </w14:solidFill>
          </w14:textFill>
        </w:rPr>
        <w:t>（3）危险物质向环境转移的途径识别，包括分析危险物质特性及可能的环境风险类型，识别危险物质影响环境的途径，分析可能影响的环境敏感目标。</w:t>
      </w:r>
    </w:p>
    <w:p w14:paraId="28A9BF2F">
      <w:pPr>
        <w:pStyle w:val="3"/>
        <w:rPr>
          <w:rFonts w:cstheme="minorBidi"/>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物质风险识别</w:t>
      </w:r>
    </w:p>
    <w:p w14:paraId="13183748">
      <w:pPr>
        <w:pStyle w:val="4"/>
      </w:pPr>
      <w:r>
        <w:rPr>
          <w:rFonts w:hint="eastAsia"/>
        </w:rPr>
        <w:t>2</w:t>
      </w:r>
      <w:r>
        <w:t>.1.1</w:t>
      </w:r>
      <w:r>
        <w:rPr>
          <w:rFonts w:hint="eastAsia"/>
        </w:rPr>
        <w:t>危险化学品识别</w:t>
      </w:r>
    </w:p>
    <w:p w14:paraId="230D8A64">
      <w:pPr>
        <w:ind w:firstLine="480"/>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物质识别应包括原辅材料、燃料、副产品、最终产品、污染物、火灾和爆炸伴生/次生物等，本次评价按照《建设项目环境风险评价技术导则》（HJ169-2018）进行识别，确定项目涉及的危险物料统计如下：</w:t>
      </w:r>
    </w:p>
    <w:p w14:paraId="5982F1DF">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项目涉及风险物质一览表</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35"/>
        <w:gridCol w:w="1694"/>
        <w:gridCol w:w="5511"/>
      </w:tblGrid>
      <w:tr w14:paraId="5C338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35" w:type="dxa"/>
            <w:tcBorders>
              <w:tl2br w:val="nil"/>
              <w:tr2bl w:val="nil"/>
            </w:tcBorders>
          </w:tcPr>
          <w:p w14:paraId="0F85E629">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694" w:type="dxa"/>
            <w:tcBorders>
              <w:tl2br w:val="nil"/>
              <w:tr2bl w:val="nil"/>
            </w:tcBorders>
          </w:tcPr>
          <w:p w14:paraId="1EDB66D2">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分类</w:t>
            </w:r>
          </w:p>
        </w:tc>
        <w:tc>
          <w:tcPr>
            <w:tcW w:w="5511" w:type="dxa"/>
            <w:tcBorders>
              <w:tl2br w:val="nil"/>
              <w:tr2bl w:val="nil"/>
            </w:tcBorders>
          </w:tcPr>
          <w:p w14:paraId="62045B68">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风险物质</w:t>
            </w:r>
          </w:p>
        </w:tc>
      </w:tr>
      <w:tr w14:paraId="3844B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35" w:type="dxa"/>
            <w:tcBorders>
              <w:tl2br w:val="nil"/>
              <w:tr2bl w:val="nil"/>
            </w:tcBorders>
          </w:tcPr>
          <w:p w14:paraId="408754A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694" w:type="dxa"/>
            <w:tcBorders>
              <w:tl2br w:val="nil"/>
              <w:tr2bl w:val="nil"/>
            </w:tcBorders>
          </w:tcPr>
          <w:p w14:paraId="22C82779">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p>
        </w:tc>
        <w:tc>
          <w:tcPr>
            <w:tcW w:w="5511" w:type="dxa"/>
            <w:tcBorders>
              <w:tl2br w:val="nil"/>
              <w:tr2bl w:val="nil"/>
            </w:tcBorders>
          </w:tcPr>
          <w:p w14:paraId="739F1064">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丁烷</w:t>
            </w:r>
          </w:p>
        </w:tc>
      </w:tr>
      <w:tr w14:paraId="66B4D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trPr>
        <w:tc>
          <w:tcPr>
            <w:tcW w:w="1835" w:type="dxa"/>
            <w:tcBorders>
              <w:tl2br w:val="nil"/>
              <w:tr2bl w:val="nil"/>
            </w:tcBorders>
          </w:tcPr>
          <w:p w14:paraId="3F64F1D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694" w:type="dxa"/>
            <w:tcBorders>
              <w:tl2br w:val="nil"/>
              <w:tr2bl w:val="nil"/>
            </w:tcBorders>
          </w:tcPr>
          <w:p w14:paraId="1E9D90D5">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p>
        </w:tc>
        <w:tc>
          <w:tcPr>
            <w:tcW w:w="5511" w:type="dxa"/>
            <w:tcBorders>
              <w:tl2br w:val="nil"/>
              <w:tr2bl w:val="nil"/>
            </w:tcBorders>
          </w:tcPr>
          <w:p w14:paraId="1DC9EDCF">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丙烷</w:t>
            </w:r>
          </w:p>
        </w:tc>
      </w:tr>
      <w:tr w14:paraId="00DD6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1835" w:type="dxa"/>
            <w:tcBorders>
              <w:tl2br w:val="nil"/>
              <w:tr2bl w:val="nil"/>
            </w:tcBorders>
          </w:tcPr>
          <w:p w14:paraId="0E6AE339">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694" w:type="dxa"/>
            <w:tcBorders>
              <w:tl2br w:val="nil"/>
              <w:tr2bl w:val="nil"/>
            </w:tcBorders>
          </w:tcPr>
          <w:p w14:paraId="359BB389">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p>
        </w:tc>
        <w:tc>
          <w:tcPr>
            <w:tcW w:w="5511" w:type="dxa"/>
            <w:tcBorders>
              <w:tl2br w:val="nil"/>
              <w:tr2bl w:val="nil"/>
            </w:tcBorders>
          </w:tcPr>
          <w:p w14:paraId="31436098">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乙炔</w:t>
            </w:r>
          </w:p>
        </w:tc>
      </w:tr>
    </w:tbl>
    <w:p w14:paraId="4343FB5B">
      <w:pPr>
        <w:widowControl/>
        <w:spacing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-2</w:t>
      </w:r>
      <w:r>
        <w:rPr>
          <w:rFonts w:hint="eastAsia" w:cs="Times New Roman"/>
          <w:b/>
          <w:kern w:val="0"/>
          <w:sz w:val="21"/>
        </w:rPr>
        <w:t xml:space="preserve">  丙烷理化性质及毒性</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703"/>
        <w:gridCol w:w="321"/>
        <w:gridCol w:w="1742"/>
        <w:gridCol w:w="735"/>
        <w:gridCol w:w="1614"/>
        <w:gridCol w:w="1817"/>
      </w:tblGrid>
      <w:tr w14:paraId="45A13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9" w:type="pct"/>
            <w:vMerge w:val="restart"/>
            <w:vAlign w:val="center"/>
          </w:tcPr>
          <w:p w14:paraId="220E9B0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标识</w:t>
            </w:r>
          </w:p>
        </w:tc>
        <w:tc>
          <w:tcPr>
            <w:tcW w:w="1090" w:type="pct"/>
            <w:gridSpan w:val="2"/>
            <w:vAlign w:val="center"/>
          </w:tcPr>
          <w:p w14:paraId="255EA55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中文名：丙烷</w:t>
            </w:r>
          </w:p>
        </w:tc>
        <w:tc>
          <w:tcPr>
            <w:tcW w:w="1334" w:type="pct"/>
            <w:gridSpan w:val="2"/>
            <w:vAlign w:val="center"/>
          </w:tcPr>
          <w:p w14:paraId="3AF9411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英文名：propane</w:t>
            </w:r>
          </w:p>
        </w:tc>
        <w:tc>
          <w:tcPr>
            <w:tcW w:w="869" w:type="pct"/>
            <w:vMerge w:val="restart"/>
            <w:vAlign w:val="center"/>
          </w:tcPr>
          <w:p w14:paraId="0741C97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分子式：C</w:t>
            </w:r>
            <w:r>
              <w:rPr>
                <w:rFonts w:cs="Times New Roman"/>
                <w:kern w:val="0"/>
                <w:sz w:val="21"/>
                <w:szCs w:val="20"/>
                <w:vertAlign w:val="subscript"/>
              </w:rPr>
              <w:t>3</w:t>
            </w:r>
            <w:r>
              <w:rPr>
                <w:rFonts w:cs="Times New Roman"/>
                <w:kern w:val="0"/>
                <w:sz w:val="21"/>
                <w:szCs w:val="20"/>
              </w:rPr>
              <w:t>H</w:t>
            </w:r>
            <w:r>
              <w:rPr>
                <w:rFonts w:cs="Times New Roman"/>
                <w:kern w:val="0"/>
                <w:sz w:val="21"/>
                <w:szCs w:val="20"/>
                <w:vertAlign w:val="subscript"/>
              </w:rPr>
              <w:t>8</w:t>
            </w:r>
          </w:p>
        </w:tc>
        <w:tc>
          <w:tcPr>
            <w:tcW w:w="978" w:type="pct"/>
            <w:vMerge w:val="restart"/>
            <w:vAlign w:val="center"/>
          </w:tcPr>
          <w:p w14:paraId="01DAE57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分子量：44.10</w:t>
            </w:r>
          </w:p>
        </w:tc>
      </w:tr>
      <w:tr w14:paraId="03F83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542DCEF5">
            <w:pPr>
              <w:widowControl/>
              <w:adjustRightInd w:val="0"/>
              <w:snapToGrid w:val="0"/>
              <w:spacing w:line="240" w:lineRule="auto"/>
              <w:ind w:firstLine="0" w:firstLineChars="0"/>
              <w:jc w:val="center"/>
              <w:textAlignment w:val="auto"/>
              <w:rPr>
                <w:rFonts w:cs="Times New Roman"/>
                <w:kern w:val="0"/>
                <w:sz w:val="21"/>
                <w:szCs w:val="20"/>
              </w:rPr>
            </w:pPr>
          </w:p>
        </w:tc>
        <w:tc>
          <w:tcPr>
            <w:tcW w:w="1090" w:type="pct"/>
            <w:gridSpan w:val="2"/>
            <w:vAlign w:val="center"/>
          </w:tcPr>
          <w:p w14:paraId="7C695C9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CAS号：74-98-6</w:t>
            </w:r>
          </w:p>
        </w:tc>
        <w:tc>
          <w:tcPr>
            <w:tcW w:w="1334" w:type="pct"/>
            <w:gridSpan w:val="2"/>
            <w:vAlign w:val="center"/>
          </w:tcPr>
          <w:p w14:paraId="71116FD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UN编号：1978</w:t>
            </w:r>
          </w:p>
        </w:tc>
        <w:tc>
          <w:tcPr>
            <w:tcW w:w="869" w:type="pct"/>
            <w:vMerge w:val="continue"/>
            <w:vAlign w:val="center"/>
          </w:tcPr>
          <w:p w14:paraId="44FD1986">
            <w:pPr>
              <w:widowControl/>
              <w:adjustRightInd w:val="0"/>
              <w:snapToGrid w:val="0"/>
              <w:spacing w:line="240" w:lineRule="auto"/>
              <w:ind w:firstLine="0" w:firstLineChars="0"/>
              <w:jc w:val="center"/>
              <w:textAlignment w:val="auto"/>
              <w:rPr>
                <w:rFonts w:cs="Times New Roman"/>
                <w:kern w:val="0"/>
                <w:sz w:val="21"/>
                <w:szCs w:val="20"/>
              </w:rPr>
            </w:pPr>
          </w:p>
        </w:tc>
        <w:tc>
          <w:tcPr>
            <w:tcW w:w="978" w:type="pct"/>
            <w:vMerge w:val="continue"/>
            <w:vAlign w:val="center"/>
          </w:tcPr>
          <w:p w14:paraId="3CC8F1FC">
            <w:pPr>
              <w:widowControl/>
              <w:adjustRightInd w:val="0"/>
              <w:snapToGrid w:val="0"/>
              <w:spacing w:line="240" w:lineRule="auto"/>
              <w:ind w:firstLine="0" w:firstLineChars="0"/>
              <w:jc w:val="center"/>
              <w:textAlignment w:val="auto"/>
              <w:rPr>
                <w:rFonts w:cs="Times New Roman"/>
                <w:kern w:val="0"/>
                <w:sz w:val="21"/>
                <w:szCs w:val="20"/>
              </w:rPr>
            </w:pPr>
          </w:p>
        </w:tc>
      </w:tr>
      <w:tr w14:paraId="3CF5D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641FB6E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理化性质</w:t>
            </w:r>
          </w:p>
        </w:tc>
        <w:tc>
          <w:tcPr>
            <w:tcW w:w="4271" w:type="pct"/>
            <w:gridSpan w:val="6"/>
            <w:vAlign w:val="center"/>
          </w:tcPr>
          <w:p w14:paraId="2FB7E5C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外观与形状：无色气体，纯品无臭</w:t>
            </w:r>
          </w:p>
        </w:tc>
      </w:tr>
      <w:tr w14:paraId="52C12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DF6BB07">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3D71CC1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熔点（℃）-187.6</w:t>
            </w:r>
          </w:p>
        </w:tc>
        <w:tc>
          <w:tcPr>
            <w:tcW w:w="2243" w:type="pct"/>
            <w:gridSpan w:val="3"/>
            <w:vAlign w:val="center"/>
          </w:tcPr>
          <w:p w14:paraId="51AF724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相对密度（水=1）0.51，（空气=1）1.56</w:t>
            </w:r>
          </w:p>
        </w:tc>
      </w:tr>
      <w:tr w14:paraId="7F2D6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56EA1D5F">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6E759FF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沸点（℃）-42.1</w:t>
            </w:r>
          </w:p>
        </w:tc>
        <w:tc>
          <w:tcPr>
            <w:tcW w:w="2243" w:type="pct"/>
            <w:gridSpan w:val="3"/>
            <w:vAlign w:val="center"/>
          </w:tcPr>
          <w:p w14:paraId="3186105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饱和蒸气压（kPa）53.32/-44.5℃</w:t>
            </w:r>
          </w:p>
        </w:tc>
      </w:tr>
      <w:tr w14:paraId="4AFF3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0C8DE9BA">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3B4C2C0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临界温度（℃）96.8</w:t>
            </w:r>
          </w:p>
        </w:tc>
        <w:tc>
          <w:tcPr>
            <w:tcW w:w="2243" w:type="pct"/>
            <w:gridSpan w:val="3"/>
            <w:vAlign w:val="center"/>
          </w:tcPr>
          <w:p w14:paraId="74430AB8">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临界压力（MPa）4.25</w:t>
            </w:r>
          </w:p>
        </w:tc>
      </w:tr>
      <w:tr w14:paraId="285E7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CA59378">
            <w:pPr>
              <w:widowControl/>
              <w:adjustRightInd w:val="0"/>
              <w:snapToGrid w:val="0"/>
              <w:spacing w:line="240" w:lineRule="auto"/>
              <w:ind w:firstLine="0" w:firstLineChars="0"/>
              <w:jc w:val="center"/>
              <w:textAlignment w:val="auto"/>
              <w:rPr>
                <w:rFonts w:cs="Times New Roman"/>
                <w:kern w:val="0"/>
                <w:sz w:val="21"/>
                <w:szCs w:val="20"/>
              </w:rPr>
            </w:pPr>
          </w:p>
        </w:tc>
        <w:tc>
          <w:tcPr>
            <w:tcW w:w="2028" w:type="pct"/>
            <w:gridSpan w:val="3"/>
            <w:vAlign w:val="center"/>
          </w:tcPr>
          <w:p w14:paraId="3717295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溶解性</w:t>
            </w:r>
          </w:p>
        </w:tc>
        <w:tc>
          <w:tcPr>
            <w:tcW w:w="2243" w:type="pct"/>
            <w:gridSpan w:val="3"/>
            <w:vAlign w:val="center"/>
          </w:tcPr>
          <w:p w14:paraId="0E9940F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微溶于水，溶液于乙醇、乙醚</w:t>
            </w:r>
          </w:p>
        </w:tc>
      </w:tr>
      <w:tr w14:paraId="2E31B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4B513E1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毒性及健康危害</w:t>
            </w:r>
          </w:p>
        </w:tc>
        <w:tc>
          <w:tcPr>
            <w:tcW w:w="917" w:type="pct"/>
            <w:vAlign w:val="center"/>
          </w:tcPr>
          <w:p w14:paraId="06C6C73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侵入途径</w:t>
            </w:r>
          </w:p>
        </w:tc>
        <w:tc>
          <w:tcPr>
            <w:tcW w:w="3353" w:type="pct"/>
            <w:gridSpan w:val="5"/>
            <w:vAlign w:val="center"/>
          </w:tcPr>
          <w:p w14:paraId="12D5C6A1">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吸入</w:t>
            </w:r>
          </w:p>
        </w:tc>
      </w:tr>
      <w:tr w14:paraId="324AC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4461241F">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5DB387C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w:t>
            </w:r>
          </w:p>
        </w:tc>
        <w:tc>
          <w:tcPr>
            <w:tcW w:w="3353" w:type="pct"/>
            <w:gridSpan w:val="5"/>
            <w:vAlign w:val="center"/>
          </w:tcPr>
          <w:p w14:paraId="4B6D11A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LD</w:t>
            </w:r>
            <w:r>
              <w:rPr>
                <w:rFonts w:cs="Times New Roman"/>
                <w:kern w:val="0"/>
                <w:sz w:val="21"/>
                <w:szCs w:val="20"/>
                <w:vertAlign w:val="subscript"/>
              </w:rPr>
              <w:t>50</w:t>
            </w:r>
            <w:r>
              <w:rPr>
                <w:rFonts w:cs="Times New Roman"/>
                <w:kern w:val="0"/>
                <w:sz w:val="21"/>
                <w:szCs w:val="20"/>
              </w:rPr>
              <w:t>：LD</w:t>
            </w:r>
            <w:r>
              <w:rPr>
                <w:rFonts w:cs="Times New Roman"/>
                <w:kern w:val="0"/>
                <w:sz w:val="21"/>
                <w:szCs w:val="20"/>
                <w:vertAlign w:val="subscript"/>
              </w:rPr>
              <w:t>50</w:t>
            </w:r>
            <w:r>
              <w:rPr>
                <w:rFonts w:cs="Times New Roman"/>
                <w:kern w:val="0"/>
                <w:sz w:val="21"/>
                <w:szCs w:val="20"/>
              </w:rPr>
              <w:t>5800mg/kg（大鼠经口）；20000mg/kg（兔经皮）</w:t>
            </w:r>
          </w:p>
        </w:tc>
      </w:tr>
      <w:tr w14:paraId="45262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7A061C7D">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577FD43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健康危害</w:t>
            </w:r>
          </w:p>
        </w:tc>
        <w:tc>
          <w:tcPr>
            <w:tcW w:w="3353" w:type="pct"/>
            <w:gridSpan w:val="5"/>
            <w:vAlign w:val="center"/>
          </w:tcPr>
          <w:p w14:paraId="5DFCC533">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1%丙烷，对人无影响；10%以下的浓度，只引起经度头晕；在较高浓度的丙烷、丁烷混合气体中毒时，有头痛、头晕、兴奋或嗜睡、恶心、呕吐、流涎、血压经度降低、脉缓、神经反射减弱、无病理反射；严重者出现麻醉状态、意志丧失；</w:t>
            </w:r>
            <w:r>
              <w:rPr>
                <w:rFonts w:ascii="宋体" w:hAnsi="宋体" w:cs="宋体"/>
                <w:szCs w:val="24"/>
              </w:rPr>
              <w:t>严重者可能发生继发性肺炎</w:t>
            </w:r>
            <w:r>
              <w:rPr>
                <w:rFonts w:cs="Times New Roman"/>
                <w:kern w:val="0"/>
                <w:sz w:val="21"/>
                <w:szCs w:val="20"/>
              </w:rPr>
              <w:t>。液态丙烷可致皮肤冻伤。</w:t>
            </w:r>
          </w:p>
        </w:tc>
      </w:tr>
      <w:tr w14:paraId="0E12C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64D14526">
            <w:pPr>
              <w:widowControl/>
              <w:adjustRightInd w:val="0"/>
              <w:snapToGrid w:val="0"/>
              <w:spacing w:line="240" w:lineRule="auto"/>
              <w:ind w:firstLine="0" w:firstLineChars="0"/>
              <w:jc w:val="center"/>
              <w:textAlignment w:val="auto"/>
              <w:rPr>
                <w:rFonts w:cs="Times New Roman"/>
                <w:kern w:val="0"/>
                <w:sz w:val="21"/>
                <w:szCs w:val="20"/>
              </w:rPr>
            </w:pPr>
          </w:p>
        </w:tc>
        <w:tc>
          <w:tcPr>
            <w:tcW w:w="917" w:type="pct"/>
            <w:vAlign w:val="center"/>
          </w:tcPr>
          <w:p w14:paraId="4B56AC4E">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急救方法</w:t>
            </w:r>
          </w:p>
        </w:tc>
        <w:tc>
          <w:tcPr>
            <w:tcW w:w="3353" w:type="pct"/>
            <w:gridSpan w:val="5"/>
            <w:vAlign w:val="center"/>
          </w:tcPr>
          <w:p w14:paraId="571CFC95">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脱去并隔离被污染的衣服和鞋。接触液化气体，接触部位用温水泡复温。吸入：迅速脱离现场至空气新鲜处。保持呼吸道通畅。如呼吸困难，给输氧。如呼吸停止，立即进行人工呼吸。</w:t>
            </w:r>
          </w:p>
        </w:tc>
      </w:tr>
      <w:tr w14:paraId="40385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restart"/>
            <w:vAlign w:val="center"/>
          </w:tcPr>
          <w:p w14:paraId="028BAD3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燃烧爆炸危险性</w:t>
            </w:r>
          </w:p>
        </w:tc>
        <w:tc>
          <w:tcPr>
            <w:tcW w:w="2424" w:type="pct"/>
            <w:gridSpan w:val="4"/>
            <w:vAlign w:val="center"/>
          </w:tcPr>
          <w:p w14:paraId="43806886">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燃烧性：易燃</w:t>
            </w:r>
          </w:p>
        </w:tc>
        <w:tc>
          <w:tcPr>
            <w:tcW w:w="1847" w:type="pct"/>
            <w:gridSpan w:val="2"/>
            <w:vAlign w:val="center"/>
          </w:tcPr>
          <w:p w14:paraId="3036C53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燃烧分解物：CO、CO</w:t>
            </w:r>
            <w:r>
              <w:rPr>
                <w:rFonts w:cs="Times New Roman"/>
                <w:kern w:val="0"/>
                <w:sz w:val="21"/>
                <w:szCs w:val="20"/>
                <w:vertAlign w:val="subscript"/>
              </w:rPr>
              <w:t>2</w:t>
            </w:r>
          </w:p>
        </w:tc>
      </w:tr>
      <w:tr w14:paraId="62A01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4D20972B">
            <w:pPr>
              <w:widowControl/>
              <w:adjustRightInd w:val="0"/>
              <w:snapToGrid w:val="0"/>
              <w:spacing w:line="240" w:lineRule="auto"/>
              <w:ind w:firstLine="0" w:firstLineChars="0"/>
              <w:jc w:val="center"/>
              <w:textAlignment w:val="auto"/>
              <w:rPr>
                <w:rFonts w:cs="Times New Roman"/>
                <w:kern w:val="0"/>
                <w:sz w:val="21"/>
                <w:szCs w:val="20"/>
              </w:rPr>
            </w:pPr>
          </w:p>
        </w:tc>
        <w:tc>
          <w:tcPr>
            <w:tcW w:w="2424" w:type="pct"/>
            <w:gridSpan w:val="4"/>
            <w:vAlign w:val="center"/>
          </w:tcPr>
          <w:p w14:paraId="7654185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闪点/℃：-104</w:t>
            </w:r>
          </w:p>
        </w:tc>
        <w:tc>
          <w:tcPr>
            <w:tcW w:w="1847" w:type="pct"/>
            <w:gridSpan w:val="2"/>
            <w:vAlign w:val="center"/>
          </w:tcPr>
          <w:p w14:paraId="1337E6D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稳定性：稳定</w:t>
            </w:r>
          </w:p>
        </w:tc>
      </w:tr>
      <w:tr w14:paraId="2B35B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331B0587">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2EAFD972">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危险特性：与空气混合能形成爆炸性混合物，遇明火、高热能引起燃烧爆炸。其蒸气比空气重，能在较低处扩散到相当远的地方，遇火源引着回燃。若遇到高热、涂料和橡胶。能积聚静电，引燃其蒸气。</w:t>
            </w:r>
          </w:p>
        </w:tc>
      </w:tr>
      <w:tr w14:paraId="14614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Merge w:val="continue"/>
            <w:vAlign w:val="center"/>
          </w:tcPr>
          <w:p w14:paraId="469D3B78">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18FF475C">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灭火方法：消防人员须佩戴防毒面具、穿全身消防服，站在上风向灭火。尽可能将容器从火场移至空旷处。喷水保持火场容器冷却，直至灭火结束。处在火场中的容器若已变色或从安全泄压装置中产生声音，必须马上撤离。灭火剂：雾状水、泡沫、干粉、二氧化碳、砂土。</w:t>
            </w:r>
          </w:p>
        </w:tc>
      </w:tr>
      <w:tr w14:paraId="31F8E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72525CC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急救措施</w:t>
            </w:r>
          </w:p>
        </w:tc>
        <w:tc>
          <w:tcPr>
            <w:tcW w:w="4271" w:type="pct"/>
            <w:gridSpan w:val="6"/>
            <w:vAlign w:val="center"/>
          </w:tcPr>
          <w:p w14:paraId="5CBD81AD">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皮肤接触：立即脱去被污染的衣着，用大量清水冲洗；</w:t>
            </w:r>
          </w:p>
          <w:p w14:paraId="6D24A5C8">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眼睛接触：立即提起眼睑，用大量流动清水或生理盐水冲洗，就医；吸入：迅速脱离现场至空气新鲜处，保持呼吸道通畅，如呼吸困难，给输氧；如呼吸停止，立即进行人工呼吸，就医；食入：饮足量温水，催吐，就医。</w:t>
            </w:r>
          </w:p>
        </w:tc>
      </w:tr>
      <w:tr w14:paraId="675C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3475972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泄漏处理</w:t>
            </w:r>
          </w:p>
        </w:tc>
        <w:tc>
          <w:tcPr>
            <w:tcW w:w="4271" w:type="pct"/>
            <w:gridSpan w:val="6"/>
            <w:vAlign w:val="center"/>
          </w:tcPr>
          <w:p w14:paraId="1E347375">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迅速撤离泄漏污染区人员至安全区，并进行隔离，严格限制出入。切断火源。建议应急处理人员戴自给正压式呼吸器，穿防毒服。尽可能切断泄漏源。防止流入下水道、排洪沟等限制性空间。</w:t>
            </w:r>
          </w:p>
          <w:p w14:paraId="5D3E237F">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小量泄漏：用砂土或其它不燃材料吸附或吸收。</w:t>
            </w:r>
          </w:p>
          <w:p w14:paraId="33E4B0BB">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大量泄漏：构筑围堤或挖坑收容。用泵转移至槽车或专用收集器内，回收或运至废物处理场所处置。</w:t>
            </w:r>
          </w:p>
        </w:tc>
      </w:tr>
    </w:tbl>
    <w:p w14:paraId="6AF85A80">
      <w:pPr>
        <w:widowControl/>
        <w:spacing w:before="163" w:beforeLines="50"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-3</w:t>
      </w:r>
      <w:r>
        <w:rPr>
          <w:rFonts w:hint="eastAsia" w:cs="Times New Roman"/>
          <w:b/>
          <w:kern w:val="0"/>
          <w:sz w:val="21"/>
        </w:rPr>
        <w:t xml:space="preserve">  丁烷理化性质一览表</w:t>
      </w:r>
    </w:p>
    <w:tbl>
      <w:tblPr>
        <w:tblStyle w:val="2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576"/>
        <w:gridCol w:w="449"/>
        <w:gridCol w:w="1741"/>
        <w:gridCol w:w="735"/>
        <w:gridCol w:w="1614"/>
        <w:gridCol w:w="1815"/>
      </w:tblGrid>
      <w:tr w14:paraId="18754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18" w:type="dxa"/>
            <w:vMerge w:val="restart"/>
            <w:vAlign w:val="center"/>
          </w:tcPr>
          <w:p w14:paraId="54B4D8C2">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标识</w:t>
            </w:r>
          </w:p>
        </w:tc>
        <w:tc>
          <w:tcPr>
            <w:tcW w:w="1971" w:type="dxa"/>
            <w:gridSpan w:val="2"/>
            <w:vAlign w:val="center"/>
          </w:tcPr>
          <w:p w14:paraId="38EC78D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中文名：丁烷</w:t>
            </w:r>
          </w:p>
        </w:tc>
        <w:tc>
          <w:tcPr>
            <w:tcW w:w="2411" w:type="dxa"/>
            <w:gridSpan w:val="2"/>
            <w:vAlign w:val="center"/>
          </w:tcPr>
          <w:p w14:paraId="62E4E5A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英文名：n-butane</w:t>
            </w:r>
          </w:p>
        </w:tc>
        <w:tc>
          <w:tcPr>
            <w:tcW w:w="1571" w:type="dxa"/>
            <w:vMerge w:val="restart"/>
            <w:vAlign w:val="center"/>
          </w:tcPr>
          <w:p w14:paraId="024B7384">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分子式：C</w:t>
            </w:r>
            <w:r>
              <w:rPr>
                <w:rFonts w:cs="Times New Roman"/>
                <w:kern w:val="0"/>
                <w:sz w:val="21"/>
                <w:szCs w:val="21"/>
                <w:vertAlign w:val="subscript"/>
              </w:rPr>
              <w:t>3</w:t>
            </w:r>
            <w:r>
              <w:rPr>
                <w:rFonts w:cs="Times New Roman"/>
                <w:kern w:val="0"/>
                <w:sz w:val="21"/>
                <w:szCs w:val="21"/>
              </w:rPr>
              <w:t>H</w:t>
            </w:r>
            <w:r>
              <w:rPr>
                <w:rFonts w:cs="Times New Roman"/>
                <w:kern w:val="0"/>
                <w:sz w:val="21"/>
                <w:szCs w:val="21"/>
                <w:vertAlign w:val="subscript"/>
              </w:rPr>
              <w:t>8</w:t>
            </w:r>
          </w:p>
        </w:tc>
        <w:tc>
          <w:tcPr>
            <w:tcW w:w="1767" w:type="dxa"/>
            <w:vMerge w:val="restart"/>
            <w:vAlign w:val="center"/>
          </w:tcPr>
          <w:p w14:paraId="239B50B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分子量：44.10</w:t>
            </w:r>
          </w:p>
        </w:tc>
      </w:tr>
      <w:tr w14:paraId="5780D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6762035C">
            <w:pPr>
              <w:widowControl/>
              <w:adjustRightInd w:val="0"/>
              <w:snapToGrid w:val="0"/>
              <w:spacing w:line="240" w:lineRule="auto"/>
              <w:ind w:firstLine="0" w:firstLineChars="0"/>
              <w:jc w:val="center"/>
              <w:textAlignment w:val="auto"/>
              <w:rPr>
                <w:rFonts w:cs="Times New Roman"/>
                <w:kern w:val="0"/>
                <w:sz w:val="21"/>
                <w:szCs w:val="21"/>
              </w:rPr>
            </w:pPr>
          </w:p>
        </w:tc>
        <w:tc>
          <w:tcPr>
            <w:tcW w:w="1971" w:type="dxa"/>
            <w:gridSpan w:val="2"/>
            <w:vAlign w:val="center"/>
          </w:tcPr>
          <w:p w14:paraId="3627C6C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CAS号：106-97-8</w:t>
            </w:r>
          </w:p>
        </w:tc>
        <w:tc>
          <w:tcPr>
            <w:tcW w:w="2411" w:type="dxa"/>
            <w:gridSpan w:val="2"/>
            <w:vAlign w:val="center"/>
          </w:tcPr>
          <w:p w14:paraId="2F01786A">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UN编号：1011</w:t>
            </w:r>
          </w:p>
        </w:tc>
        <w:tc>
          <w:tcPr>
            <w:tcW w:w="1571" w:type="dxa"/>
            <w:vMerge w:val="continue"/>
            <w:vAlign w:val="center"/>
          </w:tcPr>
          <w:p w14:paraId="66755638">
            <w:pPr>
              <w:widowControl/>
              <w:adjustRightInd w:val="0"/>
              <w:snapToGrid w:val="0"/>
              <w:spacing w:line="240" w:lineRule="auto"/>
              <w:ind w:firstLine="0" w:firstLineChars="0"/>
              <w:jc w:val="center"/>
              <w:textAlignment w:val="auto"/>
              <w:rPr>
                <w:rFonts w:cs="Times New Roman"/>
                <w:kern w:val="0"/>
                <w:sz w:val="21"/>
                <w:szCs w:val="21"/>
              </w:rPr>
            </w:pPr>
          </w:p>
        </w:tc>
        <w:tc>
          <w:tcPr>
            <w:tcW w:w="1767" w:type="dxa"/>
            <w:vMerge w:val="continue"/>
            <w:vAlign w:val="center"/>
          </w:tcPr>
          <w:p w14:paraId="3E7988C5">
            <w:pPr>
              <w:widowControl/>
              <w:adjustRightInd w:val="0"/>
              <w:snapToGrid w:val="0"/>
              <w:spacing w:line="240" w:lineRule="auto"/>
              <w:ind w:firstLine="0" w:firstLineChars="0"/>
              <w:jc w:val="center"/>
              <w:textAlignment w:val="auto"/>
              <w:rPr>
                <w:rFonts w:cs="Times New Roman"/>
                <w:kern w:val="0"/>
                <w:sz w:val="21"/>
                <w:szCs w:val="21"/>
              </w:rPr>
            </w:pPr>
          </w:p>
        </w:tc>
      </w:tr>
      <w:tr w14:paraId="6166F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vAlign w:val="center"/>
          </w:tcPr>
          <w:p w14:paraId="042C3E6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理化性质</w:t>
            </w:r>
          </w:p>
        </w:tc>
        <w:tc>
          <w:tcPr>
            <w:tcW w:w="7720" w:type="dxa"/>
            <w:gridSpan w:val="6"/>
            <w:vAlign w:val="center"/>
          </w:tcPr>
          <w:p w14:paraId="3063029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外观与形状：无色气体，有轻微的不愉快气味</w:t>
            </w:r>
          </w:p>
        </w:tc>
      </w:tr>
      <w:tr w14:paraId="13875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451458CC">
            <w:pPr>
              <w:widowControl/>
              <w:adjustRightInd w:val="0"/>
              <w:snapToGrid w:val="0"/>
              <w:spacing w:line="240" w:lineRule="auto"/>
              <w:ind w:firstLine="0" w:firstLineChars="0"/>
              <w:jc w:val="center"/>
              <w:textAlignment w:val="auto"/>
              <w:rPr>
                <w:rFonts w:cs="Times New Roman"/>
                <w:kern w:val="0"/>
                <w:sz w:val="21"/>
                <w:szCs w:val="21"/>
              </w:rPr>
            </w:pPr>
          </w:p>
        </w:tc>
        <w:tc>
          <w:tcPr>
            <w:tcW w:w="3666" w:type="dxa"/>
            <w:gridSpan w:val="3"/>
            <w:vAlign w:val="center"/>
          </w:tcPr>
          <w:p w14:paraId="389F72C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熔点（℃）-138.4</w:t>
            </w:r>
          </w:p>
        </w:tc>
        <w:tc>
          <w:tcPr>
            <w:tcW w:w="4054" w:type="dxa"/>
            <w:gridSpan w:val="3"/>
            <w:vAlign w:val="center"/>
          </w:tcPr>
          <w:p w14:paraId="58035957">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相对密度（水=1）0.58，（空气=1）2.05</w:t>
            </w:r>
          </w:p>
        </w:tc>
      </w:tr>
      <w:tr w14:paraId="77E4D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49AF0F7E">
            <w:pPr>
              <w:widowControl/>
              <w:adjustRightInd w:val="0"/>
              <w:snapToGrid w:val="0"/>
              <w:spacing w:line="240" w:lineRule="auto"/>
              <w:ind w:firstLine="0" w:firstLineChars="0"/>
              <w:jc w:val="center"/>
              <w:textAlignment w:val="auto"/>
              <w:rPr>
                <w:rFonts w:cs="Times New Roman"/>
                <w:kern w:val="0"/>
                <w:sz w:val="21"/>
                <w:szCs w:val="21"/>
              </w:rPr>
            </w:pPr>
          </w:p>
        </w:tc>
        <w:tc>
          <w:tcPr>
            <w:tcW w:w="3666" w:type="dxa"/>
            <w:gridSpan w:val="3"/>
            <w:vAlign w:val="center"/>
          </w:tcPr>
          <w:p w14:paraId="5BF24025">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沸点（℃）-0.5</w:t>
            </w:r>
          </w:p>
        </w:tc>
        <w:tc>
          <w:tcPr>
            <w:tcW w:w="4054" w:type="dxa"/>
            <w:gridSpan w:val="3"/>
            <w:vAlign w:val="center"/>
          </w:tcPr>
          <w:p w14:paraId="7793B071">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饱和蒸气压106.39kPa（在0℃时）</w:t>
            </w:r>
          </w:p>
        </w:tc>
      </w:tr>
      <w:tr w14:paraId="32748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217B1C31">
            <w:pPr>
              <w:widowControl/>
              <w:adjustRightInd w:val="0"/>
              <w:snapToGrid w:val="0"/>
              <w:spacing w:line="240" w:lineRule="auto"/>
              <w:ind w:firstLine="0" w:firstLineChars="0"/>
              <w:jc w:val="center"/>
              <w:textAlignment w:val="auto"/>
              <w:rPr>
                <w:rFonts w:cs="Times New Roman"/>
                <w:kern w:val="0"/>
                <w:sz w:val="21"/>
                <w:szCs w:val="21"/>
              </w:rPr>
            </w:pPr>
          </w:p>
        </w:tc>
        <w:tc>
          <w:tcPr>
            <w:tcW w:w="3666" w:type="dxa"/>
            <w:gridSpan w:val="3"/>
            <w:vAlign w:val="center"/>
          </w:tcPr>
          <w:p w14:paraId="0AF5442B">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临界温度（℃）96.8</w:t>
            </w:r>
          </w:p>
        </w:tc>
        <w:tc>
          <w:tcPr>
            <w:tcW w:w="4054" w:type="dxa"/>
            <w:gridSpan w:val="3"/>
            <w:vAlign w:val="center"/>
          </w:tcPr>
          <w:p w14:paraId="7E44DA38">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临界压力（MPa）4.25</w:t>
            </w:r>
          </w:p>
        </w:tc>
      </w:tr>
      <w:tr w14:paraId="7BCF8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3AF1AAF0">
            <w:pPr>
              <w:widowControl/>
              <w:adjustRightInd w:val="0"/>
              <w:snapToGrid w:val="0"/>
              <w:spacing w:line="240" w:lineRule="auto"/>
              <w:ind w:firstLine="0" w:firstLineChars="0"/>
              <w:jc w:val="center"/>
              <w:textAlignment w:val="auto"/>
              <w:rPr>
                <w:rFonts w:cs="Times New Roman"/>
                <w:kern w:val="0"/>
                <w:sz w:val="21"/>
                <w:szCs w:val="21"/>
              </w:rPr>
            </w:pPr>
          </w:p>
        </w:tc>
        <w:tc>
          <w:tcPr>
            <w:tcW w:w="3666" w:type="dxa"/>
            <w:gridSpan w:val="3"/>
            <w:vAlign w:val="center"/>
          </w:tcPr>
          <w:p w14:paraId="64379400">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溶解性</w:t>
            </w:r>
          </w:p>
        </w:tc>
        <w:tc>
          <w:tcPr>
            <w:tcW w:w="4054" w:type="dxa"/>
            <w:gridSpan w:val="3"/>
            <w:vAlign w:val="center"/>
          </w:tcPr>
          <w:p w14:paraId="4335A38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易溶于水、醇、氯仿</w:t>
            </w:r>
          </w:p>
        </w:tc>
      </w:tr>
      <w:tr w14:paraId="41AD3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vAlign w:val="center"/>
          </w:tcPr>
          <w:p w14:paraId="63C5A55F">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毒性及健康危害</w:t>
            </w:r>
          </w:p>
        </w:tc>
        <w:tc>
          <w:tcPr>
            <w:tcW w:w="1534" w:type="dxa"/>
            <w:vAlign w:val="center"/>
          </w:tcPr>
          <w:p w14:paraId="30661849">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侵入途径</w:t>
            </w:r>
          </w:p>
        </w:tc>
        <w:tc>
          <w:tcPr>
            <w:tcW w:w="6186" w:type="dxa"/>
            <w:gridSpan w:val="5"/>
            <w:vAlign w:val="center"/>
          </w:tcPr>
          <w:p w14:paraId="57BE7C23">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吸入</w:t>
            </w:r>
          </w:p>
        </w:tc>
      </w:tr>
      <w:tr w14:paraId="7DD68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2E767E2F">
            <w:pPr>
              <w:widowControl/>
              <w:adjustRightInd w:val="0"/>
              <w:snapToGrid w:val="0"/>
              <w:spacing w:line="240" w:lineRule="auto"/>
              <w:ind w:firstLine="0" w:firstLineChars="0"/>
              <w:jc w:val="center"/>
              <w:textAlignment w:val="auto"/>
              <w:rPr>
                <w:rFonts w:cs="Times New Roman"/>
                <w:kern w:val="0"/>
                <w:sz w:val="21"/>
                <w:szCs w:val="21"/>
              </w:rPr>
            </w:pPr>
          </w:p>
        </w:tc>
        <w:tc>
          <w:tcPr>
            <w:tcW w:w="1534" w:type="dxa"/>
            <w:vAlign w:val="center"/>
          </w:tcPr>
          <w:p w14:paraId="12D3A692">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毒性</w:t>
            </w:r>
          </w:p>
        </w:tc>
        <w:tc>
          <w:tcPr>
            <w:tcW w:w="6186" w:type="dxa"/>
            <w:gridSpan w:val="5"/>
            <w:vAlign w:val="center"/>
          </w:tcPr>
          <w:p w14:paraId="5CA9EC2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LD</w:t>
            </w:r>
            <w:r>
              <w:rPr>
                <w:rFonts w:cs="Times New Roman"/>
                <w:kern w:val="0"/>
                <w:sz w:val="21"/>
                <w:szCs w:val="21"/>
                <w:vertAlign w:val="subscript"/>
              </w:rPr>
              <w:t>50</w:t>
            </w:r>
            <w:r>
              <w:rPr>
                <w:rFonts w:cs="Times New Roman"/>
                <w:kern w:val="0"/>
                <w:sz w:val="21"/>
                <w:szCs w:val="21"/>
              </w:rPr>
              <w:t>：658000ppm，4小时（大鼠吸入）</w:t>
            </w:r>
          </w:p>
        </w:tc>
      </w:tr>
      <w:tr w14:paraId="3AC82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296A3669">
            <w:pPr>
              <w:widowControl/>
              <w:adjustRightInd w:val="0"/>
              <w:snapToGrid w:val="0"/>
              <w:spacing w:line="240" w:lineRule="auto"/>
              <w:ind w:firstLine="0" w:firstLineChars="0"/>
              <w:jc w:val="center"/>
              <w:textAlignment w:val="auto"/>
              <w:rPr>
                <w:rFonts w:cs="Times New Roman"/>
                <w:kern w:val="0"/>
                <w:sz w:val="21"/>
                <w:szCs w:val="21"/>
              </w:rPr>
            </w:pPr>
          </w:p>
        </w:tc>
        <w:tc>
          <w:tcPr>
            <w:tcW w:w="1534" w:type="dxa"/>
            <w:vAlign w:val="center"/>
          </w:tcPr>
          <w:p w14:paraId="6AB6327C">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健康危害</w:t>
            </w:r>
          </w:p>
        </w:tc>
        <w:tc>
          <w:tcPr>
            <w:tcW w:w="6186" w:type="dxa"/>
            <w:gridSpan w:val="5"/>
            <w:vAlign w:val="center"/>
          </w:tcPr>
          <w:p w14:paraId="6ABB9ECE">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高浓度有窒息和麻醉作用。急性中毒：主要症状有头晕、头痛、嗜睡和酒醉状态、严重者可昏迷。慢性影响：接触以丁烷为主的工人有头晕、头痛、睡眠不佳、疲倦等。</w:t>
            </w:r>
          </w:p>
        </w:tc>
      </w:tr>
      <w:tr w14:paraId="5627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2B16DB78">
            <w:pPr>
              <w:widowControl/>
              <w:adjustRightInd w:val="0"/>
              <w:snapToGrid w:val="0"/>
              <w:spacing w:line="240" w:lineRule="auto"/>
              <w:ind w:firstLine="0" w:firstLineChars="0"/>
              <w:jc w:val="center"/>
              <w:textAlignment w:val="auto"/>
              <w:rPr>
                <w:rFonts w:cs="Times New Roman"/>
                <w:kern w:val="0"/>
                <w:sz w:val="21"/>
                <w:szCs w:val="21"/>
              </w:rPr>
            </w:pPr>
          </w:p>
        </w:tc>
        <w:tc>
          <w:tcPr>
            <w:tcW w:w="1534" w:type="dxa"/>
            <w:vAlign w:val="center"/>
          </w:tcPr>
          <w:p w14:paraId="26EE500E">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急救方法</w:t>
            </w:r>
          </w:p>
        </w:tc>
        <w:tc>
          <w:tcPr>
            <w:tcW w:w="6186" w:type="dxa"/>
            <w:gridSpan w:val="5"/>
            <w:vAlign w:val="center"/>
          </w:tcPr>
          <w:p w14:paraId="1F81EB2D">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吸入：迅速脱离现场至空气新鲜处。保持呼吸道通畅。如呼吸困难，给输氧。如呼吸停止，立即进行人工呼吸，就医。</w:t>
            </w:r>
          </w:p>
        </w:tc>
      </w:tr>
      <w:tr w14:paraId="0653D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restart"/>
            <w:vAlign w:val="center"/>
          </w:tcPr>
          <w:p w14:paraId="51B3B29D">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燃烧爆炸危险性</w:t>
            </w:r>
          </w:p>
        </w:tc>
        <w:tc>
          <w:tcPr>
            <w:tcW w:w="4382" w:type="dxa"/>
            <w:gridSpan w:val="4"/>
            <w:vAlign w:val="center"/>
          </w:tcPr>
          <w:p w14:paraId="75D821F3">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燃烧性：易燃</w:t>
            </w:r>
          </w:p>
        </w:tc>
        <w:tc>
          <w:tcPr>
            <w:tcW w:w="3338" w:type="dxa"/>
            <w:gridSpan w:val="2"/>
            <w:vAlign w:val="center"/>
          </w:tcPr>
          <w:p w14:paraId="7F9B5D36">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燃烧分解物：CO、CO</w:t>
            </w:r>
            <w:r>
              <w:rPr>
                <w:rFonts w:cs="Times New Roman"/>
                <w:kern w:val="0"/>
                <w:sz w:val="21"/>
                <w:szCs w:val="21"/>
                <w:vertAlign w:val="subscript"/>
              </w:rPr>
              <w:t>2</w:t>
            </w:r>
          </w:p>
        </w:tc>
      </w:tr>
      <w:tr w14:paraId="02A74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5A5AB03E">
            <w:pPr>
              <w:widowControl/>
              <w:adjustRightInd w:val="0"/>
              <w:snapToGrid w:val="0"/>
              <w:spacing w:line="240" w:lineRule="auto"/>
              <w:ind w:firstLine="0" w:firstLineChars="0"/>
              <w:jc w:val="center"/>
              <w:textAlignment w:val="auto"/>
              <w:rPr>
                <w:rFonts w:cs="Times New Roman"/>
                <w:kern w:val="0"/>
                <w:sz w:val="21"/>
                <w:szCs w:val="21"/>
              </w:rPr>
            </w:pPr>
          </w:p>
        </w:tc>
        <w:tc>
          <w:tcPr>
            <w:tcW w:w="4382" w:type="dxa"/>
            <w:gridSpan w:val="4"/>
            <w:vAlign w:val="center"/>
          </w:tcPr>
          <w:p w14:paraId="642820E0">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闪点/℃：-60</w:t>
            </w:r>
          </w:p>
        </w:tc>
        <w:tc>
          <w:tcPr>
            <w:tcW w:w="3338" w:type="dxa"/>
            <w:gridSpan w:val="2"/>
            <w:vAlign w:val="center"/>
          </w:tcPr>
          <w:p w14:paraId="72820FDB">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引燃温度/℃：187</w:t>
            </w:r>
          </w:p>
        </w:tc>
      </w:tr>
      <w:tr w14:paraId="3456D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664D9B47">
            <w:pPr>
              <w:widowControl/>
              <w:adjustRightInd w:val="0"/>
              <w:snapToGrid w:val="0"/>
              <w:spacing w:line="240" w:lineRule="auto"/>
              <w:ind w:firstLine="0" w:firstLineChars="0"/>
              <w:jc w:val="center"/>
              <w:textAlignment w:val="auto"/>
              <w:rPr>
                <w:rFonts w:cs="Times New Roman"/>
                <w:kern w:val="0"/>
                <w:sz w:val="21"/>
                <w:szCs w:val="21"/>
              </w:rPr>
            </w:pPr>
          </w:p>
        </w:tc>
        <w:tc>
          <w:tcPr>
            <w:tcW w:w="7720" w:type="dxa"/>
            <w:gridSpan w:val="6"/>
            <w:vAlign w:val="center"/>
          </w:tcPr>
          <w:p w14:paraId="4A4AD83F">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危险特性：易燃，与空气混合能形成爆炸性混合物，遇热源和明火有燃烧爆炸的危险。与氧化剂接触会剧烈反应。气体比空气重，能在较低处扩散到相当远的地方，遇到明火会引着回燃。</w:t>
            </w:r>
          </w:p>
        </w:tc>
      </w:tr>
      <w:tr w14:paraId="6CE12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Merge w:val="continue"/>
            <w:vAlign w:val="center"/>
          </w:tcPr>
          <w:p w14:paraId="0295676C">
            <w:pPr>
              <w:widowControl/>
              <w:adjustRightInd w:val="0"/>
              <w:snapToGrid w:val="0"/>
              <w:spacing w:line="240" w:lineRule="auto"/>
              <w:ind w:firstLine="0" w:firstLineChars="0"/>
              <w:jc w:val="center"/>
              <w:textAlignment w:val="auto"/>
              <w:rPr>
                <w:rFonts w:cs="Times New Roman"/>
                <w:kern w:val="0"/>
                <w:sz w:val="21"/>
                <w:szCs w:val="21"/>
              </w:rPr>
            </w:pPr>
          </w:p>
        </w:tc>
        <w:tc>
          <w:tcPr>
            <w:tcW w:w="7720" w:type="dxa"/>
            <w:gridSpan w:val="6"/>
            <w:vAlign w:val="center"/>
          </w:tcPr>
          <w:p w14:paraId="38AD56A1">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灭火方法：消防人员须佩戴防毒面具、穿全身消防服，站在上风向灭火。尽可能将容器从火场移至空旷处。喷水保持火场容器冷却，直至灭火结束。处在火场中的容器若已变色或从安全泄压装置中产生声音，必须马上撤离。灭火剂：雾状水、泡沫、干粉、二氧化碳、砂土。</w:t>
            </w:r>
          </w:p>
        </w:tc>
      </w:tr>
      <w:tr w14:paraId="2CE64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13CB3EC4">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急救措施</w:t>
            </w:r>
          </w:p>
        </w:tc>
        <w:tc>
          <w:tcPr>
            <w:tcW w:w="7720" w:type="dxa"/>
            <w:gridSpan w:val="6"/>
            <w:vAlign w:val="center"/>
          </w:tcPr>
          <w:p w14:paraId="7733B0A7">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皮肤接触：立即脱去被污染的衣着，用大量清水冲洗；</w:t>
            </w:r>
          </w:p>
          <w:p w14:paraId="150CF380">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眼睛接触：立即提起眼睑，用大量流动清水或生理盐水冲洗，就医；吸入：迅速脱离现场至空气新鲜处，保持呼吸道通畅，如呼吸困难，给输氧；如呼吸停止，立即进行人工呼吸，就医；食入：饮足量温水，催吐，就医。</w:t>
            </w:r>
          </w:p>
        </w:tc>
      </w:tr>
      <w:tr w14:paraId="26AE1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184B27A1">
            <w:pPr>
              <w:widowControl/>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泄漏处理</w:t>
            </w:r>
          </w:p>
        </w:tc>
        <w:tc>
          <w:tcPr>
            <w:tcW w:w="7720" w:type="dxa"/>
            <w:gridSpan w:val="6"/>
            <w:vAlign w:val="center"/>
          </w:tcPr>
          <w:p w14:paraId="163C009E">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迅速撤离泄漏污染区人员至安全区，并进行隔离，严格限制出入。切断火源。建议应急处理人员戴自给正压式呼吸器，穿防毒服。尽可能切断泄漏源。防止流入下水道、排洪沟等限制性空间。</w:t>
            </w:r>
          </w:p>
          <w:p w14:paraId="16F0588F">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小量泄漏：用砂土或其它不燃材料吸附或吸收。</w:t>
            </w:r>
          </w:p>
          <w:p w14:paraId="1D823168">
            <w:pPr>
              <w:widowControl/>
              <w:adjustRightInd w:val="0"/>
              <w:snapToGrid w:val="0"/>
              <w:spacing w:line="240" w:lineRule="auto"/>
              <w:ind w:firstLine="0" w:firstLineChars="0"/>
              <w:textAlignment w:val="auto"/>
              <w:rPr>
                <w:rFonts w:cs="Times New Roman"/>
                <w:kern w:val="0"/>
                <w:sz w:val="21"/>
                <w:szCs w:val="21"/>
              </w:rPr>
            </w:pPr>
            <w:r>
              <w:rPr>
                <w:rFonts w:cs="Times New Roman"/>
                <w:kern w:val="0"/>
                <w:sz w:val="21"/>
                <w:szCs w:val="21"/>
              </w:rPr>
              <w:t>大量泄漏：构筑围堤或挖坑收容。用泵转移至槽车或专用收集器内，回收或运至废物处理场所处置。</w:t>
            </w:r>
          </w:p>
        </w:tc>
      </w:tr>
    </w:tbl>
    <w:p w14:paraId="13279E60">
      <w:pPr>
        <w:widowControl/>
        <w:spacing w:line="240" w:lineRule="auto"/>
        <w:ind w:firstLine="0" w:firstLineChars="0"/>
        <w:jc w:val="center"/>
        <w:rPr>
          <w:rFonts w:cs="Times New Roman"/>
          <w:b/>
          <w:kern w:val="0"/>
          <w:sz w:val="21"/>
        </w:rPr>
      </w:pPr>
      <w:r>
        <w:rPr>
          <w:rFonts w:hint="eastAsia" w:cs="Times New Roman"/>
          <w:b/>
          <w:kern w:val="0"/>
          <w:sz w:val="21"/>
        </w:rPr>
        <w:t>表2</w:t>
      </w:r>
      <w:r>
        <w:rPr>
          <w:rFonts w:cs="Times New Roman"/>
          <w:b/>
          <w:kern w:val="0"/>
          <w:sz w:val="21"/>
        </w:rPr>
        <w:t>-4</w:t>
      </w:r>
      <w:r>
        <w:rPr>
          <w:rFonts w:hint="eastAsia" w:cs="Times New Roman"/>
          <w:b/>
          <w:kern w:val="0"/>
          <w:sz w:val="21"/>
        </w:rPr>
        <w:t xml:space="preserve">  乙炔理化性质及毒性</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702"/>
        <w:gridCol w:w="322"/>
        <w:gridCol w:w="202"/>
        <w:gridCol w:w="2275"/>
        <w:gridCol w:w="1614"/>
        <w:gridCol w:w="1818"/>
      </w:tblGrid>
      <w:tr w14:paraId="7B1BD5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8" w:type="pct"/>
            <w:vMerge w:val="restart"/>
            <w:vAlign w:val="center"/>
          </w:tcPr>
          <w:p w14:paraId="71F37681">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标识</w:t>
            </w:r>
          </w:p>
        </w:tc>
        <w:tc>
          <w:tcPr>
            <w:tcW w:w="1089" w:type="pct"/>
            <w:gridSpan w:val="2"/>
            <w:vAlign w:val="center"/>
          </w:tcPr>
          <w:p w14:paraId="2416247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中文名：乙炔</w:t>
            </w:r>
          </w:p>
        </w:tc>
        <w:tc>
          <w:tcPr>
            <w:tcW w:w="1333" w:type="pct"/>
            <w:gridSpan w:val="2"/>
            <w:vAlign w:val="center"/>
          </w:tcPr>
          <w:p w14:paraId="00815E1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英文名：acetylene</w:t>
            </w:r>
          </w:p>
        </w:tc>
        <w:tc>
          <w:tcPr>
            <w:tcW w:w="869" w:type="pct"/>
            <w:vMerge w:val="restart"/>
            <w:vAlign w:val="center"/>
          </w:tcPr>
          <w:p w14:paraId="7E02898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分子式：C</w:t>
            </w:r>
            <w:r>
              <w:rPr>
                <w:rFonts w:cs="Times New Roman"/>
                <w:kern w:val="0"/>
                <w:sz w:val="21"/>
                <w:szCs w:val="20"/>
                <w:vertAlign w:val="subscript"/>
              </w:rPr>
              <w:t>2</w:t>
            </w:r>
            <w:r>
              <w:rPr>
                <w:rFonts w:cs="Times New Roman"/>
                <w:kern w:val="0"/>
                <w:sz w:val="21"/>
                <w:szCs w:val="20"/>
              </w:rPr>
              <w:t>H</w:t>
            </w:r>
            <w:r>
              <w:rPr>
                <w:rFonts w:cs="Times New Roman"/>
                <w:kern w:val="0"/>
                <w:sz w:val="21"/>
                <w:szCs w:val="20"/>
                <w:vertAlign w:val="subscript"/>
              </w:rPr>
              <w:t>2</w:t>
            </w:r>
          </w:p>
        </w:tc>
        <w:tc>
          <w:tcPr>
            <w:tcW w:w="978" w:type="pct"/>
            <w:vMerge w:val="restart"/>
            <w:vAlign w:val="center"/>
          </w:tcPr>
          <w:p w14:paraId="42636B6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分子量：26.04g/mol</w:t>
            </w:r>
          </w:p>
        </w:tc>
      </w:tr>
      <w:tr w14:paraId="6F50E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75D04CF0">
            <w:pPr>
              <w:widowControl/>
              <w:adjustRightInd w:val="0"/>
              <w:snapToGrid w:val="0"/>
              <w:spacing w:line="240" w:lineRule="auto"/>
              <w:ind w:firstLine="0" w:firstLineChars="0"/>
              <w:jc w:val="center"/>
              <w:textAlignment w:val="auto"/>
              <w:rPr>
                <w:rFonts w:cs="Times New Roman"/>
                <w:kern w:val="0"/>
                <w:sz w:val="21"/>
                <w:szCs w:val="20"/>
              </w:rPr>
            </w:pPr>
          </w:p>
        </w:tc>
        <w:tc>
          <w:tcPr>
            <w:tcW w:w="1089" w:type="pct"/>
            <w:gridSpan w:val="2"/>
            <w:vAlign w:val="center"/>
          </w:tcPr>
          <w:p w14:paraId="532493F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CAS号：74-86-2</w:t>
            </w:r>
          </w:p>
        </w:tc>
        <w:tc>
          <w:tcPr>
            <w:tcW w:w="1333" w:type="pct"/>
            <w:gridSpan w:val="2"/>
            <w:vAlign w:val="center"/>
          </w:tcPr>
          <w:p w14:paraId="3D4E340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UN编号：1001</w:t>
            </w:r>
          </w:p>
        </w:tc>
        <w:tc>
          <w:tcPr>
            <w:tcW w:w="869" w:type="pct"/>
            <w:vMerge w:val="continue"/>
            <w:vAlign w:val="center"/>
          </w:tcPr>
          <w:p w14:paraId="7C2F4962">
            <w:pPr>
              <w:widowControl/>
              <w:adjustRightInd w:val="0"/>
              <w:snapToGrid w:val="0"/>
              <w:spacing w:line="240" w:lineRule="auto"/>
              <w:ind w:firstLine="0" w:firstLineChars="0"/>
              <w:jc w:val="center"/>
              <w:textAlignment w:val="auto"/>
              <w:rPr>
                <w:rFonts w:cs="Times New Roman"/>
                <w:kern w:val="0"/>
                <w:sz w:val="21"/>
                <w:szCs w:val="20"/>
              </w:rPr>
            </w:pPr>
          </w:p>
        </w:tc>
        <w:tc>
          <w:tcPr>
            <w:tcW w:w="978" w:type="pct"/>
            <w:vMerge w:val="continue"/>
            <w:vAlign w:val="center"/>
          </w:tcPr>
          <w:p w14:paraId="3D1F2811">
            <w:pPr>
              <w:widowControl/>
              <w:adjustRightInd w:val="0"/>
              <w:snapToGrid w:val="0"/>
              <w:spacing w:line="240" w:lineRule="auto"/>
              <w:ind w:firstLine="0" w:firstLineChars="0"/>
              <w:jc w:val="center"/>
              <w:textAlignment w:val="auto"/>
              <w:rPr>
                <w:rFonts w:cs="Times New Roman"/>
                <w:kern w:val="0"/>
                <w:sz w:val="21"/>
                <w:szCs w:val="20"/>
              </w:rPr>
            </w:pPr>
          </w:p>
        </w:tc>
      </w:tr>
      <w:tr w14:paraId="024A9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0E43A71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理化性质</w:t>
            </w:r>
          </w:p>
        </w:tc>
        <w:tc>
          <w:tcPr>
            <w:tcW w:w="4271" w:type="pct"/>
            <w:gridSpan w:val="6"/>
            <w:vAlign w:val="center"/>
          </w:tcPr>
          <w:p w14:paraId="546D5B0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外观与形状：无色气体（工业级常因杂质呈微弱大蒜味）</w:t>
            </w:r>
          </w:p>
        </w:tc>
      </w:tr>
      <w:tr w14:paraId="21A8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02C388FE">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226B390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熔点（℃）-80.8</w:t>
            </w:r>
          </w:p>
        </w:tc>
        <w:tc>
          <w:tcPr>
            <w:tcW w:w="3072" w:type="pct"/>
            <w:gridSpan w:val="3"/>
            <w:vAlign w:val="center"/>
          </w:tcPr>
          <w:p w14:paraId="0677168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密度（kg/m</w:t>
            </w:r>
            <w:r>
              <w:rPr>
                <w:rFonts w:cs="Times New Roman"/>
                <w:kern w:val="0"/>
                <w:sz w:val="21"/>
                <w:szCs w:val="20"/>
                <w:vertAlign w:val="superscript"/>
              </w:rPr>
              <w:t>3</w:t>
            </w:r>
            <w:r>
              <w:rPr>
                <w:rFonts w:cs="Times New Roman"/>
                <w:kern w:val="0"/>
                <w:sz w:val="21"/>
                <w:szCs w:val="20"/>
              </w:rPr>
              <w:t>）0.91（气体，15℃）</w:t>
            </w:r>
          </w:p>
        </w:tc>
      </w:tr>
      <w:tr w14:paraId="5CCCD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8" w:type="pct"/>
            <w:vMerge w:val="continue"/>
            <w:vAlign w:val="center"/>
          </w:tcPr>
          <w:p w14:paraId="4B029614">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3D44642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自燃温度（℃）305</w:t>
            </w:r>
          </w:p>
        </w:tc>
        <w:tc>
          <w:tcPr>
            <w:tcW w:w="3072" w:type="pct"/>
            <w:gridSpan w:val="3"/>
            <w:vAlign w:val="center"/>
          </w:tcPr>
          <w:p w14:paraId="03C2A1FB">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沸点（℃）-84（升华，直接由固态变为气态）</w:t>
            </w:r>
          </w:p>
        </w:tc>
      </w:tr>
      <w:tr w14:paraId="1B671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39AF8A69">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1E5DAAF3">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爆炸极限</w:t>
            </w:r>
          </w:p>
        </w:tc>
        <w:tc>
          <w:tcPr>
            <w:tcW w:w="3072" w:type="pct"/>
            <w:gridSpan w:val="3"/>
            <w:vAlign w:val="center"/>
          </w:tcPr>
          <w:p w14:paraId="0A73E6B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2.5%~82%（空气中，极易燃易爆）</w:t>
            </w:r>
          </w:p>
        </w:tc>
      </w:tr>
      <w:tr w14:paraId="06482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5C94303D">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3C0B853A">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w:t>
            </w:r>
          </w:p>
        </w:tc>
        <w:tc>
          <w:tcPr>
            <w:tcW w:w="3072" w:type="pct"/>
            <w:gridSpan w:val="3"/>
            <w:vAlign w:val="center"/>
          </w:tcPr>
          <w:p w14:paraId="2102DF9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不稳定，高压或高温下易分解爆炸；需用丙酮或特殊容器储存</w:t>
            </w:r>
          </w:p>
        </w:tc>
      </w:tr>
      <w:tr w14:paraId="03717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18BF8076">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05AFE917">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溶解度</w:t>
            </w:r>
          </w:p>
        </w:tc>
        <w:tc>
          <w:tcPr>
            <w:tcW w:w="3072" w:type="pct"/>
            <w:gridSpan w:val="3"/>
            <w:vAlign w:val="center"/>
          </w:tcPr>
          <w:p w14:paraId="488DD00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微溶于水（1.1g/L，20℃），易溶于丙酮、乙醇等有机溶剂</w:t>
            </w:r>
          </w:p>
        </w:tc>
      </w:tr>
      <w:tr w14:paraId="1EEB3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32CD9992">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毒性及健康危害</w:t>
            </w:r>
          </w:p>
        </w:tc>
        <w:tc>
          <w:tcPr>
            <w:tcW w:w="916" w:type="pct"/>
            <w:vAlign w:val="center"/>
          </w:tcPr>
          <w:p w14:paraId="148937C1">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侵入途径</w:t>
            </w:r>
          </w:p>
        </w:tc>
        <w:tc>
          <w:tcPr>
            <w:tcW w:w="3354" w:type="pct"/>
            <w:gridSpan w:val="5"/>
            <w:vAlign w:val="center"/>
          </w:tcPr>
          <w:p w14:paraId="6F2CA60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吸入</w:t>
            </w:r>
          </w:p>
        </w:tc>
      </w:tr>
      <w:tr w14:paraId="3D3A4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3FB9B1C7">
            <w:pPr>
              <w:widowControl/>
              <w:adjustRightInd w:val="0"/>
              <w:snapToGrid w:val="0"/>
              <w:spacing w:line="240" w:lineRule="auto"/>
              <w:ind w:firstLine="0" w:firstLineChars="0"/>
              <w:jc w:val="center"/>
              <w:textAlignment w:val="auto"/>
              <w:rPr>
                <w:rFonts w:cs="Times New Roman"/>
                <w:kern w:val="0"/>
                <w:sz w:val="21"/>
                <w:szCs w:val="20"/>
              </w:rPr>
            </w:pPr>
          </w:p>
        </w:tc>
        <w:tc>
          <w:tcPr>
            <w:tcW w:w="916" w:type="pct"/>
            <w:vAlign w:val="center"/>
          </w:tcPr>
          <w:p w14:paraId="51E60771">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毒性</w:t>
            </w:r>
          </w:p>
        </w:tc>
        <w:tc>
          <w:tcPr>
            <w:tcW w:w="3354" w:type="pct"/>
            <w:gridSpan w:val="5"/>
            <w:vAlign w:val="center"/>
          </w:tcPr>
          <w:p w14:paraId="00B8665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LD</w:t>
            </w:r>
            <w:r>
              <w:rPr>
                <w:rFonts w:cs="Times New Roman"/>
                <w:kern w:val="0"/>
                <w:sz w:val="21"/>
                <w:szCs w:val="20"/>
                <w:vertAlign w:val="subscript"/>
              </w:rPr>
              <w:t>50</w:t>
            </w:r>
            <w:r>
              <w:rPr>
                <w:rFonts w:cs="Times New Roman"/>
                <w:kern w:val="0"/>
                <w:sz w:val="21"/>
                <w:szCs w:val="20"/>
              </w:rPr>
              <w:t>：LD</w:t>
            </w:r>
            <w:r>
              <w:rPr>
                <w:rFonts w:cs="Times New Roman"/>
                <w:kern w:val="0"/>
                <w:sz w:val="21"/>
                <w:szCs w:val="20"/>
                <w:vertAlign w:val="subscript"/>
              </w:rPr>
              <w:t>50</w:t>
            </w:r>
            <w:r>
              <w:rPr>
                <w:rFonts w:cs="Times New Roman"/>
                <w:kern w:val="0"/>
                <w:sz w:val="21"/>
                <w:szCs w:val="20"/>
              </w:rPr>
              <w:t>500000ppm（吸入大鼠）</w:t>
            </w:r>
          </w:p>
        </w:tc>
      </w:tr>
      <w:tr w14:paraId="64078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7F437FFD">
            <w:pPr>
              <w:widowControl/>
              <w:adjustRightInd w:val="0"/>
              <w:snapToGrid w:val="0"/>
              <w:spacing w:line="240" w:lineRule="auto"/>
              <w:ind w:firstLine="0" w:firstLineChars="0"/>
              <w:jc w:val="center"/>
              <w:textAlignment w:val="auto"/>
              <w:rPr>
                <w:rFonts w:cs="Times New Roman"/>
                <w:kern w:val="0"/>
                <w:sz w:val="21"/>
                <w:szCs w:val="20"/>
              </w:rPr>
            </w:pPr>
          </w:p>
        </w:tc>
        <w:tc>
          <w:tcPr>
            <w:tcW w:w="1198" w:type="pct"/>
            <w:gridSpan w:val="3"/>
            <w:vAlign w:val="center"/>
          </w:tcPr>
          <w:p w14:paraId="5B921C6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健康危害</w:t>
            </w:r>
          </w:p>
        </w:tc>
        <w:tc>
          <w:tcPr>
            <w:tcW w:w="3072" w:type="pct"/>
            <w:gridSpan w:val="3"/>
            <w:vAlign w:val="center"/>
          </w:tcPr>
          <w:p w14:paraId="0F5848E7">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低急性毒性，高浓度时主要风险为窒息</w:t>
            </w:r>
          </w:p>
          <w:p w14:paraId="48F18336">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症状：头晕、头痛、恶心、缺氧（高浓度时）慢性暴露：长期接触可能引起神经系统症状（如记忆力减退）</w:t>
            </w:r>
          </w:p>
          <w:p w14:paraId="7443786B">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窒息风险：高浓度乙炔会置换氧气，导致缺氧（尤其密闭空间）</w:t>
            </w:r>
          </w:p>
          <w:p w14:paraId="5B6F9DDA">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其他危害：燃烧产生一氧化碳（有毒），与铜、银等金属反应生成爆炸性乙炔化物</w:t>
            </w:r>
          </w:p>
        </w:tc>
      </w:tr>
      <w:tr w14:paraId="22BAC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restart"/>
            <w:vAlign w:val="center"/>
          </w:tcPr>
          <w:p w14:paraId="10BE427F">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燃烧爆炸危险性</w:t>
            </w:r>
          </w:p>
        </w:tc>
        <w:tc>
          <w:tcPr>
            <w:tcW w:w="2423" w:type="pct"/>
            <w:gridSpan w:val="4"/>
            <w:vAlign w:val="center"/>
          </w:tcPr>
          <w:p w14:paraId="6E09C040">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燃烧性：易燃</w:t>
            </w:r>
          </w:p>
        </w:tc>
        <w:tc>
          <w:tcPr>
            <w:tcW w:w="1847" w:type="pct"/>
            <w:gridSpan w:val="2"/>
            <w:vAlign w:val="center"/>
          </w:tcPr>
          <w:p w14:paraId="07214759">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燃烧分解物：CO</w:t>
            </w:r>
            <w:r>
              <w:rPr>
                <w:rFonts w:cs="Times New Roman"/>
                <w:kern w:val="0"/>
                <w:sz w:val="21"/>
                <w:szCs w:val="20"/>
                <w:vertAlign w:val="subscript"/>
              </w:rPr>
              <w:t>2</w:t>
            </w:r>
            <w:r>
              <w:rPr>
                <w:rFonts w:cs="Times New Roman"/>
                <w:kern w:val="0"/>
                <w:sz w:val="21"/>
                <w:szCs w:val="20"/>
              </w:rPr>
              <w:t>、甲烷、丙烷</w:t>
            </w:r>
          </w:p>
        </w:tc>
      </w:tr>
      <w:tr w14:paraId="0A6BC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72FBEC75">
            <w:pPr>
              <w:widowControl/>
              <w:adjustRightInd w:val="0"/>
              <w:snapToGrid w:val="0"/>
              <w:spacing w:line="240" w:lineRule="auto"/>
              <w:ind w:firstLine="0" w:firstLineChars="0"/>
              <w:jc w:val="center"/>
              <w:textAlignment w:val="auto"/>
              <w:rPr>
                <w:rFonts w:cs="Times New Roman"/>
                <w:kern w:val="0"/>
                <w:sz w:val="21"/>
                <w:szCs w:val="20"/>
              </w:rPr>
            </w:pPr>
          </w:p>
        </w:tc>
        <w:tc>
          <w:tcPr>
            <w:tcW w:w="2423" w:type="pct"/>
            <w:gridSpan w:val="4"/>
            <w:vAlign w:val="center"/>
          </w:tcPr>
          <w:p w14:paraId="45AB354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闪点/℃：-17.78</w:t>
            </w:r>
          </w:p>
        </w:tc>
        <w:tc>
          <w:tcPr>
            <w:tcW w:w="1847" w:type="pct"/>
            <w:gridSpan w:val="2"/>
            <w:vAlign w:val="center"/>
          </w:tcPr>
          <w:p w14:paraId="54278024">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稳定性：不稳定</w:t>
            </w:r>
          </w:p>
        </w:tc>
      </w:tr>
      <w:tr w14:paraId="40AEB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643FDB41">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00CB3BA9">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极端易燃易爆性、高度化学活性及窒息风险‌，其爆炸极限范围宽泛（2.5%~100%），且能与多种物质发生剧烈反应。</w:t>
            </w:r>
          </w:p>
          <w:p w14:paraId="0FBC7D37">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爆炸极限范围极宽：在空气中爆炸范围为2.5%~100%，在氧气中为2.8%~100%，是已知可燃气体中爆炸极限最宽的气体之一。</w:t>
            </w:r>
          </w:p>
          <w:p w14:paraId="4D1C7103">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点火能量极低：空气中最小点火能仅0.019mJ（与氢气相当），氧气中更低至0.0003mJ，微小静电火花即可引燃。</w:t>
            </w:r>
          </w:p>
          <w:p w14:paraId="572850C0">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自燃特性显著：空气中自燃点305℃，氧气中296℃，若含磷化氢杂质时可降至100℃。</w:t>
            </w:r>
          </w:p>
        </w:tc>
      </w:tr>
      <w:tr w14:paraId="1D1E0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Merge w:val="continue"/>
            <w:vAlign w:val="center"/>
          </w:tcPr>
          <w:p w14:paraId="08C9A313">
            <w:pPr>
              <w:widowControl/>
              <w:adjustRightInd w:val="0"/>
              <w:snapToGrid w:val="0"/>
              <w:spacing w:line="240" w:lineRule="auto"/>
              <w:ind w:firstLine="0" w:firstLineChars="0"/>
              <w:jc w:val="center"/>
              <w:textAlignment w:val="auto"/>
              <w:rPr>
                <w:rFonts w:cs="Times New Roman"/>
                <w:kern w:val="0"/>
                <w:sz w:val="21"/>
                <w:szCs w:val="20"/>
              </w:rPr>
            </w:pPr>
          </w:p>
        </w:tc>
        <w:tc>
          <w:tcPr>
            <w:tcW w:w="4271" w:type="pct"/>
            <w:gridSpan w:val="6"/>
            <w:vAlign w:val="center"/>
          </w:tcPr>
          <w:p w14:paraId="3A81C15B">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灭火方法：</w:t>
            </w:r>
          </w:p>
          <w:p w14:paraId="1EE39567">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1.迅速关闭阀门：这是最为关键的一步。关闭乙炔瓶的阀门，能够有效切断乙炔的供应，从根源上阻止火势的蔓延和持续，防止火灾进一步扩大。</w:t>
            </w:r>
          </w:p>
          <w:p w14:paraId="1BE765FD">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2.使用合适的灭火器灭火：迅速取用干粉灭火器、二氧化碳灭火器等进行灭火。使用干粉灭火器时，需先将灭火器上下颠倒几次，使筒内的干粉松动，然后拔下保险销，握住喷管，对准火焰根部按压把手进行喷射；二氧化碳灭火器使用时，要先拔出保险销，再压下压把，将喇叭口对准火焰根部喷射 。</w:t>
            </w:r>
          </w:p>
          <w:p w14:paraId="17405F06">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3.冷却降温：若现场有条件，在确保安全的前提下，可使用大量的水对乙炔瓶进行冷却降温。这能防止因火焰长时间烘烤导致瓶内压力急剧升高，进而引发乙炔瓶爆炸等更为严重的事故。</w:t>
            </w:r>
          </w:p>
          <w:p w14:paraId="1B8A20EE">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4.疏散人员：立即组织周围人员撤离至安全区域，设置警戒范围，防止无关人员靠近，避免造成不必要的人员伤亡。</w:t>
            </w:r>
          </w:p>
        </w:tc>
      </w:tr>
      <w:tr w14:paraId="506D3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Align w:val="center"/>
          </w:tcPr>
          <w:p w14:paraId="2372A88D">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急救措施</w:t>
            </w:r>
          </w:p>
        </w:tc>
        <w:tc>
          <w:tcPr>
            <w:tcW w:w="4271" w:type="pct"/>
            <w:gridSpan w:val="6"/>
            <w:vAlign w:val="center"/>
          </w:tcPr>
          <w:p w14:paraId="00B8E671">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吸入：迅速脱离现场至空气新鲜处，保持呼吸道通畅，如呼吸困难，给输氧；如呼吸停止，立即进行人工呼吸，就医</w:t>
            </w:r>
          </w:p>
        </w:tc>
      </w:tr>
      <w:tr w14:paraId="0DCC0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8" w:type="pct"/>
            <w:vAlign w:val="center"/>
          </w:tcPr>
          <w:p w14:paraId="0A38C235">
            <w:pPr>
              <w:widowControl/>
              <w:adjustRightInd w:val="0"/>
              <w:snapToGrid w:val="0"/>
              <w:spacing w:line="240" w:lineRule="auto"/>
              <w:ind w:firstLine="0" w:firstLineChars="0"/>
              <w:jc w:val="center"/>
              <w:textAlignment w:val="auto"/>
              <w:rPr>
                <w:rFonts w:cs="Times New Roman"/>
                <w:kern w:val="0"/>
                <w:sz w:val="21"/>
                <w:szCs w:val="20"/>
              </w:rPr>
            </w:pPr>
            <w:r>
              <w:rPr>
                <w:rFonts w:cs="Times New Roman"/>
                <w:kern w:val="0"/>
                <w:sz w:val="21"/>
                <w:szCs w:val="20"/>
              </w:rPr>
              <w:t>安全防护措施</w:t>
            </w:r>
          </w:p>
        </w:tc>
        <w:tc>
          <w:tcPr>
            <w:tcW w:w="4271" w:type="pct"/>
            <w:gridSpan w:val="6"/>
            <w:vAlign w:val="center"/>
          </w:tcPr>
          <w:p w14:paraId="3E7F28EC">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通风：确保工作环境通风良好，避免积聚。</w:t>
            </w:r>
          </w:p>
          <w:p w14:paraId="2F51AC05">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防火防爆：远离火源、静电，使用防爆设备。</w:t>
            </w:r>
          </w:p>
          <w:p w14:paraId="6B40FDD3">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个人防护：高浓度时佩戴自给式呼吸器（SCBA）。</w:t>
            </w:r>
          </w:p>
          <w:p w14:paraId="375688D4">
            <w:pPr>
              <w:widowControl/>
              <w:adjustRightInd w:val="0"/>
              <w:snapToGrid w:val="0"/>
              <w:spacing w:line="240" w:lineRule="auto"/>
              <w:ind w:firstLine="0" w:firstLineChars="0"/>
              <w:textAlignment w:val="auto"/>
              <w:rPr>
                <w:rFonts w:cs="Times New Roman"/>
                <w:kern w:val="0"/>
                <w:sz w:val="21"/>
                <w:szCs w:val="20"/>
              </w:rPr>
            </w:pPr>
            <w:r>
              <w:rPr>
                <w:rFonts w:cs="Times New Roman"/>
                <w:kern w:val="0"/>
                <w:sz w:val="21"/>
                <w:szCs w:val="20"/>
              </w:rPr>
              <w:t>储存：专用钢瓶（含丙酮或多孔材料），避免与氧化剂、铜、银接触。</w:t>
            </w:r>
          </w:p>
        </w:tc>
      </w:tr>
    </w:tbl>
    <w:p w14:paraId="7F175977">
      <w:pPr>
        <w:pStyle w:val="4"/>
      </w:pPr>
      <w:r>
        <w:rPr>
          <w:rFonts w:hint="eastAsia"/>
        </w:rPr>
        <w:t>2</w:t>
      </w:r>
      <w:r>
        <w:t>.1.2</w:t>
      </w:r>
      <w:r>
        <w:rPr>
          <w:rFonts w:hint="eastAsia"/>
        </w:rPr>
        <w:t>主要环境风险识别</w:t>
      </w:r>
    </w:p>
    <w:p w14:paraId="71440351">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本项目涉及的主要风险物质包括丁烷、丙烷和乙炔，均属易燃易爆气体，储存与使用过程中存在泄漏、火灾、爆炸等环境风险。丙烷充装站属于危险化学品作业场所，需严格落实全过程安全管理。</w:t>
      </w:r>
    </w:p>
    <w:p w14:paraId="594020DA">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建设项目危险废物环境影响评价指南》的要求，针对项目运营过程中产生的危险废物（如残液、废机油等）在产生、收集、贮存、运输、利用和处置等环节的特点，开展环境风险识别，并提出相应的风险防范措施。</w:t>
      </w:r>
    </w:p>
    <w:p w14:paraId="3DD0239D">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本项目可能发生的环境风险类型详见下表。</w:t>
      </w:r>
    </w:p>
    <w:p w14:paraId="74F321C3">
      <w:pPr>
        <w:pStyle w:val="37"/>
        <w:spacing w:before="163"/>
        <w:rPr>
          <w:rFonts w:cs="Times New Roman"/>
        </w:rPr>
      </w:pPr>
      <w:r>
        <w:rPr>
          <w:rFonts w:cs="Times New Roman"/>
        </w:rPr>
        <w:t>表</w:t>
      </w:r>
      <w:r>
        <w:rPr>
          <w:rFonts w:hint="eastAsia" w:cs="Times New Roman"/>
        </w:rPr>
        <w:t>2-</w:t>
      </w:r>
      <w:r>
        <w:rPr>
          <w:rFonts w:cs="Times New Roman"/>
        </w:rPr>
        <w:t>5  危险单元划分结果表</w:t>
      </w:r>
    </w:p>
    <w:tbl>
      <w:tblPr>
        <w:tblStyle w:val="6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33"/>
        <w:gridCol w:w="2024"/>
        <w:gridCol w:w="1829"/>
        <w:gridCol w:w="1878"/>
        <w:gridCol w:w="1822"/>
      </w:tblGrid>
      <w:tr w14:paraId="064B2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3" w:type="pct"/>
            <w:tcBorders>
              <w:tl2br w:val="nil"/>
              <w:tr2bl w:val="nil"/>
            </w:tcBorders>
            <w:vAlign w:val="center"/>
          </w:tcPr>
          <w:p w14:paraId="2E632CFA">
            <w:pPr>
              <w:spacing w:line="240" w:lineRule="auto"/>
              <w:ind w:firstLine="0" w:firstLineChars="0"/>
              <w:contextualSpacing/>
              <w:jc w:val="center"/>
              <w:rPr>
                <w:rFonts w:cs="Times New Roman"/>
                <w:sz w:val="21"/>
              </w:rPr>
            </w:pPr>
            <w:r>
              <w:rPr>
                <w:rFonts w:cs="Times New Roman"/>
                <w:sz w:val="21"/>
              </w:rPr>
              <w:t>危险单元</w:t>
            </w:r>
          </w:p>
        </w:tc>
        <w:tc>
          <w:tcPr>
            <w:tcW w:w="1090" w:type="pct"/>
            <w:tcBorders>
              <w:tl2br w:val="nil"/>
              <w:tr2bl w:val="nil"/>
            </w:tcBorders>
            <w:vAlign w:val="center"/>
          </w:tcPr>
          <w:p w14:paraId="2DC14578">
            <w:pPr>
              <w:spacing w:line="240" w:lineRule="auto"/>
              <w:ind w:firstLine="0" w:firstLineChars="0"/>
              <w:contextualSpacing/>
              <w:jc w:val="center"/>
              <w:rPr>
                <w:rFonts w:cs="Times New Roman"/>
                <w:sz w:val="21"/>
              </w:rPr>
            </w:pPr>
            <w:r>
              <w:rPr>
                <w:rFonts w:hint="eastAsia" w:cs="Times New Roman"/>
                <w:sz w:val="21"/>
              </w:rPr>
              <w:t>主要事故类型</w:t>
            </w:r>
          </w:p>
        </w:tc>
        <w:tc>
          <w:tcPr>
            <w:tcW w:w="985" w:type="pct"/>
            <w:tcBorders>
              <w:tl2br w:val="nil"/>
              <w:tr2bl w:val="nil"/>
            </w:tcBorders>
            <w:vAlign w:val="center"/>
          </w:tcPr>
          <w:p w14:paraId="6A92CD7B">
            <w:pPr>
              <w:spacing w:line="240" w:lineRule="auto"/>
              <w:ind w:firstLine="0" w:firstLineChars="0"/>
              <w:contextualSpacing/>
              <w:jc w:val="center"/>
              <w:rPr>
                <w:rFonts w:cs="Times New Roman"/>
                <w:sz w:val="21"/>
              </w:rPr>
            </w:pPr>
            <w:r>
              <w:rPr>
                <w:rFonts w:hint="eastAsia" w:cs="Times New Roman"/>
                <w:sz w:val="21"/>
              </w:rPr>
              <w:t>环境风险类型</w:t>
            </w:r>
          </w:p>
        </w:tc>
        <w:tc>
          <w:tcPr>
            <w:tcW w:w="1011" w:type="pct"/>
            <w:tcBorders>
              <w:tl2br w:val="nil"/>
              <w:tr2bl w:val="nil"/>
            </w:tcBorders>
            <w:vAlign w:val="center"/>
          </w:tcPr>
          <w:p w14:paraId="1CE1CD10">
            <w:pPr>
              <w:spacing w:line="240" w:lineRule="auto"/>
              <w:ind w:firstLine="0" w:firstLineChars="0"/>
              <w:contextualSpacing/>
              <w:jc w:val="center"/>
              <w:rPr>
                <w:rFonts w:cs="Times New Roman"/>
                <w:sz w:val="21"/>
              </w:rPr>
            </w:pPr>
            <w:r>
              <w:rPr>
                <w:rFonts w:hint="eastAsia" w:cs="Times New Roman"/>
                <w:sz w:val="21"/>
              </w:rPr>
              <w:t>环境影响途径</w:t>
            </w:r>
          </w:p>
        </w:tc>
        <w:tc>
          <w:tcPr>
            <w:tcW w:w="981" w:type="pct"/>
            <w:tcBorders>
              <w:tl2br w:val="nil"/>
              <w:tr2bl w:val="nil"/>
            </w:tcBorders>
            <w:vAlign w:val="center"/>
          </w:tcPr>
          <w:p w14:paraId="1D84AF70">
            <w:pPr>
              <w:spacing w:line="240" w:lineRule="auto"/>
              <w:ind w:firstLine="0" w:firstLineChars="0"/>
              <w:contextualSpacing/>
              <w:jc w:val="center"/>
              <w:rPr>
                <w:rFonts w:cs="Times New Roman"/>
                <w:sz w:val="21"/>
              </w:rPr>
            </w:pPr>
            <w:r>
              <w:rPr>
                <w:rFonts w:hint="eastAsia" w:cs="Times New Roman"/>
                <w:sz w:val="21"/>
              </w:rPr>
              <w:t>备注</w:t>
            </w:r>
          </w:p>
        </w:tc>
      </w:tr>
      <w:tr w14:paraId="3CC6D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3" w:type="pct"/>
            <w:vMerge w:val="restart"/>
            <w:tcBorders>
              <w:tl2br w:val="nil"/>
              <w:tr2bl w:val="nil"/>
            </w:tcBorders>
            <w:vAlign w:val="center"/>
          </w:tcPr>
          <w:p w14:paraId="0B20F272">
            <w:pPr>
              <w:spacing w:line="240" w:lineRule="auto"/>
              <w:ind w:firstLine="0" w:firstLineChars="0"/>
              <w:contextualSpacing/>
              <w:jc w:val="center"/>
              <w:rPr>
                <w:rFonts w:cs="Times New Roman"/>
                <w:sz w:val="21"/>
              </w:rPr>
            </w:pPr>
            <w:r>
              <w:rPr>
                <w:rFonts w:hint="eastAsia" w:cs="Times New Roman"/>
                <w:sz w:val="21"/>
              </w:rPr>
              <w:t>液化气</w:t>
            </w:r>
            <w:r>
              <w:rPr>
                <w:rFonts w:cs="Times New Roman"/>
                <w:sz w:val="21"/>
              </w:rPr>
              <w:t>储罐区</w:t>
            </w:r>
          </w:p>
        </w:tc>
        <w:tc>
          <w:tcPr>
            <w:tcW w:w="1090" w:type="pct"/>
            <w:tcBorders>
              <w:tl2br w:val="nil"/>
              <w:tr2bl w:val="nil"/>
            </w:tcBorders>
            <w:vAlign w:val="center"/>
          </w:tcPr>
          <w:p w14:paraId="0A01C5ED">
            <w:pPr>
              <w:spacing w:line="240" w:lineRule="auto"/>
              <w:ind w:firstLine="0" w:firstLineChars="0"/>
              <w:contextualSpacing/>
              <w:jc w:val="center"/>
              <w:rPr>
                <w:rFonts w:cs="Times New Roman"/>
                <w:sz w:val="21"/>
              </w:rPr>
            </w:pPr>
            <w:r>
              <w:rPr>
                <w:rFonts w:hint="eastAsia" w:cs="Times New Roman"/>
                <w:sz w:val="21"/>
              </w:rPr>
              <w:t>丙烷、丁烷泄漏</w:t>
            </w:r>
          </w:p>
        </w:tc>
        <w:tc>
          <w:tcPr>
            <w:tcW w:w="985" w:type="pct"/>
            <w:tcBorders>
              <w:tl2br w:val="nil"/>
              <w:tr2bl w:val="nil"/>
            </w:tcBorders>
            <w:vAlign w:val="center"/>
          </w:tcPr>
          <w:p w14:paraId="0112C5A8">
            <w:pPr>
              <w:spacing w:line="240" w:lineRule="auto"/>
              <w:ind w:firstLine="0" w:firstLineChars="0"/>
              <w:contextualSpacing/>
              <w:jc w:val="center"/>
              <w:rPr>
                <w:rFonts w:cs="Times New Roman"/>
                <w:sz w:val="21"/>
              </w:rPr>
            </w:pPr>
            <w:r>
              <w:rPr>
                <w:rFonts w:hint="eastAsia" w:cs="Times New Roman"/>
                <w:sz w:val="21"/>
              </w:rPr>
              <w:t>物质泄漏</w:t>
            </w:r>
          </w:p>
        </w:tc>
        <w:tc>
          <w:tcPr>
            <w:tcW w:w="1011" w:type="pct"/>
            <w:tcBorders>
              <w:tl2br w:val="nil"/>
              <w:tr2bl w:val="nil"/>
            </w:tcBorders>
            <w:vAlign w:val="center"/>
          </w:tcPr>
          <w:p w14:paraId="4835661E">
            <w:pPr>
              <w:spacing w:line="240" w:lineRule="auto"/>
              <w:ind w:firstLine="0" w:firstLineChars="0"/>
              <w:contextualSpacing/>
              <w:jc w:val="center"/>
              <w:rPr>
                <w:rFonts w:cs="Times New Roman"/>
                <w:sz w:val="21"/>
              </w:rPr>
            </w:pPr>
            <w:r>
              <w:rPr>
                <w:rFonts w:hint="eastAsia" w:cs="Times New Roman"/>
                <w:sz w:val="21"/>
              </w:rPr>
              <w:t>大气</w:t>
            </w:r>
          </w:p>
        </w:tc>
        <w:tc>
          <w:tcPr>
            <w:tcW w:w="981" w:type="pct"/>
            <w:vMerge w:val="restart"/>
            <w:tcBorders>
              <w:tl2br w:val="nil"/>
              <w:tr2bl w:val="nil"/>
            </w:tcBorders>
            <w:vAlign w:val="center"/>
          </w:tcPr>
          <w:p w14:paraId="439B6D8F">
            <w:pPr>
              <w:spacing w:line="240" w:lineRule="auto"/>
              <w:ind w:firstLine="0" w:firstLineChars="0"/>
              <w:contextualSpacing/>
              <w:jc w:val="center"/>
              <w:rPr>
                <w:rFonts w:cs="Times New Roman"/>
                <w:sz w:val="21"/>
              </w:rPr>
            </w:pPr>
            <w:r>
              <w:rPr>
                <w:rFonts w:hint="eastAsia" w:cs="Times New Roman"/>
                <w:sz w:val="21"/>
              </w:rPr>
              <w:t>储罐破裂、故障、员工违规操作等</w:t>
            </w:r>
          </w:p>
        </w:tc>
      </w:tr>
      <w:tr w14:paraId="3BDD3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3" w:type="pct"/>
            <w:vMerge w:val="continue"/>
            <w:tcBorders>
              <w:tl2br w:val="nil"/>
              <w:tr2bl w:val="nil"/>
            </w:tcBorders>
            <w:vAlign w:val="center"/>
          </w:tcPr>
          <w:p w14:paraId="32743088">
            <w:pPr>
              <w:spacing w:line="240" w:lineRule="auto"/>
              <w:ind w:firstLine="0" w:firstLineChars="0"/>
              <w:contextualSpacing/>
              <w:jc w:val="center"/>
              <w:rPr>
                <w:rFonts w:cs="Times New Roman"/>
                <w:sz w:val="21"/>
              </w:rPr>
            </w:pPr>
          </w:p>
        </w:tc>
        <w:tc>
          <w:tcPr>
            <w:tcW w:w="1090" w:type="pct"/>
            <w:tcBorders>
              <w:tl2br w:val="nil"/>
              <w:tr2bl w:val="nil"/>
            </w:tcBorders>
            <w:vAlign w:val="center"/>
          </w:tcPr>
          <w:p w14:paraId="2E76B104">
            <w:pPr>
              <w:spacing w:line="240" w:lineRule="auto"/>
              <w:ind w:firstLine="0" w:firstLineChars="0"/>
              <w:contextualSpacing/>
              <w:jc w:val="center"/>
              <w:rPr>
                <w:rFonts w:cs="Times New Roman"/>
                <w:sz w:val="21"/>
              </w:rPr>
            </w:pPr>
            <w:r>
              <w:rPr>
                <w:rFonts w:hint="eastAsia" w:cs="Times New Roman"/>
                <w:sz w:val="21"/>
              </w:rPr>
              <w:t>火灾事故</w:t>
            </w:r>
          </w:p>
        </w:tc>
        <w:tc>
          <w:tcPr>
            <w:tcW w:w="985" w:type="pct"/>
            <w:tcBorders>
              <w:tl2br w:val="nil"/>
              <w:tr2bl w:val="nil"/>
            </w:tcBorders>
            <w:vAlign w:val="center"/>
          </w:tcPr>
          <w:p w14:paraId="1A71B79A">
            <w:pPr>
              <w:spacing w:line="240" w:lineRule="auto"/>
              <w:ind w:firstLine="0" w:firstLineChars="0"/>
              <w:contextualSpacing/>
              <w:jc w:val="center"/>
              <w:rPr>
                <w:rFonts w:cs="Times New Roman"/>
                <w:sz w:val="21"/>
              </w:rPr>
            </w:pPr>
            <w:r>
              <w:rPr>
                <w:rFonts w:hint="eastAsia" w:cs="Times New Roman"/>
                <w:sz w:val="21"/>
              </w:rPr>
              <w:t>火灾</w:t>
            </w:r>
          </w:p>
        </w:tc>
        <w:tc>
          <w:tcPr>
            <w:tcW w:w="1011" w:type="pct"/>
            <w:tcBorders>
              <w:tl2br w:val="nil"/>
              <w:tr2bl w:val="nil"/>
            </w:tcBorders>
            <w:vAlign w:val="center"/>
          </w:tcPr>
          <w:p w14:paraId="179D5DEC">
            <w:pPr>
              <w:spacing w:line="240" w:lineRule="auto"/>
              <w:ind w:firstLine="0" w:firstLineChars="0"/>
              <w:contextualSpacing/>
              <w:jc w:val="center"/>
              <w:rPr>
                <w:rFonts w:cs="Times New Roman"/>
                <w:sz w:val="21"/>
              </w:rPr>
            </w:pPr>
            <w:r>
              <w:rPr>
                <w:rFonts w:hint="eastAsia" w:cs="Times New Roman"/>
                <w:sz w:val="21"/>
              </w:rPr>
              <w:t>大气</w:t>
            </w:r>
          </w:p>
        </w:tc>
        <w:tc>
          <w:tcPr>
            <w:tcW w:w="981" w:type="pct"/>
            <w:vMerge w:val="continue"/>
            <w:tcBorders>
              <w:tl2br w:val="nil"/>
              <w:tr2bl w:val="nil"/>
            </w:tcBorders>
            <w:vAlign w:val="center"/>
          </w:tcPr>
          <w:p w14:paraId="0B28EB72">
            <w:pPr>
              <w:spacing w:line="240" w:lineRule="auto"/>
              <w:ind w:firstLine="0" w:firstLineChars="0"/>
              <w:contextualSpacing/>
              <w:jc w:val="center"/>
              <w:rPr>
                <w:rFonts w:cs="Times New Roman"/>
                <w:sz w:val="21"/>
              </w:rPr>
            </w:pPr>
          </w:p>
        </w:tc>
      </w:tr>
      <w:tr w14:paraId="10B61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 w:hRule="atLeast"/>
        </w:trPr>
        <w:tc>
          <w:tcPr>
            <w:tcW w:w="933" w:type="pct"/>
            <w:vMerge w:val="continue"/>
            <w:tcBorders>
              <w:tl2br w:val="nil"/>
              <w:tr2bl w:val="nil"/>
            </w:tcBorders>
            <w:vAlign w:val="center"/>
          </w:tcPr>
          <w:p w14:paraId="318EE220">
            <w:pPr>
              <w:spacing w:line="240" w:lineRule="auto"/>
              <w:ind w:firstLine="0" w:firstLineChars="0"/>
              <w:contextualSpacing/>
              <w:jc w:val="center"/>
              <w:rPr>
                <w:rFonts w:cs="Times New Roman"/>
                <w:sz w:val="21"/>
              </w:rPr>
            </w:pPr>
          </w:p>
        </w:tc>
        <w:tc>
          <w:tcPr>
            <w:tcW w:w="1090" w:type="pct"/>
            <w:tcBorders>
              <w:tl2br w:val="nil"/>
              <w:tr2bl w:val="nil"/>
            </w:tcBorders>
            <w:vAlign w:val="center"/>
          </w:tcPr>
          <w:p w14:paraId="5185BD4A">
            <w:pPr>
              <w:spacing w:line="240" w:lineRule="auto"/>
              <w:ind w:firstLine="0" w:firstLineChars="0"/>
              <w:contextualSpacing/>
              <w:jc w:val="center"/>
              <w:rPr>
                <w:rFonts w:cs="Times New Roman"/>
                <w:sz w:val="21"/>
              </w:rPr>
            </w:pPr>
            <w:r>
              <w:rPr>
                <w:rFonts w:hint="eastAsia" w:cs="Times New Roman"/>
                <w:sz w:val="21"/>
              </w:rPr>
              <w:t>爆炸事故</w:t>
            </w:r>
          </w:p>
        </w:tc>
        <w:tc>
          <w:tcPr>
            <w:tcW w:w="985" w:type="pct"/>
            <w:tcBorders>
              <w:tl2br w:val="nil"/>
              <w:tr2bl w:val="nil"/>
            </w:tcBorders>
            <w:vAlign w:val="center"/>
          </w:tcPr>
          <w:p w14:paraId="12BBADA8">
            <w:pPr>
              <w:spacing w:line="240" w:lineRule="auto"/>
              <w:ind w:firstLine="0" w:firstLineChars="0"/>
              <w:contextualSpacing/>
              <w:jc w:val="center"/>
              <w:rPr>
                <w:rFonts w:cs="Times New Roman"/>
                <w:sz w:val="21"/>
              </w:rPr>
            </w:pPr>
            <w:r>
              <w:rPr>
                <w:rFonts w:hint="eastAsia" w:cs="Times New Roman"/>
                <w:sz w:val="21"/>
              </w:rPr>
              <w:t>爆炸</w:t>
            </w:r>
          </w:p>
        </w:tc>
        <w:tc>
          <w:tcPr>
            <w:tcW w:w="1011" w:type="pct"/>
            <w:tcBorders>
              <w:tl2br w:val="nil"/>
              <w:tr2bl w:val="nil"/>
            </w:tcBorders>
            <w:vAlign w:val="center"/>
          </w:tcPr>
          <w:p w14:paraId="4501BD7A">
            <w:pPr>
              <w:spacing w:line="240" w:lineRule="auto"/>
              <w:ind w:firstLine="0" w:firstLineChars="0"/>
              <w:contextualSpacing/>
              <w:jc w:val="center"/>
              <w:rPr>
                <w:rFonts w:cs="Times New Roman"/>
                <w:sz w:val="21"/>
              </w:rPr>
            </w:pPr>
            <w:r>
              <w:rPr>
                <w:rFonts w:hint="eastAsia" w:cs="Times New Roman"/>
                <w:sz w:val="21"/>
              </w:rPr>
              <w:t>大气</w:t>
            </w:r>
          </w:p>
        </w:tc>
        <w:tc>
          <w:tcPr>
            <w:tcW w:w="981" w:type="pct"/>
            <w:vMerge w:val="continue"/>
            <w:tcBorders>
              <w:tl2br w:val="nil"/>
              <w:tr2bl w:val="nil"/>
            </w:tcBorders>
            <w:vAlign w:val="center"/>
          </w:tcPr>
          <w:p w14:paraId="6ECEDB0B">
            <w:pPr>
              <w:spacing w:line="240" w:lineRule="auto"/>
              <w:ind w:firstLine="0" w:firstLineChars="0"/>
              <w:contextualSpacing/>
              <w:jc w:val="center"/>
              <w:rPr>
                <w:rFonts w:cs="Times New Roman"/>
                <w:sz w:val="21"/>
              </w:rPr>
            </w:pPr>
          </w:p>
        </w:tc>
      </w:tr>
      <w:tr w14:paraId="6B185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 w:hRule="atLeast"/>
        </w:trPr>
        <w:tc>
          <w:tcPr>
            <w:tcW w:w="933" w:type="pct"/>
            <w:tcBorders>
              <w:tl2br w:val="nil"/>
              <w:tr2bl w:val="nil"/>
            </w:tcBorders>
            <w:vAlign w:val="center"/>
          </w:tcPr>
          <w:p w14:paraId="4BCAE0D3">
            <w:pPr>
              <w:spacing w:line="240" w:lineRule="auto"/>
              <w:ind w:firstLine="0" w:firstLineChars="0"/>
              <w:contextualSpacing/>
              <w:jc w:val="center"/>
              <w:rPr>
                <w:rFonts w:cs="Times New Roman"/>
                <w:sz w:val="21"/>
              </w:rPr>
            </w:pPr>
            <w:r>
              <w:rPr>
                <w:rFonts w:hint="eastAsia" w:cs="Times New Roman"/>
                <w:sz w:val="21"/>
              </w:rPr>
              <w:t>气瓶库</w:t>
            </w:r>
          </w:p>
        </w:tc>
        <w:tc>
          <w:tcPr>
            <w:tcW w:w="1090" w:type="pct"/>
            <w:tcBorders>
              <w:tl2br w:val="nil"/>
              <w:tr2bl w:val="nil"/>
            </w:tcBorders>
            <w:vAlign w:val="center"/>
          </w:tcPr>
          <w:p w14:paraId="411FDBF0">
            <w:pPr>
              <w:spacing w:line="240" w:lineRule="auto"/>
              <w:ind w:firstLine="0" w:firstLineChars="0"/>
              <w:contextualSpacing/>
              <w:jc w:val="center"/>
              <w:rPr>
                <w:rFonts w:cs="Times New Roman"/>
                <w:sz w:val="21"/>
              </w:rPr>
            </w:pPr>
            <w:r>
              <w:rPr>
                <w:rFonts w:hint="eastAsia" w:cs="Times New Roman"/>
                <w:sz w:val="21"/>
              </w:rPr>
              <w:t>乙炔泄漏</w:t>
            </w:r>
          </w:p>
        </w:tc>
        <w:tc>
          <w:tcPr>
            <w:tcW w:w="985" w:type="pct"/>
            <w:tcBorders>
              <w:tl2br w:val="nil"/>
              <w:tr2bl w:val="nil"/>
            </w:tcBorders>
            <w:vAlign w:val="center"/>
          </w:tcPr>
          <w:p w14:paraId="7E45657E">
            <w:pPr>
              <w:spacing w:line="240" w:lineRule="auto"/>
              <w:ind w:firstLine="0" w:firstLineChars="0"/>
              <w:contextualSpacing/>
              <w:jc w:val="center"/>
              <w:rPr>
                <w:rFonts w:cs="Times New Roman"/>
                <w:sz w:val="21"/>
              </w:rPr>
            </w:pPr>
            <w:r>
              <w:rPr>
                <w:rFonts w:hint="eastAsia" w:cs="Times New Roman"/>
                <w:sz w:val="21"/>
              </w:rPr>
              <w:t>物质泄漏</w:t>
            </w:r>
          </w:p>
        </w:tc>
        <w:tc>
          <w:tcPr>
            <w:tcW w:w="1011" w:type="pct"/>
            <w:tcBorders>
              <w:tl2br w:val="nil"/>
              <w:tr2bl w:val="nil"/>
            </w:tcBorders>
            <w:vAlign w:val="center"/>
          </w:tcPr>
          <w:p w14:paraId="475394C6">
            <w:pPr>
              <w:spacing w:line="240" w:lineRule="auto"/>
              <w:ind w:firstLine="0" w:firstLineChars="0"/>
              <w:contextualSpacing/>
              <w:jc w:val="center"/>
              <w:rPr>
                <w:rFonts w:cs="Times New Roman"/>
                <w:sz w:val="21"/>
              </w:rPr>
            </w:pPr>
            <w:r>
              <w:rPr>
                <w:rFonts w:hint="eastAsia" w:cs="Times New Roman"/>
                <w:sz w:val="21"/>
              </w:rPr>
              <w:t>大气</w:t>
            </w:r>
          </w:p>
        </w:tc>
        <w:tc>
          <w:tcPr>
            <w:tcW w:w="981" w:type="pct"/>
            <w:tcBorders>
              <w:tl2br w:val="nil"/>
              <w:tr2bl w:val="nil"/>
            </w:tcBorders>
            <w:vAlign w:val="center"/>
          </w:tcPr>
          <w:p w14:paraId="6C7F4F76">
            <w:pPr>
              <w:spacing w:line="240" w:lineRule="auto"/>
              <w:ind w:firstLine="0" w:firstLineChars="0"/>
              <w:contextualSpacing/>
              <w:jc w:val="center"/>
              <w:rPr>
                <w:rFonts w:cs="Times New Roman"/>
                <w:sz w:val="21"/>
              </w:rPr>
            </w:pPr>
            <w:r>
              <w:rPr>
                <w:rFonts w:hint="eastAsia" w:cs="Times New Roman"/>
                <w:sz w:val="21"/>
              </w:rPr>
              <w:t>气瓶破裂、故障等</w:t>
            </w:r>
          </w:p>
        </w:tc>
      </w:tr>
      <w:tr w14:paraId="20E03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3" w:type="pct"/>
            <w:tcBorders>
              <w:tl2br w:val="nil"/>
              <w:tr2bl w:val="nil"/>
            </w:tcBorders>
            <w:vAlign w:val="center"/>
          </w:tcPr>
          <w:p w14:paraId="35160609">
            <w:pPr>
              <w:spacing w:line="240" w:lineRule="auto"/>
              <w:ind w:firstLine="0" w:firstLineChars="0"/>
              <w:contextualSpacing/>
              <w:jc w:val="center"/>
              <w:rPr>
                <w:rFonts w:cs="Times New Roman"/>
                <w:sz w:val="21"/>
              </w:rPr>
            </w:pPr>
            <w:r>
              <w:rPr>
                <w:rFonts w:hint="eastAsia" w:cs="Times New Roman"/>
                <w:sz w:val="21"/>
              </w:rPr>
              <w:t>残液罐</w:t>
            </w:r>
          </w:p>
        </w:tc>
        <w:tc>
          <w:tcPr>
            <w:tcW w:w="1090" w:type="pct"/>
            <w:tcBorders>
              <w:tl2br w:val="nil"/>
              <w:tr2bl w:val="nil"/>
            </w:tcBorders>
            <w:vAlign w:val="center"/>
          </w:tcPr>
          <w:p w14:paraId="28F26621">
            <w:pPr>
              <w:spacing w:line="240" w:lineRule="auto"/>
              <w:ind w:firstLine="0" w:firstLineChars="0"/>
              <w:contextualSpacing/>
              <w:jc w:val="center"/>
              <w:rPr>
                <w:rFonts w:cs="Times New Roman"/>
                <w:sz w:val="21"/>
              </w:rPr>
            </w:pPr>
            <w:r>
              <w:rPr>
                <w:rFonts w:hint="eastAsia" w:cs="Times New Roman"/>
                <w:sz w:val="21"/>
              </w:rPr>
              <w:t>危险废物贮存过程</w:t>
            </w:r>
          </w:p>
        </w:tc>
        <w:tc>
          <w:tcPr>
            <w:tcW w:w="985" w:type="pct"/>
            <w:tcBorders>
              <w:tl2br w:val="nil"/>
              <w:tr2bl w:val="nil"/>
            </w:tcBorders>
            <w:vAlign w:val="center"/>
          </w:tcPr>
          <w:p w14:paraId="7644D82D">
            <w:pPr>
              <w:spacing w:line="240" w:lineRule="auto"/>
              <w:ind w:firstLine="0" w:firstLineChars="0"/>
              <w:contextualSpacing/>
              <w:jc w:val="center"/>
              <w:rPr>
                <w:rFonts w:cs="Times New Roman"/>
                <w:sz w:val="21"/>
              </w:rPr>
            </w:pPr>
            <w:r>
              <w:rPr>
                <w:rFonts w:hint="eastAsia" w:cs="Times New Roman"/>
                <w:sz w:val="21"/>
              </w:rPr>
              <w:t>物质泄漏</w:t>
            </w:r>
          </w:p>
        </w:tc>
        <w:tc>
          <w:tcPr>
            <w:tcW w:w="1011" w:type="pct"/>
            <w:tcBorders>
              <w:tl2br w:val="nil"/>
              <w:tr2bl w:val="nil"/>
            </w:tcBorders>
            <w:vAlign w:val="center"/>
          </w:tcPr>
          <w:p w14:paraId="4A262E88">
            <w:pPr>
              <w:spacing w:line="240" w:lineRule="auto"/>
              <w:ind w:firstLine="0" w:firstLineChars="0"/>
              <w:contextualSpacing/>
              <w:jc w:val="center"/>
              <w:rPr>
                <w:rFonts w:cs="Times New Roman"/>
                <w:sz w:val="21"/>
              </w:rPr>
            </w:pPr>
            <w:r>
              <w:rPr>
                <w:rFonts w:hint="eastAsia" w:cs="Times New Roman"/>
                <w:sz w:val="21"/>
              </w:rPr>
              <w:t>土壤、地下水</w:t>
            </w:r>
          </w:p>
        </w:tc>
        <w:tc>
          <w:tcPr>
            <w:tcW w:w="981" w:type="pct"/>
            <w:tcBorders>
              <w:tl2br w:val="nil"/>
              <w:tr2bl w:val="nil"/>
            </w:tcBorders>
            <w:vAlign w:val="center"/>
          </w:tcPr>
          <w:p w14:paraId="35D3FEBC">
            <w:pPr>
              <w:spacing w:line="240" w:lineRule="auto"/>
              <w:ind w:firstLine="0" w:firstLineChars="0"/>
              <w:contextualSpacing/>
              <w:jc w:val="center"/>
              <w:rPr>
                <w:rFonts w:cs="Times New Roman"/>
                <w:sz w:val="21"/>
              </w:rPr>
            </w:pPr>
            <w:r>
              <w:rPr>
                <w:rFonts w:hint="eastAsia" w:cs="Times New Roman"/>
                <w:sz w:val="21"/>
              </w:rPr>
              <w:t>员工违规操作等</w:t>
            </w:r>
          </w:p>
        </w:tc>
      </w:tr>
    </w:tbl>
    <w:p w14:paraId="3CA5F19B">
      <w:pPr>
        <w:ind w:firstLine="482"/>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（1）储罐区丁烷、丙烷及乙炔泄漏</w:t>
      </w:r>
    </w:p>
    <w:p w14:paraId="45329A8E">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项目运营过程中，如管理或操作不当，可能导致丁烷、丙烷和乙炔发生泄漏。</w:t>
      </w:r>
    </w:p>
    <w:p w14:paraId="41600BDC">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丁烷和丙烷：为液化石油气主要成分，泄漏后易扩散，其浓度达到一定水平时会对人体造成急性或慢性损伤，表现为麻醉、昏迷甚至危及生命。同时，高浓度蒸气遇火源可引发火灾或爆炸。</w:t>
      </w:r>
    </w:p>
    <w:p w14:paraId="1CB3BB55">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乙炔：属于高度易燃气体，在高压下不稳定，极易因撞击、静电或高温引发分解爆炸。空气中乙炔浓度超过2.5%即可形成爆炸性混合物。长期接触低浓度乙炔可能对神经系统产生影响。</w:t>
      </w:r>
    </w:p>
    <w:p w14:paraId="145F8E55">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泄漏物质不仅对人体健康构成威胁，还可能通过挥发污染大气环境；若进入排水系统或土壤，可能进一步影响地表水与地下水环境。</w:t>
      </w:r>
    </w:p>
    <w:p w14:paraId="64A4549A">
      <w:pPr>
        <w:ind w:firstLine="482"/>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（2）火灾风险</w:t>
      </w:r>
    </w:p>
    <w:p w14:paraId="0F4E8A84">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本项目涉及的丁烷、丙烷和乙炔均为易燃物料，在事故状态下一旦接触明火、静电火花、雷击等点火源，极易引发火灾。</w:t>
      </w:r>
    </w:p>
    <w:p w14:paraId="53249303">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丁烷和丙烷燃烧时火焰温度高、蔓延迅速，产生强烈热辐射和浓烟，对人员安全、设备设施及周边建构筑物构成严重威胁。</w:t>
      </w:r>
    </w:p>
    <w:p w14:paraId="3D28C89C">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乙炔燃烧速度极快，火焰温度可达3000℃以上，危险性更高。</w:t>
      </w:r>
    </w:p>
    <w:p w14:paraId="37759B7D">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火灾过程中可能产生一氧化碳（CO）、氮氧化物等不完全燃烧产物，形成二次污染物，影响大气环境质量。</w:t>
      </w:r>
    </w:p>
    <w:p w14:paraId="35DAE333">
      <w:pPr>
        <w:ind w:firstLine="482"/>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（3）爆炸风险</w:t>
      </w:r>
    </w:p>
    <w:p w14:paraId="208114EE">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爆炸是可燃物在空气中快速氧化反应的结果，其破坏力远大于普通燃烧。</w:t>
      </w:r>
    </w:p>
    <w:p w14:paraId="130CBC17">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当丁烷、丙烷或乙炔泄漏后与空气混合达到爆炸极限，并遭遇点火源时，可能发生爆炸。</w:t>
      </w:r>
    </w:p>
    <w:p w14:paraId="6A9878B9">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特别是乙炔，即使在无氧条件下也可能发生分解爆炸，具有更高的敏感性和破坏性。</w:t>
      </w:r>
    </w:p>
    <w:p w14:paraId="294AFEBC">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爆炸产生的冲击波和震荡效应会对周围建筑、设备和人员造成毁灭性伤害，同时可能引发连锁事故（如次生火灾、容器破裂等），严重影响区域环境安全。</w:t>
      </w:r>
    </w:p>
    <w:p w14:paraId="75129FC7">
      <w:pPr>
        <w:pStyle w:val="3"/>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环境风险事故的环境影响分析</w:t>
      </w:r>
    </w:p>
    <w:p w14:paraId="66889B90">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（1）大气环境影响分析</w:t>
      </w:r>
    </w:p>
    <w:p w14:paraId="53E7FC97">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本项目涉及丁烷、丙烷和乙炔三种易燃易爆气体，在泄漏或事故状态下可能对项目所在地大气环境造成不利影响。</w:t>
      </w:r>
    </w:p>
    <w:p w14:paraId="042089FC">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丁烷和丙烷：泄漏后以气态形式迅速扩散，其蒸气浓度达到一定水平时不仅对人体具有麻醉、窒息等健康危害，还可能形成可燃性混合气体，遇点火源引发火灾或爆炸。</w:t>
      </w:r>
    </w:p>
    <w:p w14:paraId="6F5A4742">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乙炔：为高度不稳定的易燃气体，在高压下极易发生分解爆炸，即使在无氧环境中也可能自爆。空气中乙炔浓度超过2.5%即具备爆炸风险，且燃烧温度高达3000℃以上，危险性极高。</w:t>
      </w:r>
    </w:p>
    <w:p w14:paraId="756CB073">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当站区因管理不当、设备老化或操作失误导致液化气泄漏、管道破裂、火灾或爆炸等事故发生时，会释放大量热量、浓烟及不完全燃烧产物（如一氧化碳CO、氮氧化物NOx等），对局部空气质量造成短期显著影响。</w:t>
      </w:r>
    </w:p>
    <w:p w14:paraId="65BA272F">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但本项目采用以下措施有效降低大气环境风险：</w:t>
      </w:r>
    </w:p>
    <w:p w14:paraId="317E1635">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丁烷、丙烷储罐均采用防渗埋地式压力储罐，材质为16MnDR钢，具备良好的低温韧性和抗压性能；</w:t>
      </w:r>
    </w:p>
    <w:p w14:paraId="4D26CAD1">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站区建设严格遵循《液化石油气供应工程设计规范》（GB51142-2015）和《建筑设计防火规范》（GB50016-2014，2018年版）要求，落实防火间距、通风系统、防雷防静电设施等安全设计；</w:t>
      </w:r>
    </w:p>
    <w:p w14:paraId="643F8C6A">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配备可燃气体泄漏检测报警系统，实时监控储罐、阀门及管道运行状态；</w:t>
      </w:r>
    </w:p>
    <w:p w14:paraId="74FAAC33">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加强日常巡检与应急管理，杜绝“跑、冒、滴、漏”现象。</w:t>
      </w:r>
    </w:p>
    <w:p w14:paraId="63ED7CA1">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综上所述，在严格落实各项防控措施的前提下，项目对大气环境的影响可控，发生重大事故的概率极低。</w:t>
      </w:r>
    </w:p>
    <w:p w14:paraId="167931BC">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（2）地表水环境影响分析</w:t>
      </w:r>
    </w:p>
    <w:p w14:paraId="1CC2B5A2">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丁烷、丙烷在常温常压下为气体，储存在压力储罐中呈液态。当发生泄漏时，液态烃类迅速气化并扩散到空气中，基本不会以液态形式长期存在于地面或流入地表水体。</w:t>
      </w:r>
    </w:p>
    <w:p w14:paraId="74BECF8E">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然而，在发生火灾事故时，消防过程中使用的大量水会与燃烧残留物、设备油污、土壤中吸附的烃类物质混合，形成含有化学需氧量（COD）、石油类、悬浮物等污染物的消防废水。若该废水未被有效围堵和收集，可能通过地表径流进入周边排水系统或邻近水体，对地表水环境造成短期冲击。</w:t>
      </w:r>
    </w:p>
    <w:p w14:paraId="572D7445">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特别是在乙炔使用区域，若发生爆炸或高温燃烧，可能生成微量苯系物等有毒副产物，增加废水毒性风险。</w:t>
      </w:r>
    </w:p>
    <w:p w14:paraId="3A409945">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（3）地下水环境影响分析</w:t>
      </w:r>
    </w:p>
    <w:p w14:paraId="75B25DEB">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尽管丁烷、丙烷主要以气态形式泄漏，但在极端情况下（如高压液相泄漏、阀门破裂），少量液态烃可能短暂存在于地面或裂缝中。虽然其挥发性强、难溶于水，但仍可能：在土壤孔隙中形成蒸气相，持续释放VOCs；</w:t>
      </w:r>
    </w:p>
    <w:p w14:paraId="56CA0093">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与雨水或消防水混合后，形成轻质非水相液体（LNAPL），漂浮于地下水位之上，造成长期污染源；</w:t>
      </w:r>
    </w:p>
    <w:p w14:paraId="1E84F014">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污染物可通过包气带向下迁移，在特定地质条件下缓慢影响浅层地下水水质。</w:t>
      </w:r>
    </w:p>
    <w:p w14:paraId="5C01461A">
      <w:pPr>
        <w:ind w:firstLine="480"/>
        <w:textAlignment w:val="auto"/>
        <w:rPr>
          <w:rFonts w:cs="Times New Roman"/>
        </w:rPr>
        <w:sectPr>
          <w:pgSz w:w="11906" w:h="16838"/>
          <w:pgMar w:top="1418" w:right="1418" w:bottom="1418" w:left="1418" w:header="851" w:footer="992" w:gutter="0"/>
          <w:cols w:space="425" w:num="1"/>
          <w:docGrid w:type="lines" w:linePitch="326" w:charSpace="0"/>
        </w:sectPr>
      </w:pPr>
      <w:r>
        <w:rPr>
          <w:rFonts w:cs="Times New Roman"/>
          <w:color w:val="000000" w:themeColor="text1"/>
          <w14:textFill>
            <w14:solidFill>
              <w14:schemeClr w14:val="tx1"/>
            </w14:solidFill>
          </w14:textFill>
        </w:rPr>
        <w:t>此外，若储罐区基础防渗失效，且泄漏液体未能及时清理，污染物可能随入渗水进入地下水系统，导致地下水产生异味，并具有潜在健康风险</w:t>
      </w:r>
      <w:r>
        <w:rPr>
          <w:rFonts w:cs="Times New Roman"/>
        </w:rPr>
        <w:t>。</w:t>
      </w:r>
    </w:p>
    <w:p w14:paraId="792C9E28">
      <w:pPr>
        <w:pStyle w:val="2"/>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环境风险防范措施及应急要求</w:t>
      </w:r>
    </w:p>
    <w:p w14:paraId="3FBC5898">
      <w:pPr>
        <w:pStyle w:val="3"/>
        <w:rPr>
          <w:color w:val="000000" w:themeColor="text1"/>
          <w14:textFill>
            <w14:solidFill>
              <w14:schemeClr w14:val="tx1"/>
            </w14:solidFill>
          </w14:textFill>
        </w:rPr>
      </w:pPr>
      <w:r>
        <w:rPr>
          <w:color w:val="000000" w:themeColor="text1"/>
          <w14:textFill>
            <w14:solidFill>
              <w14:schemeClr w14:val="tx1"/>
            </w14:solidFill>
          </w14:textFill>
        </w:rPr>
        <w:t>3.1</w:t>
      </w:r>
      <w:r>
        <w:rPr>
          <w:rFonts w:hint="eastAsia"/>
          <w:color w:val="000000" w:themeColor="text1"/>
          <w14:textFill>
            <w14:solidFill>
              <w14:schemeClr w14:val="tx1"/>
            </w14:solidFill>
          </w14:textFill>
        </w:rPr>
        <w:t>环境风险事故的环境影响分析</w:t>
      </w:r>
    </w:p>
    <w:p w14:paraId="379FA6FF">
      <w:pPr>
        <w:pStyle w:val="4"/>
        <w:spacing w:line="360" w:lineRule="auto"/>
      </w:pPr>
      <w:r>
        <w:t>3.1.1</w:t>
      </w:r>
      <w:r>
        <w:rPr>
          <w:rFonts w:hint="eastAsia"/>
        </w:rPr>
        <w:t>工艺技术设计防范措施</w:t>
      </w:r>
    </w:p>
    <w:p w14:paraId="02D64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）严格执行国家及有关部门颁布的标准、规范和规定。设计中认真贯彻执行“安全第一，预防为主”的规定。</w:t>
      </w:r>
    </w:p>
    <w:p w14:paraId="727DBC5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工艺上应考虑抗震和管线振动、脆性破裂、温度应力、失稳、高温蠕变、腐蚀破裂及密封泄漏等因素，并采取相应的安全措施加以控制。工艺管线上应安装安全阀、防爆膜、泄压设施、自动控制检测仪表、报警系统、安全连锁装置及卫生检测设施等，确保安全生产。</w:t>
      </w:r>
    </w:p>
    <w:p w14:paraId="5CAE369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）控制系统电源要求采用不间断电源（</w:t>
      </w:r>
      <w:r>
        <w:rPr>
          <w:color w:val="000000" w:themeColor="text1"/>
          <w14:textFill>
            <w14:solidFill>
              <w14:schemeClr w14:val="tx1"/>
            </w14:solidFill>
          </w14:textFill>
        </w:rPr>
        <w:t>UPS</w:t>
      </w:r>
      <w:r>
        <w:rPr>
          <w:rFonts w:hint="eastAsia"/>
          <w:color w:val="000000" w:themeColor="text1"/>
          <w14:textFill>
            <w14:solidFill>
              <w14:schemeClr w14:val="tx1"/>
            </w14:solidFill>
          </w14:textFill>
        </w:rPr>
        <w:t>），双机冗余，备用电池的正常工作时间不低于</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分钟，以保证系统在停电时，能保证生产技术人员能有足够的时间对整个装置系统进行停车操作。</w:t>
      </w:r>
    </w:p>
    <w:p w14:paraId="2271DEA8">
      <w:pPr>
        <w:pStyle w:val="4"/>
      </w:pPr>
      <w:r>
        <w:t>3.1.2</w:t>
      </w:r>
      <w:r>
        <w:rPr>
          <w:rFonts w:hint="eastAsia"/>
        </w:rPr>
        <w:t>生产过程中的风险防范措施</w:t>
      </w:r>
    </w:p>
    <w:p w14:paraId="0577A0A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（1）工作人员的安全培训和教育，所有操作人员均应经过培训和严格训练并取得合格证后才能允许上岗操作。</w:t>
      </w:r>
    </w:p>
    <w:p w14:paraId="595B2DC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（2）严禁吸烟和使用明火，防止火源进入，预防火灾事故的发生。在生产区装置区设置消防灭火设施，合理配置灭火器材，事故应急柜，备有防毒面具，急救药品等。</w:t>
      </w:r>
    </w:p>
    <w:p w14:paraId="19F77EC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（3）生产区设置应急照明灯，工作平台要有安全防护措施，安全通道要通畅无阻；生产场所要有足够的采光和照明，夏季要做好防暑降温措施。</w:t>
      </w:r>
    </w:p>
    <w:p w14:paraId="46C7C2E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（4）在生产区内设置事故应急柜，备有防毒面具，急救药品等。</w:t>
      </w:r>
    </w:p>
    <w:p w14:paraId="788D089B">
      <w:pPr>
        <w:pStyle w:val="4"/>
      </w:pPr>
      <w:r>
        <w:t>3.1.3</w:t>
      </w:r>
      <w:r>
        <w:rPr>
          <w:rFonts w:hint="eastAsia"/>
        </w:rPr>
        <w:t>储存过程风险防范措施</w:t>
      </w:r>
    </w:p>
    <w:p w14:paraId="559029B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rPr>
        <w:t>严格控制丁烷和丙烷的气质</w:t>
      </w:r>
      <w:r>
        <w:rPr>
          <w:rFonts w:hint="eastAsia"/>
          <w:color w:val="000000" w:themeColor="text1"/>
          <w14:textFill>
            <w14:solidFill>
              <w14:schemeClr w14:val="tx1"/>
            </w14:solidFill>
          </w14:textFill>
        </w:rPr>
        <w:t>，储罐区应设置醒目安全标志。进一步提高工艺管线、阀门及用气设备和钢瓶质量，加强日常维护保养。站区设置可燃气体报警器。</w:t>
      </w:r>
    </w:p>
    <w:p w14:paraId="169CC0E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rPr>
        <w:t>按照《液化石油气供应工程设计规范》GB51142-2015及《建筑设计防火规范》GB50016-2014（2018版）等进行站区厂房防火防爆建设</w:t>
      </w:r>
      <w:r>
        <w:rPr>
          <w:rFonts w:hint="eastAsia"/>
          <w:color w:val="000000" w:themeColor="text1"/>
          <w14:textFill>
            <w14:solidFill>
              <w14:schemeClr w14:val="tx1"/>
            </w14:solidFill>
          </w14:textFill>
        </w:rPr>
        <w:t>。</w:t>
      </w:r>
    </w:p>
    <w:p w14:paraId="16A1F21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）要定期对储罐、接管、阀门、泵等设施进行检测与维修，特别要注意对半埋于地下的管道进行防腐层检测和壁厚测量，防止因腐蚀穿孔而导致液化气泄漏。</w:t>
      </w:r>
    </w:p>
    <w:p w14:paraId="5DD1BD8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）应在储罐区配备干粉灭火器（MFZ/ABC型）、消防沙箱、吸油毡、防爆工具等应急物资。沙土可用于围堵少量液相泄漏，防止蔓延；严禁使用水直接喷射液化气泄漏点，以免加速气化引发更大风险。</w:t>
      </w:r>
    </w:p>
    <w:p w14:paraId="5260444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rFonts w:hint="eastAsia"/>
        </w:rPr>
        <w:t>丁烷和丙烷</w:t>
      </w:r>
      <w:r>
        <w:rPr>
          <w:rFonts w:hint="eastAsia"/>
          <w:color w:val="000000" w:themeColor="text1"/>
          <w14:textFill>
            <w14:solidFill>
              <w14:schemeClr w14:val="tx1"/>
            </w14:solidFill>
          </w14:textFill>
        </w:rPr>
        <w:t>属于危险化学品，其运输应委托有资质的单位承担，做好运输车辆、驾驶员、押运员的</w:t>
      </w:r>
      <w:r>
        <w:rPr>
          <w:rFonts w:ascii="宋体" w:hAnsi="宋体" w:cs="宋体"/>
          <w:szCs w:val="24"/>
        </w:rPr>
        <w:t>备案记录</w:t>
      </w:r>
      <w:r>
        <w:rPr>
          <w:rFonts w:hint="eastAsia"/>
          <w:color w:val="000000" w:themeColor="text1"/>
          <w14:textFill>
            <w14:solidFill>
              <w14:schemeClr w14:val="tx1"/>
            </w14:solidFill>
          </w14:textFill>
        </w:rPr>
        <w:t>；严格按有关危险品运输管理的规定进行，严防运输车辆泄漏、交通事故的发生。</w:t>
      </w:r>
    </w:p>
    <w:p w14:paraId="52280AA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）建立和完善危险化学品事故</w:t>
      </w:r>
      <w:r>
        <w:rPr>
          <w:rFonts w:ascii="Helvetica" w:hAnsi="Helvetica"/>
          <w:color w:val="111111"/>
          <w:shd w:val="clear" w:color="auto" w:fill="FFFFFF"/>
        </w:rPr>
        <w:t>应急救援</w:t>
      </w:r>
      <w:r>
        <w:rPr>
          <w:rFonts w:hint="eastAsia"/>
          <w:color w:val="000000" w:themeColor="text1"/>
          <w14:textFill>
            <w14:solidFill>
              <w14:schemeClr w14:val="tx1"/>
            </w14:solidFill>
          </w14:textFill>
        </w:rPr>
        <w:t>体系。针对项目的特点，特定和完善危险化学品事故应急</w:t>
      </w:r>
      <w:r>
        <w:rPr>
          <w:rFonts w:ascii="Helvetica" w:hAnsi="Helvetica"/>
          <w:color w:val="111111"/>
          <w:shd w:val="clear" w:color="auto" w:fill="FFFFFF"/>
        </w:rPr>
        <w:t>救援</w:t>
      </w:r>
      <w:r>
        <w:rPr>
          <w:rFonts w:hint="eastAsia"/>
          <w:color w:val="000000" w:themeColor="text1"/>
          <w14:textFill>
            <w14:solidFill>
              <w14:schemeClr w14:val="tx1"/>
            </w14:solidFill>
          </w14:textFill>
        </w:rPr>
        <w:t>预案，进行各个岗位的培训，定期组织进行事故</w:t>
      </w:r>
      <w:r>
        <w:rPr>
          <w:rFonts w:ascii="Helvetica" w:hAnsi="Helvetica"/>
          <w:color w:val="111111"/>
          <w:shd w:val="clear" w:color="auto" w:fill="FFFFFF"/>
        </w:rPr>
        <w:t>应急救援</w:t>
      </w:r>
      <w:r>
        <w:rPr>
          <w:rFonts w:hint="eastAsia"/>
          <w:color w:val="000000" w:themeColor="text1"/>
          <w14:textFill>
            <w14:solidFill>
              <w14:schemeClr w14:val="tx1"/>
            </w14:solidFill>
          </w14:textFill>
        </w:rPr>
        <w:t>演习，提高</w:t>
      </w:r>
      <w:r>
        <w:rPr>
          <w:rFonts w:ascii="Helvetica" w:hAnsi="Helvetica"/>
          <w:color w:val="111111"/>
          <w:shd w:val="clear" w:color="auto" w:fill="FFFFFF"/>
        </w:rPr>
        <w:t>应急救援</w:t>
      </w:r>
      <w:r>
        <w:rPr>
          <w:rFonts w:hint="eastAsia"/>
          <w:color w:val="000000" w:themeColor="text1"/>
          <w14:textFill>
            <w14:solidFill>
              <w14:schemeClr w14:val="tx1"/>
            </w14:solidFill>
          </w14:textFill>
        </w:rPr>
        <w:t>的能力，以保证在生产过程中出现意外时能准确、迅速地采取措施，控制事故的发生，防止事故的扩大化，并能采取得当措施进行事故后的抢险救援，将事故可能造成的损失控制在最低程度。</w:t>
      </w:r>
    </w:p>
    <w:p w14:paraId="652E28C5">
      <w:pPr>
        <w:pStyle w:val="4"/>
      </w:pPr>
      <w:bookmarkStart w:id="48" w:name="OLE_LINK25"/>
      <w:r>
        <w:t>3.1.4</w:t>
      </w:r>
      <w:r>
        <w:rPr>
          <w:rFonts w:hint="eastAsia"/>
        </w:rPr>
        <w:t>泄漏处理措施</w:t>
      </w:r>
    </w:p>
    <w:p w14:paraId="36DF07E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（1）泄漏防范措施</w:t>
      </w:r>
    </w:p>
    <w:p w14:paraId="253FDA5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1）建立储罐安全操作规程和管理制度，记载卸装介质操作记录和交接班的管理记录；</w:t>
      </w:r>
    </w:p>
    <w:p w14:paraId="1DA78A1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2）设置储罐区环境的液化石油气浓度监测装置，具体要求按</w:t>
      </w:r>
      <w:r>
        <w:rPr>
          <w:color w:val="000000" w:themeColor="text1"/>
          <w14:textFill>
            <w14:solidFill>
              <w14:schemeClr w14:val="tx1"/>
            </w14:solidFill>
          </w14:textFill>
        </w:rPr>
        <w:t>GB/T50493-2019</w:t>
      </w:r>
      <w:r>
        <w:rPr>
          <w:rFonts w:hint="eastAsia"/>
          <w:color w:val="000000" w:themeColor="text1"/>
          <w14:textFill>
            <w14:solidFill>
              <w14:schemeClr w14:val="tx1"/>
            </w14:solidFill>
          </w14:textFill>
        </w:rPr>
        <w:t>《石油化工可燃气体和有毒气体检测报警设计标准》要求，并定期进行监测记录；</w:t>
      </w:r>
    </w:p>
    <w:p w14:paraId="49B5FDA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（2）少量泄漏措施</w:t>
      </w:r>
    </w:p>
    <w:p w14:paraId="65D1E46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1）关闭介质入口管路的阀门，应立即关闭罐区内的全部储罐的介质入口管路的阀门，同时停止周边全部装置运转操作。</w:t>
      </w:r>
      <w:r>
        <w:rPr>
          <w:color w:val="000000" w:themeColor="text1"/>
          <w14:textFill>
            <w14:solidFill>
              <w14:schemeClr w14:val="tx1"/>
            </w14:solidFill>
          </w14:textFill>
        </w:rPr>
        <w:t>迅速撤离泄漏污染区人员至上风处，并进行隔离，严格限制出入。切断火源</w:t>
      </w:r>
      <w:r>
        <w:rPr>
          <w:rFonts w:hint="eastAsia"/>
          <w:color w:val="000000" w:themeColor="text1"/>
          <w14:textFill>
            <w14:solidFill>
              <w14:schemeClr w14:val="tx1"/>
            </w14:solidFill>
          </w14:textFill>
        </w:rPr>
        <w:t>；</w:t>
      </w:r>
    </w:p>
    <w:p w14:paraId="4035699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尽可能切断泄漏源。应急处理人员</w:t>
      </w:r>
      <w:r>
        <w:rPr>
          <w:rFonts w:hint="eastAsia"/>
          <w:color w:val="000000" w:themeColor="text1"/>
          <w14:textFill>
            <w14:solidFill>
              <w14:schemeClr w14:val="tx1"/>
            </w14:solidFill>
          </w14:textFill>
        </w:rPr>
        <w:t>现场防护如下：</w:t>
      </w:r>
    </w:p>
    <w:p w14:paraId="5C1FA116">
      <w:pPr>
        <w:ind w:firstLine="480"/>
        <w:rPr>
          <w:color w:val="000000" w:themeColor="text1"/>
          <w14:textFill>
            <w14:solidFill>
              <w14:schemeClr w14:val="tx1"/>
            </w14:solidFill>
          </w14:textFill>
        </w:rPr>
      </w:pPr>
      <w:r>
        <w:rPr>
          <w:color w:val="000000" w:themeColor="text1"/>
          <w14:textFill>
            <w14:solidFill>
              <w14:schemeClr w14:val="tx1"/>
            </w14:solidFill>
          </w14:textFill>
        </w:rPr>
        <w:t>呼吸系统防护</w:t>
      </w:r>
      <w:r>
        <w:rPr>
          <w:rFonts w:hint="eastAsia"/>
          <w:color w:val="000000" w:themeColor="text1"/>
          <w14:textFill>
            <w14:solidFill>
              <w14:schemeClr w14:val="tx1"/>
            </w14:solidFill>
          </w14:textFill>
        </w:rPr>
        <w:t>：应急处置人员必须佩戴自给正压式空气呼吸器、全身防静电防火服、耐低温耐溶剂手套、化学安全防护眼镜；进入泄漏区域必须实行双人作业，一人操作，一人监护；</w:t>
      </w:r>
    </w:p>
    <w:p w14:paraId="4473B8C9">
      <w:pPr>
        <w:ind w:firstLine="480"/>
        <w:rPr>
          <w:color w:val="000000" w:themeColor="text1"/>
          <w14:textFill>
            <w14:solidFill>
              <w14:schemeClr w14:val="tx1"/>
            </w14:solidFill>
          </w14:textFill>
        </w:rPr>
      </w:pPr>
      <w:r>
        <w:rPr>
          <w:color w:val="000000" w:themeColor="text1"/>
          <w14:textFill>
            <w14:solidFill>
              <w14:schemeClr w14:val="tx1"/>
            </w14:solidFill>
          </w14:textFill>
        </w:rPr>
        <w:t>眼睛防护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一般不需要特殊防护，高浓度接触时可戴化学安全防护眼镜</w:t>
      </w:r>
      <w:r>
        <w:rPr>
          <w:rFonts w:hint="eastAsia"/>
          <w:color w:val="000000" w:themeColor="text1"/>
          <w14:textFill>
            <w14:solidFill>
              <w14:schemeClr w14:val="tx1"/>
            </w14:solidFill>
          </w14:textFill>
        </w:rPr>
        <w:t>；</w:t>
      </w:r>
    </w:p>
    <w:p w14:paraId="2684D129">
      <w:pPr>
        <w:ind w:firstLine="480"/>
        <w:rPr>
          <w:color w:val="000000" w:themeColor="text1"/>
          <w14:textFill>
            <w14:solidFill>
              <w14:schemeClr w14:val="tx1"/>
            </w14:solidFill>
          </w14:textFill>
        </w:rPr>
      </w:pPr>
      <w:r>
        <w:rPr>
          <w:color w:val="000000" w:themeColor="text1"/>
          <w14:textFill>
            <w14:solidFill>
              <w14:schemeClr w14:val="tx1"/>
            </w14:solidFill>
          </w14:textFill>
        </w:rPr>
        <w:t>身体防护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穿防静电工作服</w:t>
      </w:r>
      <w:r>
        <w:rPr>
          <w:rFonts w:hint="eastAsia"/>
          <w:color w:val="000000" w:themeColor="text1"/>
          <w14:textFill>
            <w14:solidFill>
              <w14:schemeClr w14:val="tx1"/>
            </w14:solidFill>
          </w14:textFill>
        </w:rPr>
        <w:t>；</w:t>
      </w:r>
    </w:p>
    <w:p w14:paraId="5058D913">
      <w:pPr>
        <w:ind w:firstLine="480"/>
        <w:rPr>
          <w:color w:val="000000" w:themeColor="text1"/>
          <w14:textFill>
            <w14:solidFill>
              <w14:schemeClr w14:val="tx1"/>
            </w14:solidFill>
          </w14:textFill>
        </w:rPr>
      </w:pPr>
      <w:r>
        <w:rPr>
          <w:color w:val="000000" w:themeColor="text1"/>
          <w14:textFill>
            <w14:solidFill>
              <w14:schemeClr w14:val="tx1"/>
            </w14:solidFill>
          </w14:textFill>
        </w:rPr>
        <w:t>手防护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戴</w:t>
      </w:r>
      <w:r>
        <w:rPr>
          <w:rFonts w:hint="eastAsia"/>
          <w:color w:val="000000" w:themeColor="text1"/>
          <w14:textFill>
            <w14:solidFill>
              <w14:schemeClr w14:val="tx1"/>
            </w14:solidFill>
          </w14:textFill>
        </w:rPr>
        <w:t>胶皮防寒</w:t>
      </w:r>
      <w:r>
        <w:rPr>
          <w:color w:val="000000" w:themeColor="text1"/>
          <w14:textFill>
            <w14:solidFill>
              <w14:schemeClr w14:val="tx1"/>
            </w14:solidFill>
          </w14:textFill>
        </w:rPr>
        <w:t>防护手套</w:t>
      </w:r>
      <w:r>
        <w:rPr>
          <w:rFonts w:hint="eastAsia"/>
          <w:color w:val="000000" w:themeColor="text1"/>
          <w14:textFill>
            <w14:solidFill>
              <w14:schemeClr w14:val="tx1"/>
            </w14:solidFill>
          </w14:textFill>
        </w:rPr>
        <w:t>；</w:t>
      </w:r>
    </w:p>
    <w:p w14:paraId="7B8C9D2B">
      <w:pPr>
        <w:ind w:firstLine="480"/>
        <w:rPr>
          <w:color w:val="000000" w:themeColor="text1"/>
          <w14:textFill>
            <w14:solidFill>
              <w14:schemeClr w14:val="tx1"/>
            </w14:solidFill>
          </w14:textFill>
        </w:rPr>
      </w:pPr>
      <w:r>
        <w:rPr>
          <w:color w:val="000000" w:themeColor="text1"/>
          <w14:textFill>
            <w14:solidFill>
              <w14:schemeClr w14:val="tx1"/>
            </w14:solidFill>
          </w14:textFill>
        </w:rPr>
        <w:t>其它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避免高浓度吸入。进入罐</w:t>
      </w:r>
      <w:r>
        <w:rPr>
          <w:rFonts w:hint="eastAsia"/>
          <w:color w:val="000000" w:themeColor="text1"/>
          <w14:textFill>
            <w14:solidFill>
              <w14:schemeClr w14:val="tx1"/>
            </w14:solidFill>
          </w14:textFill>
        </w:rPr>
        <w:t>区</w:t>
      </w:r>
      <w:r>
        <w:rPr>
          <w:color w:val="000000" w:themeColor="text1"/>
          <w14:textFill>
            <w14:solidFill>
              <w14:schemeClr w14:val="tx1"/>
            </w14:solidFill>
          </w14:textFill>
        </w:rPr>
        <w:t>限制性空间或其它高浓度区作业</w:t>
      </w:r>
      <w:r>
        <w:rPr>
          <w:rFonts w:hint="eastAsia"/>
          <w:color w:val="000000" w:themeColor="text1"/>
          <w14:textFill>
            <w14:solidFill>
              <w14:schemeClr w14:val="tx1"/>
            </w14:solidFill>
          </w14:textFill>
        </w:rPr>
        <w:t>人员</w:t>
      </w:r>
      <w:r>
        <w:rPr>
          <w:color w:val="000000" w:themeColor="text1"/>
          <w14:textFill>
            <w14:solidFill>
              <w14:schemeClr w14:val="tx1"/>
            </w14:solidFill>
          </w14:textFill>
        </w:rPr>
        <w:t>，须有人监护。</w:t>
      </w:r>
    </w:p>
    <w:p w14:paraId="5C7670B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严禁直接接触泄漏物。应用工业覆盖材料或吸附剂封堵泄漏点附近的下水道、地沟等通道，防止气体扩散。通过喷雾状水稀释蒸气云，合理通风加速扩散。可用砂土、蛭石等惰性吸附材料收集泄漏液体，并按规定交由危废单位处理</w:t>
      </w:r>
      <w:r>
        <w:rPr>
          <w:color w:val="000000" w:themeColor="text1"/>
          <w14:textFill>
            <w14:solidFill>
              <w14:schemeClr w14:val="tx1"/>
            </w14:solidFill>
          </w14:textFill>
        </w:rPr>
        <w:t>。</w:t>
      </w:r>
    </w:p>
    <w:p w14:paraId="46CEB3C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4）在确保安全的前提下，可通过烃泵将泄漏储罐内的液化石油气导入备用储罐（倒罐作业）。倒罐过程中应保持系统压力稳定，并有专人监控。作业完成后，应对原储罐残余气体进行清洗置换。</w:t>
      </w:r>
    </w:p>
    <w:p w14:paraId="02D3EC4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5）采用氮气等惰性气体对储罐进行置换，置换工艺应编制专项方案并经审批后执行。置换后取样分析，要求可燃气体浓度低于爆炸下限的10%，氧含量小于1%，方可进入检修阶段。</w:t>
      </w:r>
    </w:p>
    <w:p w14:paraId="171D2E5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6）制定维修方案，必要时应将储罐送交有资格制造厂进行维修施工。</w:t>
      </w:r>
    </w:p>
    <w:p w14:paraId="5587E72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（3）大量泄漏措施：</w:t>
      </w:r>
    </w:p>
    <w:p w14:paraId="59BB6CF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1）当发现大量泄漏时，应立即</w:t>
      </w:r>
      <w:r>
        <w:rPr>
          <w:color w:val="000000" w:themeColor="text1"/>
          <w14:textFill>
            <w14:solidFill>
              <w14:schemeClr w14:val="tx1"/>
            </w14:solidFill>
          </w14:textFill>
        </w:rPr>
        <w:t>向</w:t>
      </w:r>
      <w:r>
        <w:rPr>
          <w:rFonts w:hint="eastAsia"/>
          <w:color w:val="000000" w:themeColor="text1"/>
          <w14:textFill>
            <w14:solidFill>
              <w14:schemeClr w14:val="tx1"/>
            </w14:solidFill>
          </w14:textFill>
        </w:rPr>
        <w:t>当地人民政府</w:t>
      </w:r>
      <w:r>
        <w:rPr>
          <w:color w:val="000000" w:themeColor="text1"/>
          <w14:textFill>
            <w14:solidFill>
              <w14:schemeClr w14:val="tx1"/>
            </w14:solidFill>
          </w14:textFill>
        </w:rPr>
        <w:t>和“119”及</w:t>
      </w:r>
      <w:r>
        <w:rPr>
          <w:rFonts w:hint="eastAsia"/>
          <w:color w:val="000000" w:themeColor="text1"/>
          <w14:textFill>
            <w14:solidFill>
              <w14:schemeClr w14:val="tx1"/>
            </w14:solidFill>
          </w14:textFill>
        </w:rPr>
        <w:t>当地生态环境主管部门</w:t>
      </w:r>
      <w:r>
        <w:rPr>
          <w:color w:val="000000" w:themeColor="text1"/>
          <w14:textFill>
            <w14:solidFill>
              <w14:schemeClr w14:val="tx1"/>
            </w14:solidFill>
          </w14:textFill>
        </w:rPr>
        <w:t>、公安交警部门报警，报警内容应包括：事故单位；事故发生的时间、地点、化学品名称和泄漏量、危险程度；有无人员伤亡以及报警人姓名、电话。</w:t>
      </w:r>
    </w:p>
    <w:p w14:paraId="06509A4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在确保安全的前提下，可采取堵漏措施以防止液化石油气进一步泄漏，但严禁翻转或移动泄漏的容器，以免引发更大风险；应使用雾状水对泄漏区域进行喷洒，以抑制蒸气挥发、降低可燃气体浓度，并引导蒸气云向开阔、上风方向扩散，禁止用水直接冲击泄漏口或液相泄漏流，以防产生静电火花或加剧挥发；同时需采取围堵措施，防止泄漏物进入水体、下水道、地下室或其他密闭空间，并严格禁止人员进入可能积聚液化石油气的受限空间，确保现场安全</w:t>
      </w:r>
      <w:r>
        <w:rPr>
          <w:color w:val="000000" w:themeColor="text1"/>
          <w14:textFill>
            <w14:solidFill>
              <w14:schemeClr w14:val="tx1"/>
            </w14:solidFill>
          </w14:textFill>
        </w:rPr>
        <w:t>。</w:t>
      </w:r>
    </w:p>
    <w:p w14:paraId="5D3C298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清洗以后，在储存和再使用前要将所有的保护性服装和设备洗消。</w:t>
      </w:r>
    </w:p>
    <w:p w14:paraId="68120AAA">
      <w:pPr>
        <w:pStyle w:val="4"/>
      </w:pPr>
      <w:bookmarkStart w:id="49" w:name="OLE_LINK24"/>
      <w:r>
        <w:t>3.1.5</w:t>
      </w:r>
      <w:r>
        <w:rPr>
          <w:color w:val="000000" w:themeColor="text1"/>
          <w:szCs w:val="22"/>
          <w14:textFill>
            <w14:solidFill>
              <w14:schemeClr w14:val="tx1"/>
            </w14:solidFill>
          </w14:textFill>
        </w:rPr>
        <w:t>燃烧爆炸处置</w:t>
      </w:r>
    </w:p>
    <w:bookmarkEnd w:id="49"/>
    <w:p w14:paraId="173007C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燃烧爆炸特性</w:t>
      </w:r>
      <w:r>
        <w:rPr>
          <w:rFonts w:hint="eastAsia"/>
          <w:color w:val="000000" w:themeColor="text1"/>
          <w14:textFill>
            <w14:solidFill>
              <w14:schemeClr w14:val="tx1"/>
            </w14:solidFill>
          </w14:textFill>
        </w:rPr>
        <w:t>：见液化石油气介质的物理性质。</w:t>
      </w:r>
    </w:p>
    <w:p w14:paraId="28A840D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（2）发生爆炸后，应立即关闭罐区内的全部储罐的介质入口管路的阀门，同时停止周边全部装置运转操作。</w:t>
      </w:r>
    </w:p>
    <w:p w14:paraId="59CBDA6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火灾处理措施</w:t>
      </w:r>
    </w:p>
    <w:p w14:paraId="7C87B0D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报警：迅速向当地</w:t>
      </w:r>
      <w:r>
        <w:rPr>
          <w:rFonts w:hint="eastAsia"/>
          <w:color w:val="000000" w:themeColor="text1"/>
          <w14:textFill>
            <w14:solidFill>
              <w14:schemeClr w14:val="tx1"/>
            </w14:solidFill>
          </w14:textFill>
        </w:rPr>
        <w:t>消防救援机构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当地人民政府</w:t>
      </w:r>
      <w:r>
        <w:rPr>
          <w:color w:val="000000" w:themeColor="text1"/>
          <w14:textFill>
            <w14:solidFill>
              <w14:schemeClr w14:val="tx1"/>
            </w14:solidFill>
          </w14:textFill>
        </w:rPr>
        <w:t>报警。报警内容应包括：事故单位；事</w:t>
      </w:r>
      <w:r>
        <w:rPr>
          <w:rFonts w:hint="eastAsia"/>
          <w:color w:val="000000" w:themeColor="text1"/>
          <w14:textFill>
            <w14:solidFill>
              <w14:schemeClr w14:val="tx1"/>
            </w14:solidFill>
          </w14:textFill>
        </w:rPr>
        <w:t>故</w:t>
      </w:r>
      <w:r>
        <w:rPr>
          <w:color w:val="000000" w:themeColor="text1"/>
          <w14:textFill>
            <w14:solidFill>
              <w14:schemeClr w14:val="tx1"/>
            </w14:solidFill>
          </w14:textFill>
        </w:rPr>
        <w:t>发生的时间、地点、化学品名称、危险程度；有无人员伤亡以及报警人姓名、电话。</w:t>
      </w:r>
    </w:p>
    <w:p w14:paraId="7C98CE4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隔离、疏散、转移遇险人员到安全区域，</w:t>
      </w:r>
      <w:r>
        <w:rPr>
          <w:rFonts w:hint="eastAsia"/>
          <w:color w:val="000000" w:themeColor="text1"/>
          <w14:textFill>
            <w14:solidFill>
              <w14:schemeClr w14:val="tx1"/>
            </w14:solidFill>
          </w14:textFill>
        </w:rPr>
        <w:t>按消防专业的要求</w:t>
      </w:r>
      <w:r>
        <w:rPr>
          <w:color w:val="000000" w:themeColor="text1"/>
          <w14:textFill>
            <w14:solidFill>
              <w14:schemeClr w14:val="tx1"/>
            </w14:solidFill>
          </w14:textFill>
        </w:rPr>
        <w:t>警戒区，</w:t>
      </w:r>
    </w:p>
    <w:p w14:paraId="0D2E3211">
      <w:pPr>
        <w:ind w:firstLine="480"/>
        <w:rPr>
          <w:color w:val="000000" w:themeColor="text1"/>
          <w14:textFill>
            <w14:solidFill>
              <w14:schemeClr w14:val="tx1"/>
            </w14:solidFill>
          </w14:textFill>
        </w:rPr>
      </w:pPr>
      <w:r>
        <w:rPr>
          <w:color w:val="000000" w:themeColor="text1"/>
          <w14:textFill>
            <w14:solidFill>
              <w14:schemeClr w14:val="tx1"/>
            </w14:solidFill>
          </w14:textFill>
        </w:rPr>
        <w:t>并在通往事故现场的主要干道上实行交通管制，除消防及应急处理人员外，其他人员禁止进入警戒区，并迅速撤离无关人员。</w:t>
      </w:r>
    </w:p>
    <w:p w14:paraId="4043798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消防人员进入火场前，应穿着防化服，佩戴正压式呼吸器。</w:t>
      </w:r>
    </w:p>
    <w:p w14:paraId="779A61E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小火灾时用干粉或CO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灭火器，大火灾时用水幕、雾状水或常规泡沫。</w:t>
      </w:r>
    </w:p>
    <w:p w14:paraId="78AB7CD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储罐火灾时，尽可能远距离灭火或使用遥控水枪或水炮扑救。</w:t>
      </w:r>
    </w:p>
    <w:p w14:paraId="65E02EE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切勿直接对泄漏口或安全阀门喷水，防止产生冻结。</w:t>
      </w:r>
    </w:p>
    <w:p w14:paraId="6474FB3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安全阀发出声响或变色时应尽快撤离，切勿在储罐两端停留</w:t>
      </w:r>
    </w:p>
    <w:p w14:paraId="76D61A8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（4）同时组织专业人员制定抢救和修理方案。并将事故及时上报有关部门。</w:t>
      </w:r>
    </w:p>
    <w:p w14:paraId="0EC4E465">
      <w:pPr>
        <w:pStyle w:val="4"/>
      </w:pPr>
      <w:r>
        <w:t>3.1.6</w:t>
      </w:r>
      <w:r>
        <w:rPr>
          <w:rFonts w:hint="eastAsia"/>
          <w:color w:val="000000" w:themeColor="text1"/>
          <w:szCs w:val="22"/>
          <w14:textFill>
            <w14:solidFill>
              <w14:schemeClr w14:val="tx1"/>
            </w14:solidFill>
          </w14:textFill>
        </w:rPr>
        <w:t>受伤人员处理</w:t>
      </w:r>
      <w:r>
        <w:rPr>
          <w:color w:val="000000" w:themeColor="text1"/>
          <w:szCs w:val="22"/>
          <w14:textFill>
            <w14:solidFill>
              <w14:schemeClr w14:val="tx1"/>
            </w14:solidFill>
          </w14:textFill>
        </w:rPr>
        <w:t>措施</w:t>
      </w:r>
      <w:r>
        <w:rPr>
          <w:rFonts w:hint="eastAsia"/>
          <w:color w:val="000000" w:themeColor="text1"/>
          <w:szCs w:val="22"/>
          <w14:textFill>
            <w14:solidFill>
              <w14:schemeClr w14:val="tx1"/>
            </w14:solidFill>
          </w14:textFill>
        </w:rPr>
        <w:t>：</w:t>
      </w:r>
    </w:p>
    <w:p w14:paraId="327ABC7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皮肤接触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若有冻伤</w:t>
      </w:r>
      <w:r>
        <w:rPr>
          <w:rFonts w:hint="eastAsia"/>
          <w:color w:val="000000" w:themeColor="text1"/>
          <w14:textFill>
            <w14:solidFill>
              <w14:schemeClr w14:val="tx1"/>
            </w14:solidFill>
          </w14:textFill>
        </w:rPr>
        <w:t>和低温灼伤</w:t>
      </w:r>
      <w:r>
        <w:rPr>
          <w:color w:val="000000" w:themeColor="text1"/>
          <w14:textFill>
            <w14:solidFill>
              <w14:schemeClr w14:val="tx1"/>
            </w14:solidFill>
          </w14:textFill>
        </w:rPr>
        <w:t>，就医治疗。</w:t>
      </w:r>
    </w:p>
    <w:p w14:paraId="299C65B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吸入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迅速脱离现场至空气新鲜处。保持呼吸道通畅。如呼吸困</w:t>
      </w:r>
    </w:p>
    <w:p w14:paraId="6FF7D4F4">
      <w:pPr>
        <w:ind w:firstLine="480"/>
        <w:rPr>
          <w:color w:val="000000" w:themeColor="text1"/>
          <w14:textFill>
            <w14:solidFill>
              <w14:schemeClr w14:val="tx1"/>
            </w14:solidFill>
          </w14:textFill>
        </w:rPr>
      </w:pPr>
      <w:r>
        <w:rPr>
          <w:color w:val="000000" w:themeColor="text1"/>
          <w14:textFill>
            <w14:solidFill>
              <w14:schemeClr w14:val="tx1"/>
            </w14:solidFill>
          </w14:textFill>
        </w:rPr>
        <w:t>难，给输氧。如呼吸停止，立即进行人工呼吸。就医</w:t>
      </w:r>
      <w:r>
        <w:rPr>
          <w:rFonts w:hint="eastAsia"/>
          <w:color w:val="000000" w:themeColor="text1"/>
          <w14:textFill>
            <w14:solidFill>
              <w14:schemeClr w14:val="tx1"/>
            </w14:solidFill>
          </w14:textFill>
        </w:rPr>
        <w:t>。</w:t>
      </w:r>
    </w:p>
    <w:bookmarkEnd w:id="48"/>
    <w:p w14:paraId="11B197EB">
      <w:pPr>
        <w:pStyle w:val="3"/>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地下水风险防范措施</w:t>
      </w:r>
    </w:p>
    <w:p w14:paraId="36A83695">
      <w:pPr>
        <w:ind w:firstLine="480"/>
      </w:pPr>
      <w:r>
        <w:rPr>
          <w:rFonts w:hint="eastAsia"/>
        </w:rPr>
        <w:t>地下水环境风险防范措施重点采取源头控制、分区防渗、加强监控等措施。</w:t>
      </w:r>
    </w:p>
    <w:p w14:paraId="6E42D4A8">
      <w:pPr>
        <w:ind w:firstLine="480"/>
      </w:pPr>
      <w:r>
        <w:rPr>
          <w:rFonts w:hint="eastAsia"/>
        </w:rPr>
        <w:t>（1）项目生产工艺、管道设备应采取严格控制措施，防止污染物的跑、冒、滴、漏。项目储罐区围堰做好防渗措施，不与地下水直接接触。</w:t>
      </w:r>
    </w:p>
    <w:p w14:paraId="14E52BC4">
      <w:pPr>
        <w:ind w:firstLine="480"/>
      </w:pPr>
      <w:r>
        <w:rPr>
          <w:rFonts w:hint="eastAsia"/>
        </w:rPr>
        <w:t>（2）将储罐区作为重点防渗区；</w:t>
      </w:r>
    </w:p>
    <w:p w14:paraId="36CCC60F">
      <w:pPr>
        <w:ind w:firstLine="480"/>
      </w:pPr>
      <w:r>
        <w:rPr>
          <w:rFonts w:hint="eastAsia"/>
        </w:rPr>
        <w:t>（3）建设单位应对区域地下水实行环境影响跟踪监测计划，根据《环境影响评价技术导则 地下水环境》（HJ610-2016）中地下水环境影响跟踪监测的要求，在建设项目场地、场址上、下游各布设一个监控井，其中场地上游监控井为背景值监测点，场地内监控井作为地下水环境影响跟踪监测点，下游监控井为污染扩散监测点。</w:t>
      </w:r>
    </w:p>
    <w:p w14:paraId="4394D7FC">
      <w:pPr>
        <w:ind w:firstLine="480"/>
      </w:pPr>
      <w:r>
        <w:rPr>
          <w:rFonts w:hint="eastAsia"/>
        </w:rPr>
        <w:t>（4）建立向管理单位以及环境保护行政主管部门报告制度；制定地下水污染应急响应方案，明确风险事故状态下应及时采取封闭、截流、疏散等措施。一旦发生泄漏，泄漏物料或废水应能及时收集防止外溢。</w:t>
      </w:r>
    </w:p>
    <w:p w14:paraId="402EBC22">
      <w:pPr>
        <w:pStyle w:val="4"/>
      </w:pPr>
      <w:r>
        <w:t>3.2.1</w:t>
      </w:r>
      <w:r>
        <w:rPr>
          <w:rFonts w:hint="eastAsia"/>
        </w:rPr>
        <w:t>污染突发事件应急措施</w:t>
      </w:r>
    </w:p>
    <w:p w14:paraId="5BF4392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一旦掌握地下水环境污染征兆或发生地下水环境污染时，知情单位和个人要立即向当地政府或其地下水环境污染主管部门、责任单位报告有关情况。应急指挥部要根据预案要求，组织和指挥参与现场应急工作各部门的行动，组织专家组根据事件原因、性质、危害程度等调查原因，分析发展趋势，并提出下一步预防和防治措施，迅速控制或切断事件灾害链，对污水进行封闭、截流，将损失降到最低限度。应急工作结束时，应协调相关职能部门和单位，做好善后工作，防止出现事件“放大效应”和次生、衍生灾害，尽快恢复当地正常秩序。</w:t>
      </w:r>
    </w:p>
    <w:p w14:paraId="4342182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（1）突发事故前必须准备</w:t>
      </w:r>
    </w:p>
    <w:p w14:paraId="59A4D7A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①在制定应急预案的基础上，对相关人员进行培训，使其掌握必要的应急处置技能。</w:t>
      </w:r>
    </w:p>
    <w:p w14:paraId="23F2BCF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②设置事故报警装置和快速检测设备。</w:t>
      </w:r>
    </w:p>
    <w:p w14:paraId="1FB001A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（2）突发事故时采取的应急措施</w:t>
      </w:r>
    </w:p>
    <w:p w14:paraId="3E3BA0A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①当发生地下水异常情况时，按照制定的应急预案采取应急措施，查明并切断污染源，探明地下水污染范围和程度。</w:t>
      </w:r>
    </w:p>
    <w:p w14:paraId="1090249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组织专业队伍对事故现场进行调查、监测，查找环境事故发生地点、分析事故原因，并迅速采取应急措施。应急行动应首先控制污染源，如紧急关停装置、切断阀门；继而利用围堤、应急池等设施进行围堵与收集，防止污染物扩散蔓延；最后对已泄漏的物料，立即采用回收、吸附等物理方法进行彻底清除。通过以上步骤将紧急事件局部化，缩小地下水污染事故对人、环境和财产的影响。为此，建设单位应与专业的地下水污染调查及治理单位建立联系，确保在事故发生时能获得专业队伍的及时支持。</w:t>
      </w:r>
    </w:p>
    <w:p w14:paraId="04D814C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当通过监测发现对周围地下水造成污染时，采取控制地下水流场等措施，防止污染物扩散，针对项目所在地区的环境水文地质条件，建议在发生地下水污染事故时候，采取物理法截断或水动力控制法等方法截断与地下水下游饮用水源地的水力联系，保护地下水。</w:t>
      </w:r>
    </w:p>
    <w:p w14:paraId="70A246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rPr>
        <w:t>④</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对事故后果进行评估，并制定防止类似事件发生的措施。</w:t>
      </w:r>
    </w:p>
    <w:p w14:paraId="1C810486">
      <w:pPr>
        <w:pStyle w:val="4"/>
      </w:pPr>
      <w:r>
        <w:t>3.2.2</w:t>
      </w:r>
      <w:r>
        <w:rPr>
          <w:rFonts w:hint="eastAsia"/>
        </w:rPr>
        <w:t>地下水应急管理措施</w:t>
      </w:r>
    </w:p>
    <w:p w14:paraId="1C975B5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企业应加强地下水环境保护思想教育，提高全体员工的环保意识，健全管理机制，对于可能发生泄漏的污染源进行认真排查、登记，建立健全定期巡检制度，及时发现，及时解决。对可能发生的突发事件，制定应急预案，采取相应有效措施。建立从设计、施工、试运行、生产操作以及检修全过程健全的监管体系，确保设计水平、施工质量和运行操作等的正确实施。加强企业生产、操作、储存、处置等场所的管理，建立一套从企业领导到企业班组层层负责的管理体系。企业环境保护管理部门指派专人负责防止地下水污染的管理工作。</w:t>
      </w:r>
    </w:p>
    <w:p w14:paraId="7597666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技术部门应定期对处理易燃介质丙烷、丁烷的泵、管道、阀门及法兰连接处进行专项密封性检查与维护，并使用可燃气体报警仪进行泄漏筛查，严防因设备老化、密封失效或外力破坏导致气体泄漏引发燃爆事故。在此基础上，企业应根据此类易燃气体泄漏可能引发事故的性质、类型、影响范围及严重后果等级，制订具有针对性的专项应急预案。预案制定时，须紧密结合本企业易燃介质储存的实际情况，细致考量各项风险因素，并定期组织相关部门和人员开展应急演练，根据演练成果持续补充与完善预案内容。</w:t>
      </w:r>
    </w:p>
    <w:p w14:paraId="4C4062CC">
      <w:pPr>
        <w:pStyle w:val="3"/>
        <w:rPr>
          <w:rFonts w:cstheme="minorBidi"/>
          <w:color w:val="000000" w:themeColor="text1"/>
          <w14:textFill>
            <w14:solidFill>
              <w14:schemeClr w14:val="tx1"/>
            </w14:solidFill>
          </w14:textFill>
        </w:rPr>
      </w:pPr>
      <w:r>
        <w:rPr>
          <w:color w:val="000000" w:themeColor="text1"/>
          <w14:textFill>
            <w14:solidFill>
              <w14:schemeClr w14:val="tx1"/>
            </w14:solidFill>
          </w14:textFill>
        </w:rPr>
        <w:t>3.3</w:t>
      </w:r>
      <w:r>
        <w:rPr>
          <w:rFonts w:hint="eastAsia"/>
          <w:color w:val="000000" w:themeColor="text1"/>
          <w14:textFill>
            <w14:solidFill>
              <w14:schemeClr w14:val="tx1"/>
            </w14:solidFill>
          </w14:textFill>
        </w:rPr>
        <w:t>其他风险防范措施</w:t>
      </w:r>
    </w:p>
    <w:p w14:paraId="5D1AFCC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（1）完善危险物质贮存设施，加强对物料储存、使用的安全管理和检查，避免物料出现泄漏。</w:t>
      </w:r>
    </w:p>
    <w:p w14:paraId="6F615CB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（2）落实安全检查制度，定期检查，排除火灾隐患；加强厂区消防检查和管理，在厂区按照消防要求设置灭火器材。</w:t>
      </w:r>
    </w:p>
    <w:p w14:paraId="052F290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（3）要加强对各岗位员工进行风险意识、风险知识、安全技能、规章制度、应变能力等素质等各方面的培训和教育。</w:t>
      </w:r>
    </w:p>
    <w:p w14:paraId="7D44F8A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（4）企业应当按照安全监督管理部门和消防部门要求，严格执行相关风险控制措施。</w:t>
      </w:r>
    </w:p>
    <w:p w14:paraId="5A052BF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（5）企业编制突发环境事件应急预案，配备应急器材，在发生泄漏、火灾等事故时控制泄漏物和消防废水进入下水道，企业完善突发环境事故应急措施。</w:t>
      </w:r>
    </w:p>
    <w:p w14:paraId="1373726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（6）做好总图布置和建筑物安全防范措施。</w:t>
      </w:r>
    </w:p>
    <w:p w14:paraId="4EF98A1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（7）准备各项应急救援物资。</w:t>
      </w:r>
    </w:p>
    <w:p w14:paraId="677D97A7">
      <w:pPr>
        <w:ind w:firstLine="480"/>
        <w:rPr>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r>
        <w:rPr>
          <w:rFonts w:hint="eastAsia"/>
          <w:color w:val="000000" w:themeColor="text1"/>
          <w14:textFill>
            <w14:solidFill>
              <w14:schemeClr w14:val="tx1"/>
            </w14:solidFill>
          </w14:textFill>
        </w:rPr>
        <w:t>（8）仓库区禁止吸烟，远离火源、热源、电源，无产生火花的条件，禁止明火作业。</w:t>
      </w:r>
    </w:p>
    <w:p w14:paraId="7604B6B7">
      <w:pPr>
        <w:pStyle w:val="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突发环境事件应急预案</w:t>
      </w:r>
    </w:p>
    <w:p w14:paraId="2DE28404">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表4-1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突发事故应急预案框架</w:t>
      </w:r>
    </w:p>
    <w:tbl>
      <w:tblPr>
        <w:tblStyle w:val="6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6"/>
        <w:gridCol w:w="2381"/>
        <w:gridCol w:w="5859"/>
      </w:tblGrid>
      <w:tr w14:paraId="0A21B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12" w:space="0"/>
              <w:left w:val="single" w:color="auto" w:sz="12" w:space="0"/>
              <w:bottom w:val="single" w:color="auto" w:sz="6" w:space="0"/>
              <w:right w:val="single" w:color="auto" w:sz="6" w:space="0"/>
            </w:tcBorders>
            <w:vAlign w:val="center"/>
          </w:tcPr>
          <w:p w14:paraId="65EF58E7">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序号</w:t>
            </w:r>
          </w:p>
        </w:tc>
        <w:tc>
          <w:tcPr>
            <w:tcW w:w="1282" w:type="pct"/>
            <w:tcBorders>
              <w:top w:val="single" w:color="auto" w:sz="12" w:space="0"/>
              <w:left w:val="single" w:color="auto" w:sz="6" w:space="0"/>
              <w:bottom w:val="single" w:color="auto" w:sz="6" w:space="0"/>
              <w:right w:val="single" w:color="auto" w:sz="6" w:space="0"/>
            </w:tcBorders>
            <w:vAlign w:val="center"/>
          </w:tcPr>
          <w:p w14:paraId="2A3292C0">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项目</w:t>
            </w:r>
          </w:p>
        </w:tc>
        <w:tc>
          <w:tcPr>
            <w:tcW w:w="3155" w:type="pct"/>
            <w:tcBorders>
              <w:top w:val="single" w:color="auto" w:sz="12" w:space="0"/>
              <w:left w:val="single" w:color="auto" w:sz="6" w:space="0"/>
              <w:bottom w:val="single" w:color="auto" w:sz="6" w:space="0"/>
              <w:right w:val="single" w:color="auto" w:sz="12" w:space="0"/>
            </w:tcBorders>
            <w:vAlign w:val="center"/>
          </w:tcPr>
          <w:p w14:paraId="71349AC0">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内容及要求</w:t>
            </w:r>
          </w:p>
        </w:tc>
      </w:tr>
      <w:tr w14:paraId="74321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9954915">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1</w:t>
            </w:r>
          </w:p>
        </w:tc>
        <w:tc>
          <w:tcPr>
            <w:tcW w:w="1282" w:type="pct"/>
            <w:tcBorders>
              <w:top w:val="single" w:color="auto" w:sz="6" w:space="0"/>
              <w:left w:val="single" w:color="auto" w:sz="6" w:space="0"/>
              <w:bottom w:val="single" w:color="auto" w:sz="6" w:space="0"/>
              <w:right w:val="single" w:color="auto" w:sz="6" w:space="0"/>
            </w:tcBorders>
            <w:vAlign w:val="center"/>
          </w:tcPr>
          <w:p w14:paraId="7F217B66">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应急计划区</w:t>
            </w:r>
          </w:p>
        </w:tc>
        <w:tc>
          <w:tcPr>
            <w:tcW w:w="3155" w:type="pct"/>
            <w:tcBorders>
              <w:top w:val="single" w:color="auto" w:sz="6" w:space="0"/>
              <w:left w:val="single" w:color="auto" w:sz="6" w:space="0"/>
              <w:bottom w:val="single" w:color="auto" w:sz="6" w:space="0"/>
              <w:right w:val="single" w:color="auto" w:sz="12" w:space="0"/>
            </w:tcBorders>
            <w:vAlign w:val="center"/>
          </w:tcPr>
          <w:p w14:paraId="4287F0EA">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储罐区、生产装置区</w:t>
            </w:r>
          </w:p>
        </w:tc>
      </w:tr>
      <w:tr w14:paraId="1DE47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12B8948">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2</w:t>
            </w:r>
          </w:p>
        </w:tc>
        <w:tc>
          <w:tcPr>
            <w:tcW w:w="1282" w:type="pct"/>
            <w:tcBorders>
              <w:top w:val="single" w:color="auto" w:sz="6" w:space="0"/>
              <w:left w:val="single" w:color="auto" w:sz="6" w:space="0"/>
              <w:bottom w:val="single" w:color="auto" w:sz="6" w:space="0"/>
              <w:right w:val="single" w:color="auto" w:sz="6" w:space="0"/>
            </w:tcBorders>
            <w:vAlign w:val="center"/>
          </w:tcPr>
          <w:p w14:paraId="3E3E5AE9">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应急组织机构、人员</w:t>
            </w:r>
          </w:p>
        </w:tc>
        <w:tc>
          <w:tcPr>
            <w:tcW w:w="3155" w:type="pct"/>
            <w:tcBorders>
              <w:top w:val="single" w:color="auto" w:sz="6" w:space="0"/>
              <w:left w:val="single" w:color="auto" w:sz="6" w:space="0"/>
              <w:bottom w:val="single" w:color="auto" w:sz="6" w:space="0"/>
              <w:right w:val="single" w:color="auto" w:sz="12" w:space="0"/>
            </w:tcBorders>
            <w:vAlign w:val="center"/>
          </w:tcPr>
          <w:p w14:paraId="7932689E">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实施三级应急组职机构，各级别主要负责人为应急计划、协调第一人，应急人员必须为培训上岗熟练工；区域应急组织结构由当地政府、相关行业专家、卫生安全相关单位组成，并由当地政府进行统一调度</w:t>
            </w:r>
          </w:p>
        </w:tc>
      </w:tr>
      <w:tr w14:paraId="55C4A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618E9A89">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3</w:t>
            </w:r>
          </w:p>
        </w:tc>
        <w:tc>
          <w:tcPr>
            <w:tcW w:w="1282" w:type="pct"/>
            <w:tcBorders>
              <w:top w:val="single" w:color="auto" w:sz="6" w:space="0"/>
              <w:left w:val="single" w:color="auto" w:sz="6" w:space="0"/>
              <w:bottom w:val="single" w:color="auto" w:sz="6" w:space="0"/>
              <w:right w:val="single" w:color="auto" w:sz="6" w:space="0"/>
            </w:tcBorders>
            <w:vAlign w:val="center"/>
          </w:tcPr>
          <w:p w14:paraId="36CB5662">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预案分级响应条件</w:t>
            </w:r>
          </w:p>
        </w:tc>
        <w:tc>
          <w:tcPr>
            <w:tcW w:w="3155" w:type="pct"/>
            <w:tcBorders>
              <w:top w:val="single" w:color="auto" w:sz="6" w:space="0"/>
              <w:left w:val="single" w:color="auto" w:sz="6" w:space="0"/>
              <w:bottom w:val="single" w:color="auto" w:sz="6" w:space="0"/>
              <w:right w:val="single" w:color="auto" w:sz="12" w:space="0"/>
            </w:tcBorders>
            <w:vAlign w:val="center"/>
          </w:tcPr>
          <w:p w14:paraId="31BDB48F">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根据事故的严重程度制定相应级别的应急预案，以及适合相应情况的处理措施</w:t>
            </w:r>
          </w:p>
        </w:tc>
      </w:tr>
      <w:tr w14:paraId="43A8B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75135525">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4</w:t>
            </w:r>
          </w:p>
        </w:tc>
        <w:tc>
          <w:tcPr>
            <w:tcW w:w="1282" w:type="pct"/>
            <w:tcBorders>
              <w:top w:val="single" w:color="auto" w:sz="6" w:space="0"/>
              <w:left w:val="single" w:color="auto" w:sz="6" w:space="0"/>
              <w:bottom w:val="single" w:color="auto" w:sz="6" w:space="0"/>
              <w:right w:val="single" w:color="auto" w:sz="6" w:space="0"/>
            </w:tcBorders>
            <w:vAlign w:val="center"/>
          </w:tcPr>
          <w:p w14:paraId="01B675B7">
            <w:pPr>
              <w:pStyle w:val="32"/>
              <w:rPr>
                <w:rFonts w:cs="Times New Roman"/>
                <w:color w:val="000000" w:themeColor="text1"/>
                <w:kern w:val="0"/>
                <w:szCs w:val="20"/>
                <w14:textFill>
                  <w14:solidFill>
                    <w14:schemeClr w14:val="tx1"/>
                  </w14:solidFill>
                </w14:textFill>
              </w:rPr>
            </w:pPr>
            <w:r>
              <w:rPr>
                <w:rFonts w:hint="eastAsia" w:cs="Times New Roman"/>
                <w:color w:val="000000" w:themeColor="text1"/>
                <w:kern w:val="0"/>
                <w:szCs w:val="20"/>
                <w14:textFill>
                  <w14:solidFill>
                    <w14:schemeClr w14:val="tx1"/>
                  </w14:solidFill>
                </w14:textFill>
              </w:rPr>
              <w:t>应急救援保障</w:t>
            </w:r>
          </w:p>
        </w:tc>
        <w:tc>
          <w:tcPr>
            <w:tcW w:w="3155" w:type="pct"/>
            <w:tcBorders>
              <w:top w:val="single" w:color="auto" w:sz="6" w:space="0"/>
              <w:left w:val="single" w:color="auto" w:sz="6" w:space="0"/>
              <w:bottom w:val="single" w:color="auto" w:sz="6" w:space="0"/>
              <w:right w:val="single" w:color="auto" w:sz="12" w:space="0"/>
            </w:tcBorders>
            <w:vAlign w:val="center"/>
          </w:tcPr>
          <w:p w14:paraId="4FCE97F7">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应急设施，设备与器材等</w:t>
            </w:r>
          </w:p>
        </w:tc>
      </w:tr>
      <w:tr w14:paraId="1DF5B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3AAF425C">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5</w:t>
            </w:r>
          </w:p>
        </w:tc>
        <w:tc>
          <w:tcPr>
            <w:tcW w:w="1282" w:type="pct"/>
            <w:tcBorders>
              <w:top w:val="single" w:color="auto" w:sz="6" w:space="0"/>
              <w:left w:val="single" w:color="auto" w:sz="6" w:space="0"/>
              <w:bottom w:val="single" w:color="auto" w:sz="6" w:space="0"/>
              <w:right w:val="single" w:color="auto" w:sz="6" w:space="0"/>
            </w:tcBorders>
            <w:vAlign w:val="center"/>
          </w:tcPr>
          <w:p w14:paraId="7091A859">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报警、通讯联络方式</w:t>
            </w:r>
          </w:p>
        </w:tc>
        <w:tc>
          <w:tcPr>
            <w:tcW w:w="3155" w:type="pct"/>
            <w:tcBorders>
              <w:top w:val="single" w:color="auto" w:sz="6" w:space="0"/>
              <w:left w:val="single" w:color="auto" w:sz="6" w:space="0"/>
              <w:bottom w:val="single" w:color="auto" w:sz="6" w:space="0"/>
              <w:right w:val="single" w:color="auto" w:sz="12" w:space="0"/>
            </w:tcBorders>
            <w:vAlign w:val="center"/>
          </w:tcPr>
          <w:p w14:paraId="1EF451E0">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逐一细化应急状态下各主要负责单位的报警通讯方式、地点、电话号码以及相关配套的交通保障、管制、消防联络方法，涉及跨区域的还应与生态环境主管部门保持联系，及时通报事故处理情况，以获得区域性支援</w:t>
            </w:r>
          </w:p>
        </w:tc>
      </w:tr>
      <w:tr w14:paraId="46E4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763EC3A8">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6</w:t>
            </w:r>
          </w:p>
        </w:tc>
        <w:tc>
          <w:tcPr>
            <w:tcW w:w="1282" w:type="pct"/>
            <w:tcBorders>
              <w:top w:val="single" w:color="auto" w:sz="6" w:space="0"/>
              <w:left w:val="single" w:color="auto" w:sz="6" w:space="0"/>
              <w:bottom w:val="single" w:color="auto" w:sz="6" w:space="0"/>
              <w:right w:val="single" w:color="auto" w:sz="6" w:space="0"/>
            </w:tcBorders>
            <w:vAlign w:val="center"/>
          </w:tcPr>
          <w:p w14:paraId="60E4FDCA">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应急环境监测、抢险、救援及控制措施</w:t>
            </w:r>
          </w:p>
        </w:tc>
        <w:tc>
          <w:tcPr>
            <w:tcW w:w="3155" w:type="pct"/>
            <w:tcBorders>
              <w:top w:val="single" w:color="auto" w:sz="6" w:space="0"/>
              <w:left w:val="single" w:color="auto" w:sz="6" w:space="0"/>
              <w:bottom w:val="single" w:color="auto" w:sz="6" w:space="0"/>
              <w:right w:val="single" w:color="auto" w:sz="12" w:space="0"/>
            </w:tcBorders>
            <w:vAlign w:val="center"/>
          </w:tcPr>
          <w:p w14:paraId="4BE90EAA">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由专业队伍负责对事故现场进行侦查监测，对事故性质、参数与后果进行评估，为指挥部门提供决策依据</w:t>
            </w:r>
          </w:p>
        </w:tc>
      </w:tr>
      <w:tr w14:paraId="283AE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460CA93A">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7</w:t>
            </w:r>
          </w:p>
        </w:tc>
        <w:tc>
          <w:tcPr>
            <w:tcW w:w="1282" w:type="pct"/>
            <w:tcBorders>
              <w:top w:val="single" w:color="auto" w:sz="6" w:space="0"/>
              <w:left w:val="single" w:color="auto" w:sz="6" w:space="0"/>
              <w:bottom w:val="single" w:color="auto" w:sz="6" w:space="0"/>
              <w:right w:val="single" w:color="auto" w:sz="6" w:space="0"/>
            </w:tcBorders>
            <w:vAlign w:val="center"/>
          </w:tcPr>
          <w:p w14:paraId="6EC4DE26">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应急检测、防护措施、清除泄漏措施和器材</w:t>
            </w:r>
          </w:p>
        </w:tc>
        <w:tc>
          <w:tcPr>
            <w:tcW w:w="3155" w:type="pct"/>
            <w:tcBorders>
              <w:top w:val="single" w:color="auto" w:sz="6" w:space="0"/>
              <w:left w:val="single" w:color="auto" w:sz="6" w:space="0"/>
              <w:bottom w:val="single" w:color="auto" w:sz="6" w:space="0"/>
              <w:right w:val="single" w:color="auto" w:sz="12" w:space="0"/>
            </w:tcBorders>
            <w:vAlign w:val="center"/>
          </w:tcPr>
          <w:p w14:paraId="118B4DF8">
            <w:pPr>
              <w:pStyle w:val="32"/>
              <w:rPr>
                <w:rFonts w:ascii="宋体" w:hAnsi="等线" w:cs="宋体"/>
                <w:color w:val="000000" w:themeColor="text1"/>
                <w:kern w:val="0"/>
                <w:szCs w:val="21"/>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事故现场、邻近区域、控制防火区域，控制和清除污染措施及相应设备的数量、使用方法、使用人员</w:t>
            </w:r>
          </w:p>
        </w:tc>
      </w:tr>
      <w:tr w14:paraId="6476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76DB92F7">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8</w:t>
            </w:r>
          </w:p>
        </w:tc>
        <w:tc>
          <w:tcPr>
            <w:tcW w:w="1282" w:type="pct"/>
            <w:tcBorders>
              <w:top w:val="single" w:color="auto" w:sz="6" w:space="0"/>
              <w:left w:val="single" w:color="auto" w:sz="6" w:space="0"/>
              <w:bottom w:val="single" w:color="auto" w:sz="6" w:space="0"/>
              <w:right w:val="single" w:color="auto" w:sz="6" w:space="0"/>
            </w:tcBorders>
            <w:vAlign w:val="center"/>
          </w:tcPr>
          <w:p w14:paraId="60A1F25C">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人员紧急撤离、疏散，应急剂量控制、撤离组织计划</w:t>
            </w:r>
          </w:p>
        </w:tc>
        <w:tc>
          <w:tcPr>
            <w:tcW w:w="3155" w:type="pct"/>
            <w:tcBorders>
              <w:top w:val="single" w:color="auto" w:sz="6" w:space="0"/>
              <w:left w:val="single" w:color="auto" w:sz="6" w:space="0"/>
              <w:bottom w:val="single" w:color="auto" w:sz="6" w:space="0"/>
              <w:right w:val="single" w:color="auto" w:sz="12" w:space="0"/>
            </w:tcBorders>
            <w:vAlign w:val="center"/>
          </w:tcPr>
          <w:p w14:paraId="3FDB8B2A">
            <w:pPr>
              <w:pStyle w:val="32"/>
              <w:rPr>
                <w:rFonts w:ascii="宋体" w:hAnsi="等线" w:cs="宋体"/>
                <w:color w:val="000000" w:themeColor="text1"/>
                <w:kern w:val="0"/>
                <w:szCs w:val="21"/>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事故现场、邻近区、受事故影响的区域人员及公众对毒物应急剂量控制规定，撤离组织计划及救护，医疗救护与公众健康</w:t>
            </w:r>
          </w:p>
        </w:tc>
      </w:tr>
      <w:tr w14:paraId="52B59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34CA588B">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9</w:t>
            </w:r>
          </w:p>
        </w:tc>
        <w:tc>
          <w:tcPr>
            <w:tcW w:w="1282" w:type="pct"/>
            <w:tcBorders>
              <w:top w:val="single" w:color="auto" w:sz="6" w:space="0"/>
              <w:left w:val="single" w:color="auto" w:sz="6" w:space="0"/>
              <w:bottom w:val="single" w:color="auto" w:sz="6" w:space="0"/>
              <w:right w:val="single" w:color="auto" w:sz="6" w:space="0"/>
            </w:tcBorders>
            <w:vAlign w:val="center"/>
          </w:tcPr>
          <w:p w14:paraId="51B3903B">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事故应急救援关闭程序与恢复措施</w:t>
            </w:r>
          </w:p>
        </w:tc>
        <w:tc>
          <w:tcPr>
            <w:tcW w:w="3155" w:type="pct"/>
            <w:tcBorders>
              <w:top w:val="single" w:color="auto" w:sz="6" w:space="0"/>
              <w:left w:val="single" w:color="auto" w:sz="6" w:space="0"/>
              <w:bottom w:val="single" w:color="auto" w:sz="6" w:space="0"/>
              <w:right w:val="single" w:color="auto" w:sz="12" w:space="0"/>
            </w:tcBorders>
            <w:vAlign w:val="center"/>
          </w:tcPr>
          <w:p w14:paraId="70B10910">
            <w:pPr>
              <w:pStyle w:val="32"/>
              <w:rPr>
                <w:rFonts w:ascii="宋体" w:hAnsi="等线" w:cs="宋体"/>
                <w:color w:val="000000" w:themeColor="text1"/>
                <w:kern w:val="0"/>
                <w:szCs w:val="21"/>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规定应急状态终止程序事故现场上后处理，恢复措施邻近区域解除事故警戒及善后恢复措施制定有关的环境恢复措施组织专业人员对事故后的环境变化进行监测，对事故应急措施的环境可行性进行后影响评价</w:t>
            </w:r>
          </w:p>
        </w:tc>
      </w:tr>
      <w:tr w14:paraId="41E15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6" w:space="0"/>
              <w:right w:val="single" w:color="auto" w:sz="6" w:space="0"/>
            </w:tcBorders>
            <w:vAlign w:val="center"/>
          </w:tcPr>
          <w:p w14:paraId="1C943F9E">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10</w:t>
            </w:r>
          </w:p>
        </w:tc>
        <w:tc>
          <w:tcPr>
            <w:tcW w:w="1282" w:type="pct"/>
            <w:tcBorders>
              <w:top w:val="single" w:color="auto" w:sz="6" w:space="0"/>
              <w:left w:val="single" w:color="auto" w:sz="6" w:space="0"/>
              <w:bottom w:val="single" w:color="auto" w:sz="6" w:space="0"/>
              <w:right w:val="single" w:color="auto" w:sz="6" w:space="0"/>
            </w:tcBorders>
            <w:vAlign w:val="center"/>
          </w:tcPr>
          <w:p w14:paraId="7E5946CB">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应急培训计划</w:t>
            </w:r>
          </w:p>
        </w:tc>
        <w:tc>
          <w:tcPr>
            <w:tcW w:w="3155" w:type="pct"/>
            <w:tcBorders>
              <w:top w:val="single" w:color="auto" w:sz="6" w:space="0"/>
              <w:left w:val="single" w:color="auto" w:sz="6" w:space="0"/>
              <w:bottom w:val="single" w:color="auto" w:sz="6" w:space="0"/>
              <w:right w:val="single" w:color="auto" w:sz="12" w:space="0"/>
            </w:tcBorders>
            <w:vAlign w:val="center"/>
          </w:tcPr>
          <w:p w14:paraId="41FDD501">
            <w:pPr>
              <w:pStyle w:val="32"/>
              <w:rPr>
                <w:rFonts w:ascii="宋体" w:hAnsi="等线" w:cs="宋体"/>
                <w:color w:val="000000" w:themeColor="text1"/>
                <w:kern w:val="0"/>
                <w:szCs w:val="21"/>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应急计划制定后，平时安排人员培训与演练</w:t>
            </w:r>
          </w:p>
        </w:tc>
      </w:tr>
      <w:tr w14:paraId="13DDA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63" w:type="pct"/>
            <w:tcBorders>
              <w:top w:val="single" w:color="auto" w:sz="6" w:space="0"/>
              <w:left w:val="single" w:color="auto" w:sz="12" w:space="0"/>
              <w:bottom w:val="single" w:color="auto" w:sz="12" w:space="0"/>
              <w:right w:val="single" w:color="auto" w:sz="6" w:space="0"/>
            </w:tcBorders>
            <w:vAlign w:val="center"/>
          </w:tcPr>
          <w:p w14:paraId="7D35A6C0">
            <w:pPr>
              <w:pStyle w:val="32"/>
              <w:rPr>
                <w:rFonts w:cs="Times New Roman"/>
                <w:color w:val="000000" w:themeColor="text1"/>
                <w:kern w:val="0"/>
                <w:szCs w:val="20"/>
                <w14:textFill>
                  <w14:solidFill>
                    <w14:schemeClr w14:val="tx1"/>
                  </w14:solidFill>
                </w14:textFill>
              </w:rPr>
            </w:pPr>
            <w:r>
              <w:rPr>
                <w:rFonts w:cs="Times New Roman"/>
                <w:color w:val="000000" w:themeColor="text1"/>
                <w:kern w:val="0"/>
                <w:szCs w:val="20"/>
                <w14:textFill>
                  <w14:solidFill>
                    <w14:schemeClr w14:val="tx1"/>
                  </w14:solidFill>
                </w14:textFill>
              </w:rPr>
              <w:t>11</w:t>
            </w:r>
          </w:p>
        </w:tc>
        <w:tc>
          <w:tcPr>
            <w:tcW w:w="1282" w:type="pct"/>
            <w:tcBorders>
              <w:top w:val="single" w:color="auto" w:sz="6" w:space="0"/>
              <w:left w:val="single" w:color="auto" w:sz="6" w:space="0"/>
              <w:bottom w:val="single" w:color="auto" w:sz="12" w:space="0"/>
              <w:right w:val="single" w:color="auto" w:sz="6" w:space="0"/>
            </w:tcBorders>
            <w:vAlign w:val="center"/>
          </w:tcPr>
          <w:p w14:paraId="0E4B11DC">
            <w:pPr>
              <w:pStyle w:val="32"/>
              <w:rPr>
                <w:rFonts w:cs="Times New Roman"/>
                <w:color w:val="000000" w:themeColor="text1"/>
                <w:kern w:val="0"/>
                <w:szCs w:val="20"/>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公众教育和信息</w:t>
            </w:r>
          </w:p>
        </w:tc>
        <w:tc>
          <w:tcPr>
            <w:tcW w:w="3155" w:type="pct"/>
            <w:tcBorders>
              <w:top w:val="single" w:color="auto" w:sz="6" w:space="0"/>
              <w:left w:val="single" w:color="auto" w:sz="6" w:space="0"/>
              <w:bottom w:val="single" w:color="auto" w:sz="12" w:space="0"/>
              <w:right w:val="single" w:color="auto" w:sz="12" w:space="0"/>
            </w:tcBorders>
            <w:vAlign w:val="center"/>
          </w:tcPr>
          <w:p w14:paraId="70F8CD01">
            <w:pPr>
              <w:pStyle w:val="32"/>
              <w:rPr>
                <w:rFonts w:ascii="宋体" w:hAnsi="等线" w:cs="宋体"/>
                <w:color w:val="000000" w:themeColor="text1"/>
                <w:kern w:val="0"/>
                <w:szCs w:val="21"/>
                <w14:textFill>
                  <w14:solidFill>
                    <w14:schemeClr w14:val="tx1"/>
                  </w14:solidFill>
                </w14:textFill>
              </w:rPr>
            </w:pPr>
            <w:r>
              <w:rPr>
                <w:rFonts w:hint="eastAsia" w:ascii="宋体" w:hAnsi="等线" w:cs="宋体"/>
                <w:color w:val="000000" w:themeColor="text1"/>
                <w:kern w:val="0"/>
                <w:szCs w:val="21"/>
                <w14:textFill>
                  <w14:solidFill>
                    <w14:schemeClr w14:val="tx1"/>
                  </w14:solidFill>
                </w14:textFill>
              </w:rPr>
              <w:t>对项目邻近地区开展公众教育、培训和发布有关信息</w:t>
            </w:r>
          </w:p>
        </w:tc>
      </w:tr>
    </w:tbl>
    <w:p w14:paraId="3944E3BB">
      <w:pPr>
        <w:ind w:firstLine="480"/>
      </w:pPr>
    </w:p>
    <w:p w14:paraId="22E14684">
      <w:pPr>
        <w:ind w:firstLine="480"/>
      </w:pPr>
    </w:p>
    <w:p w14:paraId="375AF7AB">
      <w:pPr>
        <w:ind w:firstLine="480"/>
      </w:pPr>
    </w:p>
    <w:p w14:paraId="37DC1A10">
      <w:pPr>
        <w:ind w:firstLine="480"/>
      </w:pPr>
    </w:p>
    <w:p w14:paraId="11E0A178">
      <w:pPr>
        <w:ind w:firstLine="480"/>
      </w:pPr>
    </w:p>
    <w:p w14:paraId="719F4146">
      <w:pPr>
        <w:pStyle w:val="24"/>
      </w:pPr>
    </w:p>
    <w:p w14:paraId="3C0ABA61">
      <w:pPr>
        <w:pStyle w:val="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环境风险评价结论</w:t>
      </w:r>
    </w:p>
    <w:p w14:paraId="6AA5037E">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综上分析，本项目选取产品储罐区液化石油气泄漏事故作为最大可信事故进行环境风险评估。该类事故一旦发生，可能引发可燃气体扩散、火灾爆炸或对周边大气环境造成短期显著影响，因此具有代表性与典型性。</w:t>
      </w:r>
    </w:p>
    <w:p w14:paraId="5783F2FB">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项目所采用的生产工艺技术成熟可靠，设备选型符合国家相关安全标准，自动化控制系统具备压力、温度、液位等关键参数的实时监测与联锁保护功能，能够在异常工况下自动报警并启动应急响应措施。在生产运行过程中，建设单位将严格落实各项安全生产管理制度，严格执行操作规程和作业许可制度，加强对危险化学品储存、输送环节的风险管控，定期开展设备维护保养与安全隐患排查治理，切实降低因人为失误、设备老化或操作不当导致事故发生的可能性。</w:t>
      </w:r>
    </w:p>
    <w:p w14:paraId="7C0D6AD6">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根据环境风险预测结果分析，在最不利气象条件下，若发生储罐法兰连接处泄漏或管道破裂等情景，泄漏的可燃蒸气将在一定范围内形成爆炸性混合物，其影响范围主要集中在厂区内及下风向近距离区域。但通过设置有效的防控体系，如安装可燃气体检测报警装置、配备防爆通风系统、建立围堰和防火堤等工程措施，能够实现早发现、早处置。</w:t>
      </w:r>
    </w:p>
    <w:p w14:paraId="29C883E9">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事故发生后，建设单位将立即启动《突发环境事件应急预案》，按照预案规定的程序迅速组织人员疏散、切断物料来源、实施堵漏控制、喷雾稀释驱散、现场警戒隔离，并及时向生态环境、应急管理等主管部门报告情况，联动专业救援力量开展应急处置。同时，依托厂区现有的应急物资储备和企业专职应急队伍，确保能在第一时间采取有效措施遏制事态扩大，最大限度减少污染物外溢对周边敏感目标的影响。</w:t>
      </w:r>
    </w:p>
    <w:p w14:paraId="029CECC4">
      <w:pPr>
        <w:ind w:firstLine="480"/>
        <w:textAlignment w:val="auto"/>
        <w:rPr>
          <w:rFonts w:cs="等线"/>
          <w:color w:val="000000" w:themeColor="text1"/>
          <w:szCs w:val="20"/>
          <w14:textFill>
            <w14:solidFill>
              <w14:schemeClr w14:val="tx1"/>
            </w14:solidFill>
          </w14:textFill>
        </w:rPr>
      </w:pPr>
      <w:r>
        <w:rPr>
          <w:rFonts w:hint="eastAsia" w:cs="等线"/>
          <w:color w:val="000000" w:themeColor="text1"/>
          <w:szCs w:val="20"/>
          <w14:textFill>
            <w14:solidFill>
              <w14:schemeClr w14:val="tx1"/>
            </w14:solidFill>
          </w14:textFill>
        </w:rPr>
        <w:t>此外，建设单位将持续开展环境风险隐患自查自纠，定期组织应急培训与演练，提升员工应对突发事故的处置能力和协同水平。通过建立健全“预防为主、防控结合”的风险管理机制，落实全过程、全链条的安全环保责任，确保项目在正常运行和偶发事故情况下均处于可控、可管、可防的状态。综上所述，项目存在的环境风险处于可接受水平，不会对区域生态环境和公众健康构成长期威胁，环境风险防范措施可行，应急预案体系完善，项目建设与运行具备环境可行性。</w:t>
      </w:r>
    </w:p>
    <w:p w14:paraId="334866C7">
      <w:pPr>
        <w:pStyle w:val="37"/>
        <w:spacing w:before="163"/>
        <w:ind w:firstLine="480"/>
        <w:rPr>
          <w:color w:val="000000" w:themeColor="text1"/>
          <w:kern w:val="0"/>
          <w:lang w:bidi="en-US"/>
          <w14:textFill>
            <w14:solidFill>
              <w14:schemeClr w14:val="tx1"/>
            </w14:solidFill>
          </w14:textFill>
        </w:rPr>
      </w:pPr>
      <w:r>
        <w:rPr>
          <w:rFonts w:hint="eastAsia"/>
          <w:color w:val="000000" w:themeColor="text1"/>
          <w14:textFill>
            <w14:solidFill>
              <w14:schemeClr w14:val="tx1"/>
            </w14:solidFill>
          </w14:textFill>
        </w:rPr>
        <w:t>表5-1</w:t>
      </w:r>
      <w:r>
        <w:rPr>
          <w:color w:val="000000" w:themeColor="text1"/>
          <w14:textFill>
            <w14:solidFill>
              <w14:schemeClr w14:val="tx1"/>
            </w14:solidFill>
          </w14:textFill>
        </w:rPr>
        <w:t xml:space="preserve">  </w:t>
      </w:r>
      <w:r>
        <w:rPr>
          <w:rFonts w:hint="eastAsia"/>
          <w:color w:val="000000" w:themeColor="text1"/>
          <w:kern w:val="0"/>
          <w:lang w:bidi="en-US"/>
          <w14:textFill>
            <w14:solidFill>
              <w14:schemeClr w14:val="tx1"/>
            </w14:solidFill>
          </w14:textFill>
        </w:rPr>
        <w:t>环境风险评价自查表</w:t>
      </w:r>
    </w:p>
    <w:tbl>
      <w:tblPr>
        <w:tblStyle w:val="25"/>
        <w:tblW w:w="50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339"/>
        <w:gridCol w:w="1078"/>
        <w:gridCol w:w="1153"/>
        <w:gridCol w:w="1191"/>
        <w:gridCol w:w="628"/>
        <w:gridCol w:w="572"/>
        <w:gridCol w:w="1020"/>
        <w:gridCol w:w="325"/>
        <w:gridCol w:w="957"/>
        <w:gridCol w:w="825"/>
        <w:gridCol w:w="1045"/>
      </w:tblGrid>
      <w:tr w14:paraId="7EB66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407" w:type="pct"/>
            <w:gridSpan w:val="3"/>
            <w:tcBorders>
              <w:tl2br w:val="nil"/>
              <w:tr2bl w:val="nil"/>
            </w:tcBorders>
            <w:tcMar>
              <w:left w:w="0" w:type="dxa"/>
              <w:right w:w="0" w:type="dxa"/>
            </w:tcMar>
            <w:vAlign w:val="center"/>
          </w:tcPr>
          <w:p w14:paraId="7B9B9D5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工作内容</w:t>
            </w:r>
          </w:p>
        </w:tc>
        <w:tc>
          <w:tcPr>
            <w:tcW w:w="3593" w:type="pct"/>
            <w:gridSpan w:val="8"/>
            <w:tcBorders>
              <w:tl2br w:val="nil"/>
              <w:tr2bl w:val="nil"/>
            </w:tcBorders>
            <w:tcMar>
              <w:left w:w="0" w:type="dxa"/>
              <w:right w:w="0" w:type="dxa"/>
            </w:tcMar>
            <w:vAlign w:val="center"/>
          </w:tcPr>
          <w:p w14:paraId="1BF0C4B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完成情况</w:t>
            </w:r>
          </w:p>
        </w:tc>
      </w:tr>
      <w:tr w14:paraId="3D38E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restart"/>
            <w:tcBorders>
              <w:tl2br w:val="nil"/>
              <w:tr2bl w:val="nil"/>
            </w:tcBorders>
            <w:tcMar>
              <w:left w:w="0" w:type="dxa"/>
              <w:right w:w="0" w:type="dxa"/>
            </w:tcMar>
            <w:vAlign w:val="center"/>
          </w:tcPr>
          <w:p w14:paraId="37A3FCB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风险调查</w:t>
            </w:r>
          </w:p>
        </w:tc>
        <w:tc>
          <w:tcPr>
            <w:tcW w:w="590" w:type="pct"/>
            <w:vMerge w:val="restart"/>
            <w:tcBorders>
              <w:tl2br w:val="nil"/>
              <w:tr2bl w:val="nil"/>
            </w:tcBorders>
            <w:tcMar>
              <w:left w:w="0" w:type="dxa"/>
              <w:right w:w="0" w:type="dxa"/>
            </w:tcMar>
            <w:vAlign w:val="center"/>
          </w:tcPr>
          <w:p w14:paraId="29227CE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危险物质</w:t>
            </w:r>
          </w:p>
        </w:tc>
        <w:tc>
          <w:tcPr>
            <w:tcW w:w="631" w:type="pct"/>
            <w:tcBorders>
              <w:tl2br w:val="nil"/>
              <w:tr2bl w:val="nil"/>
            </w:tcBorders>
            <w:tcMar>
              <w:left w:w="0" w:type="dxa"/>
              <w:right w:w="0" w:type="dxa"/>
            </w:tcMar>
            <w:vAlign w:val="center"/>
          </w:tcPr>
          <w:p w14:paraId="2B1E78E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名称</w:t>
            </w:r>
          </w:p>
        </w:tc>
        <w:tc>
          <w:tcPr>
            <w:tcW w:w="652" w:type="pct"/>
            <w:tcBorders>
              <w:tl2br w:val="nil"/>
              <w:tr2bl w:val="nil"/>
            </w:tcBorders>
            <w:tcMar>
              <w:left w:w="0" w:type="dxa"/>
              <w:right w:w="0" w:type="dxa"/>
            </w:tcMar>
            <w:vAlign w:val="center"/>
          </w:tcPr>
          <w:p w14:paraId="4B10ADE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丙烷</w:t>
            </w:r>
          </w:p>
        </w:tc>
        <w:tc>
          <w:tcPr>
            <w:tcW w:w="657" w:type="pct"/>
            <w:gridSpan w:val="2"/>
            <w:tcBorders>
              <w:tl2br w:val="nil"/>
              <w:tr2bl w:val="nil"/>
            </w:tcBorders>
            <w:tcMar>
              <w:left w:w="0" w:type="dxa"/>
              <w:right w:w="0" w:type="dxa"/>
            </w:tcMar>
            <w:vAlign w:val="center"/>
          </w:tcPr>
          <w:p w14:paraId="59EC400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丁烷</w:t>
            </w:r>
          </w:p>
        </w:tc>
        <w:tc>
          <w:tcPr>
            <w:tcW w:w="558" w:type="pct"/>
            <w:tcBorders>
              <w:tl2br w:val="nil"/>
              <w:tr2bl w:val="nil"/>
            </w:tcBorders>
            <w:tcMar>
              <w:left w:w="0" w:type="dxa"/>
              <w:right w:w="0" w:type="dxa"/>
            </w:tcMar>
            <w:vAlign w:val="center"/>
          </w:tcPr>
          <w:p w14:paraId="5761F0FD">
            <w:pPr>
              <w:adjustRightInd w:val="0"/>
              <w:snapToGrid w:val="0"/>
              <w:spacing w:line="240" w:lineRule="auto"/>
              <w:ind w:firstLine="0" w:firstLineChars="0"/>
              <w:textAlignment w:val="auto"/>
              <w:rPr>
                <w:rFonts w:cs="Times New Roman"/>
                <w:sz w:val="21"/>
                <w:szCs w:val="21"/>
              </w:rPr>
            </w:pPr>
            <w:r>
              <w:rPr>
                <w:rFonts w:hint="eastAsia" w:cs="等线"/>
                <w:color w:val="000000" w:themeColor="text1"/>
                <w:sz w:val="21"/>
                <w:szCs w:val="21"/>
                <w14:textFill>
                  <w14:solidFill>
                    <w14:schemeClr w14:val="tx1"/>
                  </w14:solidFill>
                </w14:textFill>
              </w:rPr>
              <w:t>液化石油气残液</w:t>
            </w:r>
          </w:p>
        </w:tc>
        <w:tc>
          <w:tcPr>
            <w:tcW w:w="702" w:type="pct"/>
            <w:gridSpan w:val="2"/>
            <w:tcBorders>
              <w:tl2br w:val="nil"/>
              <w:tr2bl w:val="nil"/>
            </w:tcBorders>
            <w:tcMar>
              <w:left w:w="0" w:type="dxa"/>
              <w:right w:w="0" w:type="dxa"/>
            </w:tcMar>
            <w:vAlign w:val="center"/>
          </w:tcPr>
          <w:p w14:paraId="6366F19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乙炔</w:t>
            </w:r>
          </w:p>
        </w:tc>
        <w:tc>
          <w:tcPr>
            <w:tcW w:w="452" w:type="pct"/>
            <w:tcBorders>
              <w:tl2br w:val="nil"/>
              <w:tr2bl w:val="nil"/>
            </w:tcBorders>
            <w:tcMar>
              <w:left w:w="0" w:type="dxa"/>
              <w:right w:w="0" w:type="dxa"/>
            </w:tcMar>
            <w:vAlign w:val="center"/>
          </w:tcPr>
          <w:p w14:paraId="7F4E822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572" w:type="pct"/>
            <w:tcBorders>
              <w:tl2br w:val="nil"/>
              <w:tr2bl w:val="nil"/>
            </w:tcBorders>
            <w:tcMar>
              <w:left w:w="0" w:type="dxa"/>
              <w:right w:w="0" w:type="dxa"/>
            </w:tcMar>
            <w:vAlign w:val="center"/>
          </w:tcPr>
          <w:p w14:paraId="01E4AFC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r>
      <w:tr w14:paraId="6F87C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B3B28C0">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37972079">
            <w:pPr>
              <w:adjustRightInd w:val="0"/>
              <w:snapToGrid w:val="0"/>
              <w:spacing w:line="240" w:lineRule="auto"/>
              <w:ind w:firstLine="0" w:firstLineChars="0"/>
              <w:jc w:val="center"/>
              <w:textAlignment w:val="auto"/>
              <w:rPr>
                <w:rFonts w:cs="Times New Roman"/>
                <w:sz w:val="21"/>
                <w:szCs w:val="21"/>
              </w:rPr>
            </w:pPr>
          </w:p>
        </w:tc>
        <w:tc>
          <w:tcPr>
            <w:tcW w:w="631" w:type="pct"/>
            <w:tcBorders>
              <w:tl2br w:val="nil"/>
              <w:tr2bl w:val="nil"/>
            </w:tcBorders>
            <w:tcMar>
              <w:left w:w="0" w:type="dxa"/>
              <w:right w:w="0" w:type="dxa"/>
            </w:tcMar>
            <w:vAlign w:val="center"/>
          </w:tcPr>
          <w:p w14:paraId="3BC589D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存在总量/t</w:t>
            </w:r>
          </w:p>
        </w:tc>
        <w:tc>
          <w:tcPr>
            <w:tcW w:w="652" w:type="pct"/>
            <w:tcBorders>
              <w:tl2br w:val="nil"/>
              <w:tr2bl w:val="nil"/>
            </w:tcBorders>
            <w:tcMar>
              <w:left w:w="0" w:type="dxa"/>
              <w:right w:w="0" w:type="dxa"/>
            </w:tcMar>
            <w:vAlign w:val="center"/>
          </w:tcPr>
          <w:p w14:paraId="2444D1D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18.36</w:t>
            </w:r>
          </w:p>
        </w:tc>
        <w:tc>
          <w:tcPr>
            <w:tcW w:w="657" w:type="pct"/>
            <w:gridSpan w:val="2"/>
            <w:tcBorders>
              <w:tl2br w:val="nil"/>
              <w:tr2bl w:val="nil"/>
            </w:tcBorders>
            <w:tcMar>
              <w:left w:w="0" w:type="dxa"/>
              <w:right w:w="0" w:type="dxa"/>
            </w:tcMar>
            <w:vAlign w:val="center"/>
          </w:tcPr>
          <w:p w14:paraId="7F32364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20.84</w:t>
            </w:r>
          </w:p>
        </w:tc>
        <w:tc>
          <w:tcPr>
            <w:tcW w:w="558" w:type="pct"/>
            <w:tcBorders>
              <w:tl2br w:val="nil"/>
              <w:tr2bl w:val="nil"/>
            </w:tcBorders>
            <w:tcMar>
              <w:left w:w="0" w:type="dxa"/>
              <w:right w:w="0" w:type="dxa"/>
            </w:tcMar>
            <w:vAlign w:val="center"/>
          </w:tcPr>
          <w:p w14:paraId="445975E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2.7</w:t>
            </w:r>
          </w:p>
        </w:tc>
        <w:tc>
          <w:tcPr>
            <w:tcW w:w="702" w:type="pct"/>
            <w:gridSpan w:val="2"/>
            <w:tcBorders>
              <w:tl2br w:val="nil"/>
              <w:tr2bl w:val="nil"/>
            </w:tcBorders>
            <w:tcMar>
              <w:left w:w="0" w:type="dxa"/>
              <w:right w:w="0" w:type="dxa"/>
            </w:tcMar>
            <w:vAlign w:val="center"/>
          </w:tcPr>
          <w:p w14:paraId="370DABB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0.14</w:t>
            </w:r>
          </w:p>
        </w:tc>
        <w:tc>
          <w:tcPr>
            <w:tcW w:w="452" w:type="pct"/>
            <w:tcBorders>
              <w:tl2br w:val="nil"/>
              <w:tr2bl w:val="nil"/>
            </w:tcBorders>
            <w:tcMar>
              <w:left w:w="0" w:type="dxa"/>
              <w:right w:w="0" w:type="dxa"/>
            </w:tcMar>
            <w:vAlign w:val="center"/>
          </w:tcPr>
          <w:p w14:paraId="2280475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c>
          <w:tcPr>
            <w:tcW w:w="572" w:type="pct"/>
            <w:tcBorders>
              <w:tl2br w:val="nil"/>
              <w:tr2bl w:val="nil"/>
            </w:tcBorders>
            <w:tcMar>
              <w:left w:w="0" w:type="dxa"/>
              <w:right w:w="0" w:type="dxa"/>
            </w:tcMar>
            <w:vAlign w:val="center"/>
          </w:tcPr>
          <w:p w14:paraId="2E3CDA1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w:t>
            </w:r>
          </w:p>
        </w:tc>
      </w:tr>
      <w:tr w14:paraId="3BED3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79A703E">
            <w:pPr>
              <w:adjustRightInd w:val="0"/>
              <w:snapToGrid w:val="0"/>
              <w:spacing w:line="240" w:lineRule="auto"/>
              <w:ind w:firstLine="0" w:firstLineChars="0"/>
              <w:jc w:val="center"/>
              <w:textAlignment w:val="auto"/>
              <w:rPr>
                <w:rFonts w:cs="Times New Roman"/>
                <w:sz w:val="21"/>
                <w:szCs w:val="21"/>
              </w:rPr>
            </w:pPr>
          </w:p>
        </w:tc>
        <w:tc>
          <w:tcPr>
            <w:tcW w:w="590" w:type="pct"/>
            <w:vMerge w:val="restart"/>
            <w:tcBorders>
              <w:tl2br w:val="nil"/>
              <w:tr2bl w:val="nil"/>
            </w:tcBorders>
            <w:tcMar>
              <w:left w:w="0" w:type="dxa"/>
              <w:right w:w="0" w:type="dxa"/>
            </w:tcMar>
            <w:vAlign w:val="center"/>
          </w:tcPr>
          <w:p w14:paraId="0AD0D54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环境敏感性</w:t>
            </w:r>
          </w:p>
        </w:tc>
        <w:tc>
          <w:tcPr>
            <w:tcW w:w="631" w:type="pct"/>
            <w:vMerge w:val="restart"/>
            <w:tcBorders>
              <w:tl2br w:val="nil"/>
              <w:tr2bl w:val="nil"/>
            </w:tcBorders>
            <w:tcMar>
              <w:left w:w="0" w:type="dxa"/>
              <w:right w:w="0" w:type="dxa"/>
            </w:tcMar>
            <w:vAlign w:val="center"/>
          </w:tcPr>
          <w:p w14:paraId="089243E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w:t>
            </w:r>
          </w:p>
        </w:tc>
        <w:tc>
          <w:tcPr>
            <w:tcW w:w="1867" w:type="pct"/>
            <w:gridSpan w:val="4"/>
            <w:tcBorders>
              <w:tl2br w:val="nil"/>
              <w:tr2bl w:val="nil"/>
            </w:tcBorders>
            <w:tcMar>
              <w:left w:w="0" w:type="dxa"/>
              <w:right w:w="0" w:type="dxa"/>
            </w:tcMar>
            <w:vAlign w:val="center"/>
          </w:tcPr>
          <w:p w14:paraId="6E43E99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500m范围内人口数</w:t>
            </w:r>
            <w:r>
              <w:rPr>
                <w:rFonts w:cs="Times New Roman"/>
                <w:sz w:val="21"/>
                <w:szCs w:val="21"/>
                <w:u w:val="single"/>
              </w:rPr>
              <w:t>50</w:t>
            </w:r>
            <w:r>
              <w:rPr>
                <w:rFonts w:cs="Times New Roman"/>
                <w:sz w:val="21"/>
                <w:szCs w:val="21"/>
              </w:rPr>
              <w:t>人</w:t>
            </w:r>
          </w:p>
        </w:tc>
        <w:tc>
          <w:tcPr>
            <w:tcW w:w="1726" w:type="pct"/>
            <w:gridSpan w:val="4"/>
            <w:tcBorders>
              <w:tl2br w:val="nil"/>
              <w:tr2bl w:val="nil"/>
            </w:tcBorders>
            <w:tcMar>
              <w:left w:w="0" w:type="dxa"/>
              <w:right w:w="0" w:type="dxa"/>
            </w:tcMar>
            <w:vAlign w:val="center"/>
          </w:tcPr>
          <w:p w14:paraId="3E64CBD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5km范围内人口数</w:t>
            </w:r>
            <w:r>
              <w:rPr>
                <w:rFonts w:cs="Times New Roman"/>
                <w:sz w:val="21"/>
                <w:szCs w:val="21"/>
                <w:u w:val="single"/>
              </w:rPr>
              <w:t>200</w:t>
            </w:r>
            <w:r>
              <w:rPr>
                <w:rFonts w:cs="Times New Roman"/>
                <w:sz w:val="21"/>
                <w:szCs w:val="21"/>
              </w:rPr>
              <w:t>人</w:t>
            </w:r>
          </w:p>
        </w:tc>
      </w:tr>
      <w:tr w14:paraId="6E7E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15A5FDFC">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1C0D572F">
            <w:pPr>
              <w:adjustRightInd w:val="0"/>
              <w:snapToGrid w:val="0"/>
              <w:spacing w:line="240" w:lineRule="auto"/>
              <w:ind w:firstLine="0" w:firstLineChars="0"/>
              <w:jc w:val="center"/>
              <w:textAlignment w:val="auto"/>
              <w:rPr>
                <w:rFonts w:cs="Times New Roman"/>
                <w:sz w:val="21"/>
                <w:szCs w:val="21"/>
              </w:rPr>
            </w:pPr>
          </w:p>
        </w:tc>
        <w:tc>
          <w:tcPr>
            <w:tcW w:w="631" w:type="pct"/>
            <w:vMerge w:val="continue"/>
            <w:tcBorders>
              <w:tl2br w:val="nil"/>
              <w:tr2bl w:val="nil"/>
            </w:tcBorders>
            <w:tcMar>
              <w:left w:w="0" w:type="dxa"/>
              <w:right w:w="0" w:type="dxa"/>
            </w:tcMar>
            <w:vAlign w:val="center"/>
          </w:tcPr>
          <w:p w14:paraId="46D6671D">
            <w:pPr>
              <w:adjustRightInd w:val="0"/>
              <w:snapToGrid w:val="0"/>
              <w:spacing w:line="240" w:lineRule="auto"/>
              <w:ind w:firstLine="0" w:firstLineChars="0"/>
              <w:jc w:val="center"/>
              <w:textAlignment w:val="auto"/>
              <w:rPr>
                <w:rFonts w:cs="Times New Roman"/>
                <w:sz w:val="21"/>
                <w:szCs w:val="21"/>
              </w:rPr>
            </w:pPr>
          </w:p>
        </w:tc>
        <w:tc>
          <w:tcPr>
            <w:tcW w:w="2569" w:type="pct"/>
            <w:gridSpan w:val="6"/>
            <w:tcBorders>
              <w:tl2br w:val="nil"/>
              <w:tr2bl w:val="nil"/>
            </w:tcBorders>
            <w:tcMar>
              <w:left w:w="0" w:type="dxa"/>
              <w:right w:w="0" w:type="dxa"/>
            </w:tcMar>
            <w:vAlign w:val="center"/>
          </w:tcPr>
          <w:p w14:paraId="2A3E907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每公里管段周边200m范围内人口数（最大）</w:t>
            </w:r>
          </w:p>
        </w:tc>
        <w:tc>
          <w:tcPr>
            <w:tcW w:w="1024" w:type="pct"/>
            <w:gridSpan w:val="2"/>
            <w:tcBorders>
              <w:tl2br w:val="nil"/>
              <w:tr2bl w:val="nil"/>
            </w:tcBorders>
            <w:tcMar>
              <w:left w:w="0" w:type="dxa"/>
              <w:right w:w="0" w:type="dxa"/>
            </w:tcMar>
            <w:vAlign w:val="center"/>
          </w:tcPr>
          <w:p w14:paraId="3D39D3C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   /   人</w:t>
            </w:r>
          </w:p>
        </w:tc>
      </w:tr>
      <w:tr w14:paraId="5A342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13336B9A">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36B3B69B">
            <w:pPr>
              <w:adjustRightInd w:val="0"/>
              <w:snapToGrid w:val="0"/>
              <w:spacing w:line="240" w:lineRule="auto"/>
              <w:ind w:firstLine="0" w:firstLineChars="0"/>
              <w:jc w:val="center"/>
              <w:textAlignment w:val="auto"/>
              <w:rPr>
                <w:rFonts w:cs="Times New Roman"/>
                <w:sz w:val="21"/>
                <w:szCs w:val="21"/>
              </w:rPr>
            </w:pPr>
          </w:p>
        </w:tc>
        <w:tc>
          <w:tcPr>
            <w:tcW w:w="631" w:type="pct"/>
            <w:vMerge w:val="restart"/>
            <w:tcBorders>
              <w:tl2br w:val="nil"/>
              <w:tr2bl w:val="nil"/>
            </w:tcBorders>
            <w:tcMar>
              <w:left w:w="0" w:type="dxa"/>
              <w:right w:w="0" w:type="dxa"/>
            </w:tcMar>
            <w:vAlign w:val="center"/>
          </w:tcPr>
          <w:p w14:paraId="277132F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w:t>
            </w:r>
          </w:p>
        </w:tc>
        <w:tc>
          <w:tcPr>
            <w:tcW w:w="996" w:type="pct"/>
            <w:gridSpan w:val="2"/>
            <w:tcBorders>
              <w:tl2br w:val="nil"/>
              <w:tr2bl w:val="nil"/>
            </w:tcBorders>
            <w:tcMar>
              <w:left w:w="0" w:type="dxa"/>
              <w:right w:w="0" w:type="dxa"/>
            </w:tcMar>
            <w:vAlign w:val="center"/>
          </w:tcPr>
          <w:p w14:paraId="3CBD4C0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地表水功能敏感性</w:t>
            </w:r>
          </w:p>
        </w:tc>
        <w:tc>
          <w:tcPr>
            <w:tcW w:w="871" w:type="pct"/>
            <w:gridSpan w:val="2"/>
            <w:tcBorders>
              <w:tl2br w:val="nil"/>
              <w:tr2bl w:val="nil"/>
            </w:tcBorders>
            <w:tcMar>
              <w:left w:w="0" w:type="dxa"/>
              <w:right w:w="0" w:type="dxa"/>
            </w:tcMar>
            <w:vAlign w:val="center"/>
          </w:tcPr>
          <w:p w14:paraId="451B878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F1 </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4C2A589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F2 </w:t>
            </w:r>
            <w:r>
              <w:rPr>
                <w:rFonts w:cs="Times New Roman"/>
                <w:sz w:val="21"/>
                <w:szCs w:val="21"/>
              </w:rPr>
              <w:sym w:font="Wingdings 2" w:char="00A3"/>
            </w:r>
          </w:p>
        </w:tc>
        <w:tc>
          <w:tcPr>
            <w:tcW w:w="1024" w:type="pct"/>
            <w:gridSpan w:val="2"/>
            <w:tcBorders>
              <w:tl2br w:val="nil"/>
              <w:tr2bl w:val="nil"/>
            </w:tcBorders>
            <w:tcMar>
              <w:left w:w="0" w:type="dxa"/>
              <w:right w:w="0" w:type="dxa"/>
            </w:tcMar>
            <w:vAlign w:val="center"/>
          </w:tcPr>
          <w:p w14:paraId="0F94CAC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F3</w:t>
            </w:r>
            <w:r>
              <w:rPr>
                <w:rFonts w:ascii="Segoe UI Emoji" w:hAnsi="Segoe UI Emoji" w:cs="Segoe UI Emoji"/>
                <w:sz w:val="21"/>
                <w:szCs w:val="21"/>
              </w:rPr>
              <w:t>☑</w:t>
            </w:r>
          </w:p>
        </w:tc>
      </w:tr>
      <w:tr w14:paraId="343E1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1E420FA8">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675F72AD">
            <w:pPr>
              <w:adjustRightInd w:val="0"/>
              <w:snapToGrid w:val="0"/>
              <w:spacing w:line="240" w:lineRule="auto"/>
              <w:ind w:firstLine="0" w:firstLineChars="0"/>
              <w:jc w:val="center"/>
              <w:textAlignment w:val="auto"/>
              <w:rPr>
                <w:rFonts w:cs="Times New Roman"/>
                <w:sz w:val="21"/>
                <w:szCs w:val="21"/>
              </w:rPr>
            </w:pPr>
          </w:p>
        </w:tc>
        <w:tc>
          <w:tcPr>
            <w:tcW w:w="631" w:type="pct"/>
            <w:vMerge w:val="continue"/>
            <w:tcBorders>
              <w:tl2br w:val="nil"/>
              <w:tr2bl w:val="nil"/>
            </w:tcBorders>
            <w:tcMar>
              <w:left w:w="0" w:type="dxa"/>
              <w:right w:w="0" w:type="dxa"/>
            </w:tcMar>
            <w:vAlign w:val="center"/>
          </w:tcPr>
          <w:p w14:paraId="53BF3E19">
            <w:pPr>
              <w:adjustRightInd w:val="0"/>
              <w:snapToGrid w:val="0"/>
              <w:spacing w:line="240" w:lineRule="auto"/>
              <w:ind w:firstLine="0" w:firstLineChars="0"/>
              <w:jc w:val="center"/>
              <w:textAlignment w:val="auto"/>
              <w:rPr>
                <w:rFonts w:cs="Times New Roman"/>
                <w:sz w:val="21"/>
                <w:szCs w:val="21"/>
              </w:rPr>
            </w:pPr>
          </w:p>
        </w:tc>
        <w:tc>
          <w:tcPr>
            <w:tcW w:w="996" w:type="pct"/>
            <w:gridSpan w:val="2"/>
            <w:tcBorders>
              <w:tl2br w:val="nil"/>
              <w:tr2bl w:val="nil"/>
            </w:tcBorders>
            <w:tcMar>
              <w:left w:w="0" w:type="dxa"/>
              <w:right w:w="0" w:type="dxa"/>
            </w:tcMar>
            <w:vAlign w:val="center"/>
          </w:tcPr>
          <w:p w14:paraId="6ABE2A7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环境敏感目标分级</w:t>
            </w:r>
          </w:p>
        </w:tc>
        <w:tc>
          <w:tcPr>
            <w:tcW w:w="871" w:type="pct"/>
            <w:gridSpan w:val="2"/>
            <w:tcBorders>
              <w:tl2br w:val="nil"/>
              <w:tr2bl w:val="nil"/>
            </w:tcBorders>
            <w:tcMar>
              <w:left w:w="0" w:type="dxa"/>
              <w:right w:w="0" w:type="dxa"/>
            </w:tcMar>
            <w:vAlign w:val="center"/>
          </w:tcPr>
          <w:p w14:paraId="1C6FC17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S1 </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065EC35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S2 </w:t>
            </w:r>
            <w:r>
              <w:rPr>
                <w:rFonts w:cs="Times New Roman"/>
                <w:sz w:val="21"/>
                <w:szCs w:val="21"/>
              </w:rPr>
              <w:sym w:font="Wingdings 2" w:char="00A3"/>
            </w:r>
          </w:p>
        </w:tc>
        <w:tc>
          <w:tcPr>
            <w:tcW w:w="1024" w:type="pct"/>
            <w:gridSpan w:val="2"/>
            <w:tcBorders>
              <w:tl2br w:val="nil"/>
              <w:tr2bl w:val="nil"/>
            </w:tcBorders>
            <w:tcMar>
              <w:left w:w="0" w:type="dxa"/>
              <w:right w:w="0" w:type="dxa"/>
            </w:tcMar>
            <w:vAlign w:val="center"/>
          </w:tcPr>
          <w:p w14:paraId="7C78756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S3</w:t>
            </w:r>
            <w:r>
              <w:rPr>
                <w:rFonts w:ascii="Segoe UI Emoji" w:hAnsi="Segoe UI Emoji" w:cs="Segoe UI Emoji"/>
                <w:sz w:val="21"/>
                <w:szCs w:val="21"/>
              </w:rPr>
              <w:t>☑</w:t>
            </w:r>
          </w:p>
        </w:tc>
      </w:tr>
      <w:tr w14:paraId="15BE8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C002528">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3C9E44F3">
            <w:pPr>
              <w:adjustRightInd w:val="0"/>
              <w:snapToGrid w:val="0"/>
              <w:spacing w:line="240" w:lineRule="auto"/>
              <w:ind w:firstLine="0" w:firstLineChars="0"/>
              <w:jc w:val="center"/>
              <w:textAlignment w:val="auto"/>
              <w:rPr>
                <w:rFonts w:cs="Times New Roman"/>
                <w:sz w:val="21"/>
                <w:szCs w:val="21"/>
              </w:rPr>
            </w:pPr>
          </w:p>
        </w:tc>
        <w:tc>
          <w:tcPr>
            <w:tcW w:w="631" w:type="pct"/>
            <w:vMerge w:val="restart"/>
            <w:tcBorders>
              <w:tl2br w:val="nil"/>
              <w:tr2bl w:val="nil"/>
            </w:tcBorders>
            <w:tcMar>
              <w:left w:w="0" w:type="dxa"/>
              <w:right w:w="0" w:type="dxa"/>
            </w:tcMar>
            <w:vAlign w:val="center"/>
          </w:tcPr>
          <w:p w14:paraId="1EC7FAD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w:t>
            </w:r>
          </w:p>
        </w:tc>
        <w:tc>
          <w:tcPr>
            <w:tcW w:w="996" w:type="pct"/>
            <w:gridSpan w:val="2"/>
            <w:tcBorders>
              <w:tl2br w:val="nil"/>
              <w:tr2bl w:val="nil"/>
            </w:tcBorders>
            <w:tcMar>
              <w:left w:w="0" w:type="dxa"/>
              <w:right w:w="0" w:type="dxa"/>
            </w:tcMar>
            <w:vAlign w:val="center"/>
          </w:tcPr>
          <w:p w14:paraId="78EDE3E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地下水功能敏感性</w:t>
            </w:r>
          </w:p>
        </w:tc>
        <w:tc>
          <w:tcPr>
            <w:tcW w:w="871" w:type="pct"/>
            <w:gridSpan w:val="2"/>
            <w:tcBorders>
              <w:tl2br w:val="nil"/>
              <w:tr2bl w:val="nil"/>
            </w:tcBorders>
            <w:tcMar>
              <w:left w:w="0" w:type="dxa"/>
              <w:right w:w="0" w:type="dxa"/>
            </w:tcMar>
            <w:vAlign w:val="center"/>
          </w:tcPr>
          <w:p w14:paraId="594D667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G1 </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0961CB9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G2 </w:t>
            </w:r>
            <w:r>
              <w:rPr>
                <w:rFonts w:cs="Times New Roman"/>
                <w:sz w:val="21"/>
                <w:szCs w:val="21"/>
              </w:rPr>
              <w:sym w:font="Wingdings 2" w:char="00A3"/>
            </w:r>
          </w:p>
        </w:tc>
        <w:tc>
          <w:tcPr>
            <w:tcW w:w="1024" w:type="pct"/>
            <w:gridSpan w:val="2"/>
            <w:tcBorders>
              <w:tl2br w:val="nil"/>
              <w:tr2bl w:val="nil"/>
            </w:tcBorders>
            <w:tcMar>
              <w:left w:w="0" w:type="dxa"/>
              <w:right w:w="0" w:type="dxa"/>
            </w:tcMar>
            <w:vAlign w:val="center"/>
          </w:tcPr>
          <w:p w14:paraId="07CB1A5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G3</w:t>
            </w:r>
            <w:r>
              <w:rPr>
                <w:rFonts w:ascii="Segoe UI Emoji" w:hAnsi="Segoe UI Emoji" w:cs="Segoe UI Emoji"/>
                <w:sz w:val="21"/>
                <w:szCs w:val="21"/>
              </w:rPr>
              <w:t>☑</w:t>
            </w:r>
          </w:p>
        </w:tc>
      </w:tr>
      <w:tr w14:paraId="738E0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8BFF8F0">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07BDF279">
            <w:pPr>
              <w:adjustRightInd w:val="0"/>
              <w:snapToGrid w:val="0"/>
              <w:spacing w:line="240" w:lineRule="auto"/>
              <w:ind w:firstLine="0" w:firstLineChars="0"/>
              <w:jc w:val="center"/>
              <w:textAlignment w:val="auto"/>
              <w:rPr>
                <w:rFonts w:cs="Times New Roman"/>
                <w:sz w:val="21"/>
                <w:szCs w:val="21"/>
              </w:rPr>
            </w:pPr>
          </w:p>
        </w:tc>
        <w:tc>
          <w:tcPr>
            <w:tcW w:w="631" w:type="pct"/>
            <w:vMerge w:val="continue"/>
            <w:tcBorders>
              <w:tl2br w:val="nil"/>
              <w:tr2bl w:val="nil"/>
            </w:tcBorders>
            <w:tcMar>
              <w:left w:w="0" w:type="dxa"/>
              <w:right w:w="0" w:type="dxa"/>
            </w:tcMar>
            <w:vAlign w:val="center"/>
          </w:tcPr>
          <w:p w14:paraId="1D0BB2EC">
            <w:pPr>
              <w:adjustRightInd w:val="0"/>
              <w:snapToGrid w:val="0"/>
              <w:spacing w:line="240" w:lineRule="auto"/>
              <w:ind w:firstLine="0" w:firstLineChars="0"/>
              <w:jc w:val="center"/>
              <w:textAlignment w:val="auto"/>
              <w:rPr>
                <w:rFonts w:cs="Times New Roman"/>
                <w:sz w:val="21"/>
                <w:szCs w:val="21"/>
              </w:rPr>
            </w:pPr>
          </w:p>
        </w:tc>
        <w:tc>
          <w:tcPr>
            <w:tcW w:w="996" w:type="pct"/>
            <w:gridSpan w:val="2"/>
            <w:tcBorders>
              <w:tl2br w:val="nil"/>
              <w:tr2bl w:val="nil"/>
            </w:tcBorders>
            <w:tcMar>
              <w:left w:w="0" w:type="dxa"/>
              <w:right w:w="0" w:type="dxa"/>
            </w:tcMar>
            <w:vAlign w:val="center"/>
          </w:tcPr>
          <w:p w14:paraId="64DBCC9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包气带防污性能</w:t>
            </w:r>
          </w:p>
        </w:tc>
        <w:tc>
          <w:tcPr>
            <w:tcW w:w="871" w:type="pct"/>
            <w:gridSpan w:val="2"/>
            <w:tcBorders>
              <w:tl2br w:val="nil"/>
              <w:tr2bl w:val="nil"/>
            </w:tcBorders>
            <w:tcMar>
              <w:left w:w="0" w:type="dxa"/>
              <w:right w:w="0" w:type="dxa"/>
            </w:tcMar>
            <w:vAlign w:val="center"/>
          </w:tcPr>
          <w:p w14:paraId="5F44BA4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D1</w:t>
            </w:r>
            <w:r>
              <w:rPr>
                <w:rFonts w:ascii="Segoe UI Emoji" w:hAnsi="Segoe UI Emoji" w:cs="Segoe UI Emoji"/>
                <w:sz w:val="21"/>
                <w:szCs w:val="21"/>
              </w:rPr>
              <w:t>☑</w:t>
            </w:r>
          </w:p>
        </w:tc>
        <w:tc>
          <w:tcPr>
            <w:tcW w:w="702" w:type="pct"/>
            <w:gridSpan w:val="2"/>
            <w:tcBorders>
              <w:tl2br w:val="nil"/>
              <w:tr2bl w:val="nil"/>
            </w:tcBorders>
            <w:tcMar>
              <w:left w:w="0" w:type="dxa"/>
              <w:right w:w="0" w:type="dxa"/>
            </w:tcMar>
            <w:vAlign w:val="center"/>
          </w:tcPr>
          <w:p w14:paraId="6AAB5EE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D2□</w:t>
            </w:r>
          </w:p>
        </w:tc>
        <w:tc>
          <w:tcPr>
            <w:tcW w:w="1024" w:type="pct"/>
            <w:gridSpan w:val="2"/>
            <w:tcBorders>
              <w:tl2br w:val="nil"/>
              <w:tr2bl w:val="nil"/>
            </w:tcBorders>
            <w:tcMar>
              <w:left w:w="0" w:type="dxa"/>
              <w:right w:w="0" w:type="dxa"/>
            </w:tcMar>
            <w:vAlign w:val="center"/>
          </w:tcPr>
          <w:p w14:paraId="4B64C2B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D3</w:t>
            </w:r>
            <w:r>
              <w:rPr>
                <w:rFonts w:cs="Times New Roman"/>
                <w:sz w:val="21"/>
                <w:szCs w:val="21"/>
              </w:rPr>
              <w:sym w:font="Wingdings 2" w:char="00A3"/>
            </w:r>
          </w:p>
        </w:tc>
      </w:tr>
      <w:tr w14:paraId="0F92B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restart"/>
            <w:tcBorders>
              <w:tl2br w:val="nil"/>
              <w:tr2bl w:val="nil"/>
            </w:tcBorders>
            <w:tcMar>
              <w:left w:w="0" w:type="dxa"/>
              <w:right w:w="0" w:type="dxa"/>
            </w:tcMar>
            <w:vAlign w:val="center"/>
          </w:tcPr>
          <w:p w14:paraId="2BA4904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物质及工艺系统危险性</w:t>
            </w:r>
          </w:p>
        </w:tc>
        <w:tc>
          <w:tcPr>
            <w:tcW w:w="631" w:type="pct"/>
            <w:tcBorders>
              <w:tl2br w:val="nil"/>
              <w:tr2bl w:val="nil"/>
            </w:tcBorders>
            <w:tcMar>
              <w:left w:w="0" w:type="dxa"/>
              <w:right w:w="0" w:type="dxa"/>
            </w:tcMar>
            <w:vAlign w:val="center"/>
          </w:tcPr>
          <w:p w14:paraId="6340548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Q值</w:t>
            </w:r>
          </w:p>
        </w:tc>
        <w:tc>
          <w:tcPr>
            <w:tcW w:w="996" w:type="pct"/>
            <w:gridSpan w:val="2"/>
            <w:tcBorders>
              <w:tl2br w:val="nil"/>
              <w:tr2bl w:val="nil"/>
            </w:tcBorders>
            <w:tcMar>
              <w:left w:w="0" w:type="dxa"/>
              <w:right w:w="0" w:type="dxa"/>
            </w:tcMar>
            <w:vAlign w:val="center"/>
          </w:tcPr>
          <w:p w14:paraId="35F6A8B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Q&lt;1</w:t>
            </w:r>
            <w:r>
              <w:rPr>
                <w:rFonts w:cs="Times New Roman"/>
                <w:sz w:val="21"/>
                <w:szCs w:val="21"/>
              </w:rPr>
              <w:sym w:font="Wingdings 2" w:char="00A3"/>
            </w:r>
          </w:p>
        </w:tc>
        <w:tc>
          <w:tcPr>
            <w:tcW w:w="871" w:type="pct"/>
            <w:gridSpan w:val="2"/>
            <w:tcBorders>
              <w:tl2br w:val="nil"/>
              <w:tr2bl w:val="nil"/>
            </w:tcBorders>
            <w:tcMar>
              <w:left w:w="0" w:type="dxa"/>
              <w:right w:w="0" w:type="dxa"/>
            </w:tcMar>
            <w:vAlign w:val="center"/>
          </w:tcPr>
          <w:p w14:paraId="52B4264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1≤Q&lt;10</w:t>
            </w:r>
            <w:r>
              <w:rPr>
                <w:rFonts w:ascii="Segoe UI Emoji" w:hAnsi="Segoe UI Emoji" w:cs="Segoe UI Emoji"/>
                <w:sz w:val="21"/>
                <w:szCs w:val="21"/>
              </w:rPr>
              <w:t>☑</w:t>
            </w:r>
          </w:p>
        </w:tc>
        <w:tc>
          <w:tcPr>
            <w:tcW w:w="702" w:type="pct"/>
            <w:gridSpan w:val="2"/>
            <w:tcBorders>
              <w:tl2br w:val="nil"/>
              <w:tr2bl w:val="nil"/>
            </w:tcBorders>
            <w:tcMar>
              <w:left w:w="0" w:type="dxa"/>
              <w:right w:w="0" w:type="dxa"/>
            </w:tcMar>
            <w:vAlign w:val="center"/>
          </w:tcPr>
          <w:p w14:paraId="642CBCB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10≤Q&lt;100</w:t>
            </w:r>
            <w:r>
              <w:rPr>
                <w:rFonts w:cs="Times New Roman"/>
                <w:sz w:val="21"/>
                <w:szCs w:val="21"/>
              </w:rPr>
              <w:sym w:font="Wingdings 2" w:char="00A3"/>
            </w:r>
          </w:p>
        </w:tc>
        <w:tc>
          <w:tcPr>
            <w:tcW w:w="1024" w:type="pct"/>
            <w:gridSpan w:val="2"/>
            <w:tcBorders>
              <w:tl2br w:val="nil"/>
              <w:tr2bl w:val="nil"/>
            </w:tcBorders>
            <w:tcMar>
              <w:left w:w="0" w:type="dxa"/>
              <w:right w:w="0" w:type="dxa"/>
            </w:tcMar>
            <w:vAlign w:val="center"/>
          </w:tcPr>
          <w:p w14:paraId="2351AE2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Q&gt;100</w:t>
            </w:r>
            <w:r>
              <w:rPr>
                <w:rFonts w:cs="Times New Roman"/>
                <w:sz w:val="21"/>
                <w:szCs w:val="21"/>
              </w:rPr>
              <w:sym w:font="Wingdings 2" w:char="00A3"/>
            </w:r>
          </w:p>
        </w:tc>
      </w:tr>
      <w:tr w14:paraId="6A464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continue"/>
            <w:tcBorders>
              <w:tl2br w:val="nil"/>
              <w:tr2bl w:val="nil"/>
            </w:tcBorders>
            <w:tcMar>
              <w:left w:w="0" w:type="dxa"/>
              <w:right w:w="0" w:type="dxa"/>
            </w:tcMar>
            <w:vAlign w:val="center"/>
          </w:tcPr>
          <w:p w14:paraId="0B32D318">
            <w:pPr>
              <w:adjustRightInd w:val="0"/>
              <w:snapToGrid w:val="0"/>
              <w:spacing w:line="240" w:lineRule="auto"/>
              <w:ind w:firstLine="0" w:firstLineChars="0"/>
              <w:jc w:val="center"/>
              <w:textAlignment w:val="auto"/>
              <w:rPr>
                <w:rFonts w:cs="Times New Roman"/>
                <w:sz w:val="21"/>
                <w:szCs w:val="21"/>
              </w:rPr>
            </w:pPr>
          </w:p>
        </w:tc>
        <w:tc>
          <w:tcPr>
            <w:tcW w:w="631" w:type="pct"/>
            <w:tcBorders>
              <w:tl2br w:val="nil"/>
              <w:tr2bl w:val="nil"/>
            </w:tcBorders>
            <w:tcMar>
              <w:left w:w="0" w:type="dxa"/>
              <w:right w:w="0" w:type="dxa"/>
            </w:tcMar>
            <w:vAlign w:val="center"/>
          </w:tcPr>
          <w:p w14:paraId="37D8E74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M值</w:t>
            </w:r>
          </w:p>
        </w:tc>
        <w:tc>
          <w:tcPr>
            <w:tcW w:w="996" w:type="pct"/>
            <w:gridSpan w:val="2"/>
            <w:tcBorders>
              <w:tl2br w:val="nil"/>
              <w:tr2bl w:val="nil"/>
            </w:tcBorders>
            <w:tcMar>
              <w:left w:w="0" w:type="dxa"/>
              <w:right w:w="0" w:type="dxa"/>
            </w:tcMar>
            <w:vAlign w:val="center"/>
          </w:tcPr>
          <w:p w14:paraId="172D8B6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M1□</w:t>
            </w:r>
          </w:p>
        </w:tc>
        <w:tc>
          <w:tcPr>
            <w:tcW w:w="871" w:type="pct"/>
            <w:gridSpan w:val="2"/>
            <w:tcBorders>
              <w:tl2br w:val="nil"/>
              <w:tr2bl w:val="nil"/>
            </w:tcBorders>
            <w:tcMar>
              <w:left w:w="0" w:type="dxa"/>
              <w:right w:w="0" w:type="dxa"/>
            </w:tcMar>
            <w:vAlign w:val="center"/>
          </w:tcPr>
          <w:p w14:paraId="4949A48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M2</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29393B5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M3</w:t>
            </w:r>
            <w:r>
              <w:rPr>
                <w:rFonts w:ascii="Segoe UI Emoji" w:hAnsi="Segoe UI Emoji" w:cs="Segoe UI Emoji"/>
                <w:sz w:val="21"/>
                <w:szCs w:val="21"/>
              </w:rPr>
              <w:t>☑</w:t>
            </w:r>
          </w:p>
        </w:tc>
        <w:tc>
          <w:tcPr>
            <w:tcW w:w="1024" w:type="pct"/>
            <w:gridSpan w:val="2"/>
            <w:tcBorders>
              <w:tl2br w:val="nil"/>
              <w:tr2bl w:val="nil"/>
            </w:tcBorders>
            <w:tcMar>
              <w:left w:w="0" w:type="dxa"/>
              <w:right w:w="0" w:type="dxa"/>
            </w:tcMar>
            <w:vAlign w:val="center"/>
          </w:tcPr>
          <w:p w14:paraId="13A634D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M4</w:t>
            </w:r>
            <w:r>
              <w:rPr>
                <w:rFonts w:cs="Times New Roman"/>
                <w:sz w:val="21"/>
                <w:szCs w:val="21"/>
              </w:rPr>
              <w:sym w:font="Wingdings 2" w:char="00A3"/>
            </w:r>
          </w:p>
        </w:tc>
      </w:tr>
      <w:tr w14:paraId="7F85F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continue"/>
            <w:tcBorders>
              <w:tl2br w:val="nil"/>
              <w:tr2bl w:val="nil"/>
            </w:tcBorders>
            <w:tcMar>
              <w:left w:w="0" w:type="dxa"/>
              <w:right w:w="0" w:type="dxa"/>
            </w:tcMar>
            <w:vAlign w:val="center"/>
          </w:tcPr>
          <w:p w14:paraId="24B20F92">
            <w:pPr>
              <w:adjustRightInd w:val="0"/>
              <w:snapToGrid w:val="0"/>
              <w:spacing w:line="240" w:lineRule="auto"/>
              <w:ind w:firstLine="0" w:firstLineChars="0"/>
              <w:jc w:val="center"/>
              <w:textAlignment w:val="auto"/>
              <w:rPr>
                <w:rFonts w:cs="Times New Roman"/>
                <w:sz w:val="21"/>
                <w:szCs w:val="21"/>
              </w:rPr>
            </w:pPr>
          </w:p>
        </w:tc>
        <w:tc>
          <w:tcPr>
            <w:tcW w:w="631" w:type="pct"/>
            <w:tcBorders>
              <w:tl2br w:val="nil"/>
              <w:tr2bl w:val="nil"/>
            </w:tcBorders>
            <w:tcMar>
              <w:left w:w="0" w:type="dxa"/>
              <w:right w:w="0" w:type="dxa"/>
            </w:tcMar>
            <w:vAlign w:val="center"/>
          </w:tcPr>
          <w:p w14:paraId="5E0C27B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P值</w:t>
            </w:r>
          </w:p>
        </w:tc>
        <w:tc>
          <w:tcPr>
            <w:tcW w:w="996" w:type="pct"/>
            <w:gridSpan w:val="2"/>
            <w:tcBorders>
              <w:tl2br w:val="nil"/>
              <w:tr2bl w:val="nil"/>
            </w:tcBorders>
            <w:tcMar>
              <w:left w:w="0" w:type="dxa"/>
              <w:right w:w="0" w:type="dxa"/>
            </w:tcMar>
            <w:vAlign w:val="center"/>
          </w:tcPr>
          <w:p w14:paraId="135D2D0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P1 </w:t>
            </w:r>
            <w:r>
              <w:rPr>
                <w:rFonts w:cs="Times New Roman"/>
                <w:sz w:val="21"/>
                <w:szCs w:val="21"/>
              </w:rPr>
              <w:sym w:font="Wingdings 2" w:char="00A3"/>
            </w:r>
          </w:p>
        </w:tc>
        <w:tc>
          <w:tcPr>
            <w:tcW w:w="871" w:type="pct"/>
            <w:gridSpan w:val="2"/>
            <w:tcBorders>
              <w:tl2br w:val="nil"/>
              <w:tr2bl w:val="nil"/>
            </w:tcBorders>
            <w:tcMar>
              <w:left w:w="0" w:type="dxa"/>
              <w:right w:w="0" w:type="dxa"/>
            </w:tcMar>
            <w:vAlign w:val="center"/>
          </w:tcPr>
          <w:p w14:paraId="7894C47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P2</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7E43385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P3</w:t>
            </w:r>
            <w:r>
              <w:rPr>
                <w:rFonts w:cs="Times New Roman"/>
                <w:sz w:val="21"/>
                <w:szCs w:val="21"/>
              </w:rPr>
              <w:sym w:font="Wingdings 2" w:char="00A3"/>
            </w:r>
          </w:p>
        </w:tc>
        <w:tc>
          <w:tcPr>
            <w:tcW w:w="1024" w:type="pct"/>
            <w:gridSpan w:val="2"/>
            <w:tcBorders>
              <w:tl2br w:val="nil"/>
              <w:tr2bl w:val="nil"/>
            </w:tcBorders>
            <w:tcMar>
              <w:left w:w="0" w:type="dxa"/>
              <w:right w:w="0" w:type="dxa"/>
            </w:tcMar>
            <w:vAlign w:val="center"/>
          </w:tcPr>
          <w:p w14:paraId="73D64E4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P4</w:t>
            </w:r>
            <w:r>
              <w:rPr>
                <w:rFonts w:ascii="Segoe UI Emoji" w:hAnsi="Segoe UI Emoji" w:cs="Segoe UI Emoji"/>
                <w:sz w:val="21"/>
                <w:szCs w:val="21"/>
              </w:rPr>
              <w:t>☑</w:t>
            </w:r>
          </w:p>
        </w:tc>
      </w:tr>
      <w:tr w14:paraId="4B869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restart"/>
            <w:tcBorders>
              <w:tl2br w:val="nil"/>
              <w:tr2bl w:val="nil"/>
            </w:tcBorders>
            <w:tcMar>
              <w:left w:w="0" w:type="dxa"/>
              <w:right w:w="0" w:type="dxa"/>
            </w:tcMar>
            <w:vAlign w:val="center"/>
          </w:tcPr>
          <w:p w14:paraId="52197A4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环境敏感</w:t>
            </w:r>
          </w:p>
          <w:p w14:paraId="3674E66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程度</w:t>
            </w:r>
          </w:p>
        </w:tc>
        <w:tc>
          <w:tcPr>
            <w:tcW w:w="631" w:type="pct"/>
            <w:tcBorders>
              <w:tl2br w:val="nil"/>
              <w:tr2bl w:val="nil"/>
            </w:tcBorders>
            <w:tcMar>
              <w:left w:w="0" w:type="dxa"/>
              <w:right w:w="0" w:type="dxa"/>
            </w:tcMar>
            <w:vAlign w:val="center"/>
          </w:tcPr>
          <w:p w14:paraId="3DB8243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w:t>
            </w:r>
          </w:p>
        </w:tc>
        <w:tc>
          <w:tcPr>
            <w:tcW w:w="996" w:type="pct"/>
            <w:gridSpan w:val="2"/>
            <w:tcBorders>
              <w:tl2br w:val="nil"/>
              <w:tr2bl w:val="nil"/>
            </w:tcBorders>
            <w:tcMar>
              <w:left w:w="0" w:type="dxa"/>
              <w:right w:w="0" w:type="dxa"/>
            </w:tcMar>
            <w:vAlign w:val="center"/>
          </w:tcPr>
          <w:p w14:paraId="5C51EBD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E1 </w:t>
            </w:r>
            <w:r>
              <w:rPr>
                <w:rFonts w:cs="Times New Roman"/>
                <w:sz w:val="21"/>
                <w:szCs w:val="21"/>
              </w:rPr>
              <w:sym w:font="Wingdings 2" w:char="00A3"/>
            </w:r>
          </w:p>
        </w:tc>
        <w:tc>
          <w:tcPr>
            <w:tcW w:w="1049" w:type="pct"/>
            <w:gridSpan w:val="3"/>
            <w:tcBorders>
              <w:tl2br w:val="nil"/>
              <w:tr2bl w:val="nil"/>
            </w:tcBorders>
            <w:tcMar>
              <w:left w:w="0" w:type="dxa"/>
              <w:right w:w="0" w:type="dxa"/>
            </w:tcMar>
            <w:vAlign w:val="center"/>
          </w:tcPr>
          <w:p w14:paraId="4DD1176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E2 </w:t>
            </w:r>
            <w:r>
              <w:rPr>
                <w:rFonts w:cs="Times New Roman"/>
                <w:sz w:val="21"/>
                <w:szCs w:val="21"/>
              </w:rPr>
              <w:sym w:font="Wingdings 2" w:char="00A3"/>
            </w:r>
          </w:p>
        </w:tc>
        <w:tc>
          <w:tcPr>
            <w:tcW w:w="1548" w:type="pct"/>
            <w:gridSpan w:val="3"/>
            <w:tcBorders>
              <w:tl2br w:val="nil"/>
              <w:tr2bl w:val="nil"/>
            </w:tcBorders>
            <w:tcMar>
              <w:left w:w="0" w:type="dxa"/>
              <w:right w:w="0" w:type="dxa"/>
            </w:tcMar>
            <w:vAlign w:val="center"/>
          </w:tcPr>
          <w:p w14:paraId="697BC02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E3 </w:t>
            </w:r>
            <w:r>
              <w:rPr>
                <w:rFonts w:ascii="Segoe UI Emoji" w:hAnsi="Segoe UI Emoji" w:cs="Segoe UI Emoji"/>
                <w:sz w:val="21"/>
                <w:szCs w:val="21"/>
              </w:rPr>
              <w:t>☑</w:t>
            </w:r>
          </w:p>
        </w:tc>
      </w:tr>
      <w:tr w14:paraId="6E920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continue"/>
            <w:tcBorders>
              <w:tl2br w:val="nil"/>
              <w:tr2bl w:val="nil"/>
            </w:tcBorders>
            <w:tcMar>
              <w:left w:w="0" w:type="dxa"/>
              <w:right w:w="0" w:type="dxa"/>
            </w:tcMar>
            <w:vAlign w:val="center"/>
          </w:tcPr>
          <w:p w14:paraId="05BD1E06">
            <w:pPr>
              <w:adjustRightInd w:val="0"/>
              <w:snapToGrid w:val="0"/>
              <w:spacing w:line="240" w:lineRule="auto"/>
              <w:ind w:firstLine="0" w:firstLineChars="0"/>
              <w:jc w:val="center"/>
              <w:textAlignment w:val="auto"/>
              <w:rPr>
                <w:rFonts w:cs="Times New Roman"/>
                <w:sz w:val="21"/>
                <w:szCs w:val="21"/>
              </w:rPr>
            </w:pPr>
          </w:p>
        </w:tc>
        <w:tc>
          <w:tcPr>
            <w:tcW w:w="631" w:type="pct"/>
            <w:tcBorders>
              <w:tl2br w:val="nil"/>
              <w:tr2bl w:val="nil"/>
            </w:tcBorders>
            <w:tcMar>
              <w:left w:w="0" w:type="dxa"/>
              <w:right w:w="0" w:type="dxa"/>
            </w:tcMar>
            <w:vAlign w:val="center"/>
          </w:tcPr>
          <w:p w14:paraId="43358C5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w:t>
            </w:r>
          </w:p>
        </w:tc>
        <w:tc>
          <w:tcPr>
            <w:tcW w:w="996" w:type="pct"/>
            <w:gridSpan w:val="2"/>
            <w:tcBorders>
              <w:tl2br w:val="nil"/>
              <w:tr2bl w:val="nil"/>
            </w:tcBorders>
            <w:tcMar>
              <w:left w:w="0" w:type="dxa"/>
              <w:right w:w="0" w:type="dxa"/>
            </w:tcMar>
            <w:vAlign w:val="center"/>
          </w:tcPr>
          <w:p w14:paraId="7854EBD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E1 </w:t>
            </w:r>
            <w:r>
              <w:rPr>
                <w:rFonts w:cs="Times New Roman"/>
                <w:sz w:val="21"/>
                <w:szCs w:val="21"/>
              </w:rPr>
              <w:sym w:font="Wingdings 2" w:char="00A3"/>
            </w:r>
          </w:p>
        </w:tc>
        <w:tc>
          <w:tcPr>
            <w:tcW w:w="1049" w:type="pct"/>
            <w:gridSpan w:val="3"/>
            <w:tcBorders>
              <w:tl2br w:val="nil"/>
              <w:tr2bl w:val="nil"/>
            </w:tcBorders>
            <w:tcMar>
              <w:left w:w="0" w:type="dxa"/>
              <w:right w:w="0" w:type="dxa"/>
            </w:tcMar>
            <w:vAlign w:val="center"/>
          </w:tcPr>
          <w:p w14:paraId="6CE8B74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E2 </w:t>
            </w:r>
            <w:r>
              <w:rPr>
                <w:rFonts w:cs="Times New Roman"/>
                <w:sz w:val="21"/>
                <w:szCs w:val="21"/>
              </w:rPr>
              <w:sym w:font="Wingdings 2" w:char="00A3"/>
            </w:r>
          </w:p>
        </w:tc>
        <w:tc>
          <w:tcPr>
            <w:tcW w:w="1548" w:type="pct"/>
            <w:gridSpan w:val="3"/>
            <w:tcBorders>
              <w:tl2br w:val="nil"/>
              <w:tr2bl w:val="nil"/>
            </w:tcBorders>
            <w:tcMar>
              <w:left w:w="0" w:type="dxa"/>
              <w:right w:w="0" w:type="dxa"/>
            </w:tcMar>
            <w:vAlign w:val="center"/>
          </w:tcPr>
          <w:p w14:paraId="36CCEC4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E3 </w:t>
            </w:r>
            <w:r>
              <w:rPr>
                <w:rFonts w:ascii="Segoe UI Emoji" w:hAnsi="Segoe UI Emoji" w:cs="Segoe UI Emoji"/>
                <w:sz w:val="21"/>
                <w:szCs w:val="21"/>
              </w:rPr>
              <w:t>☑</w:t>
            </w:r>
          </w:p>
        </w:tc>
      </w:tr>
      <w:tr w14:paraId="1C28F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vMerge w:val="continue"/>
            <w:tcBorders>
              <w:tl2br w:val="nil"/>
              <w:tr2bl w:val="nil"/>
            </w:tcBorders>
            <w:tcMar>
              <w:left w:w="0" w:type="dxa"/>
              <w:right w:w="0" w:type="dxa"/>
            </w:tcMar>
            <w:vAlign w:val="center"/>
          </w:tcPr>
          <w:p w14:paraId="73E46260">
            <w:pPr>
              <w:adjustRightInd w:val="0"/>
              <w:snapToGrid w:val="0"/>
              <w:spacing w:line="240" w:lineRule="auto"/>
              <w:ind w:firstLine="0" w:firstLineChars="0"/>
              <w:jc w:val="center"/>
              <w:textAlignment w:val="auto"/>
              <w:rPr>
                <w:rFonts w:cs="Times New Roman"/>
                <w:sz w:val="21"/>
                <w:szCs w:val="21"/>
              </w:rPr>
            </w:pPr>
          </w:p>
        </w:tc>
        <w:tc>
          <w:tcPr>
            <w:tcW w:w="631" w:type="pct"/>
            <w:tcBorders>
              <w:tl2br w:val="nil"/>
              <w:tr2bl w:val="nil"/>
            </w:tcBorders>
            <w:tcMar>
              <w:left w:w="0" w:type="dxa"/>
              <w:right w:w="0" w:type="dxa"/>
            </w:tcMar>
            <w:vAlign w:val="center"/>
          </w:tcPr>
          <w:p w14:paraId="1B9EE43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w:t>
            </w:r>
          </w:p>
        </w:tc>
        <w:tc>
          <w:tcPr>
            <w:tcW w:w="996" w:type="pct"/>
            <w:gridSpan w:val="2"/>
            <w:tcBorders>
              <w:tl2br w:val="nil"/>
              <w:tr2bl w:val="nil"/>
            </w:tcBorders>
            <w:tcMar>
              <w:left w:w="0" w:type="dxa"/>
              <w:right w:w="0" w:type="dxa"/>
            </w:tcMar>
            <w:vAlign w:val="center"/>
          </w:tcPr>
          <w:p w14:paraId="39A564F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E1 </w:t>
            </w:r>
            <w:r>
              <w:rPr>
                <w:rFonts w:cs="Times New Roman"/>
                <w:sz w:val="21"/>
                <w:szCs w:val="21"/>
              </w:rPr>
              <w:sym w:font="Wingdings 2" w:char="00A3"/>
            </w:r>
          </w:p>
        </w:tc>
        <w:tc>
          <w:tcPr>
            <w:tcW w:w="1049" w:type="pct"/>
            <w:gridSpan w:val="3"/>
            <w:tcBorders>
              <w:tl2br w:val="nil"/>
              <w:tr2bl w:val="nil"/>
            </w:tcBorders>
            <w:tcMar>
              <w:left w:w="0" w:type="dxa"/>
              <w:right w:w="0" w:type="dxa"/>
            </w:tcMar>
            <w:vAlign w:val="center"/>
          </w:tcPr>
          <w:p w14:paraId="191E91C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E2 </w:t>
            </w:r>
            <w:r>
              <w:rPr>
                <w:rFonts w:ascii="Segoe UI Emoji" w:hAnsi="Segoe UI Emoji" w:cs="Segoe UI Emoji"/>
                <w:sz w:val="21"/>
                <w:szCs w:val="21"/>
              </w:rPr>
              <w:t>☑</w:t>
            </w:r>
          </w:p>
        </w:tc>
        <w:tc>
          <w:tcPr>
            <w:tcW w:w="1548" w:type="pct"/>
            <w:gridSpan w:val="3"/>
            <w:tcBorders>
              <w:tl2br w:val="nil"/>
              <w:tr2bl w:val="nil"/>
            </w:tcBorders>
            <w:tcMar>
              <w:left w:w="0" w:type="dxa"/>
              <w:right w:w="0" w:type="dxa"/>
            </w:tcMar>
            <w:vAlign w:val="center"/>
          </w:tcPr>
          <w:p w14:paraId="44CA339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E3 □</w:t>
            </w:r>
          </w:p>
        </w:tc>
      </w:tr>
      <w:tr w14:paraId="0F713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tcBorders>
              <w:tl2br w:val="nil"/>
              <w:tr2bl w:val="nil"/>
            </w:tcBorders>
            <w:tcMar>
              <w:left w:w="0" w:type="dxa"/>
              <w:right w:w="0" w:type="dxa"/>
            </w:tcMar>
            <w:vAlign w:val="center"/>
          </w:tcPr>
          <w:p w14:paraId="6B0102F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环境风险潜势</w:t>
            </w:r>
          </w:p>
        </w:tc>
        <w:tc>
          <w:tcPr>
            <w:tcW w:w="631" w:type="pct"/>
            <w:tcBorders>
              <w:tl2br w:val="nil"/>
              <w:tr2bl w:val="nil"/>
            </w:tcBorders>
            <w:tcMar>
              <w:left w:w="0" w:type="dxa"/>
              <w:right w:w="0" w:type="dxa"/>
            </w:tcMar>
            <w:vAlign w:val="center"/>
          </w:tcPr>
          <w:p w14:paraId="20DB0ED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Ⅳ+</w:t>
            </w:r>
            <w:r>
              <w:rPr>
                <w:rFonts w:cs="Times New Roman"/>
                <w:sz w:val="21"/>
                <w:szCs w:val="21"/>
              </w:rPr>
              <w:sym w:font="Wingdings 2" w:char="00A3"/>
            </w:r>
          </w:p>
        </w:tc>
        <w:tc>
          <w:tcPr>
            <w:tcW w:w="996" w:type="pct"/>
            <w:gridSpan w:val="2"/>
            <w:tcBorders>
              <w:tl2br w:val="nil"/>
              <w:tr2bl w:val="nil"/>
            </w:tcBorders>
            <w:tcMar>
              <w:left w:w="0" w:type="dxa"/>
              <w:right w:w="0" w:type="dxa"/>
            </w:tcMar>
            <w:vAlign w:val="center"/>
          </w:tcPr>
          <w:p w14:paraId="0ED499E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Ⅳ□</w:t>
            </w:r>
          </w:p>
        </w:tc>
        <w:tc>
          <w:tcPr>
            <w:tcW w:w="871" w:type="pct"/>
            <w:gridSpan w:val="2"/>
            <w:tcBorders>
              <w:tl2br w:val="nil"/>
              <w:tr2bl w:val="nil"/>
            </w:tcBorders>
            <w:tcMar>
              <w:left w:w="0" w:type="dxa"/>
              <w:right w:w="0" w:type="dxa"/>
            </w:tcMar>
            <w:vAlign w:val="center"/>
          </w:tcPr>
          <w:p w14:paraId="0D2035C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Ⅲ</w:t>
            </w:r>
            <w:r>
              <w:rPr>
                <w:rFonts w:cs="Times New Roman"/>
                <w:sz w:val="21"/>
                <w:szCs w:val="21"/>
              </w:rPr>
              <w:sym w:font="Wingdings 2" w:char="00A3"/>
            </w:r>
          </w:p>
        </w:tc>
        <w:tc>
          <w:tcPr>
            <w:tcW w:w="702" w:type="pct"/>
            <w:gridSpan w:val="2"/>
            <w:tcBorders>
              <w:tl2br w:val="nil"/>
              <w:tr2bl w:val="nil"/>
            </w:tcBorders>
            <w:tcMar>
              <w:left w:w="0" w:type="dxa"/>
              <w:right w:w="0" w:type="dxa"/>
            </w:tcMar>
            <w:vAlign w:val="center"/>
          </w:tcPr>
          <w:p w14:paraId="27BC533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Ⅱ</w:t>
            </w:r>
            <w:r>
              <w:rPr>
                <w:rFonts w:ascii="Segoe UI Emoji" w:hAnsi="Segoe UI Emoji" w:cs="Segoe UI Emoji"/>
                <w:sz w:val="21"/>
                <w:szCs w:val="21"/>
              </w:rPr>
              <w:t>☑</w:t>
            </w:r>
          </w:p>
        </w:tc>
        <w:tc>
          <w:tcPr>
            <w:tcW w:w="1024" w:type="pct"/>
            <w:gridSpan w:val="2"/>
            <w:tcBorders>
              <w:tl2br w:val="nil"/>
              <w:tr2bl w:val="nil"/>
            </w:tcBorders>
            <w:tcMar>
              <w:left w:w="0" w:type="dxa"/>
              <w:right w:w="0" w:type="dxa"/>
            </w:tcMar>
            <w:vAlign w:val="center"/>
          </w:tcPr>
          <w:p w14:paraId="7ED012E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Ⅰ</w:t>
            </w:r>
            <w:r>
              <w:rPr>
                <w:rFonts w:ascii="Segoe UI Emoji" w:hAnsi="Segoe UI Emoji" w:cs="Segoe UI Emoji"/>
                <w:sz w:val="21"/>
                <w:szCs w:val="21"/>
              </w:rPr>
              <w:t>☑</w:t>
            </w:r>
          </w:p>
        </w:tc>
      </w:tr>
      <w:tr w14:paraId="70C67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tcBorders>
              <w:tl2br w:val="nil"/>
              <w:tr2bl w:val="nil"/>
            </w:tcBorders>
            <w:tcMar>
              <w:left w:w="0" w:type="dxa"/>
              <w:right w:w="0" w:type="dxa"/>
            </w:tcMar>
            <w:vAlign w:val="center"/>
          </w:tcPr>
          <w:p w14:paraId="0524218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评价等级</w:t>
            </w:r>
          </w:p>
        </w:tc>
        <w:tc>
          <w:tcPr>
            <w:tcW w:w="1627" w:type="pct"/>
            <w:gridSpan w:val="3"/>
            <w:tcBorders>
              <w:tl2br w:val="nil"/>
              <w:tr2bl w:val="nil"/>
            </w:tcBorders>
            <w:tcMar>
              <w:left w:w="0" w:type="dxa"/>
              <w:right w:w="0" w:type="dxa"/>
            </w:tcMar>
            <w:vAlign w:val="center"/>
          </w:tcPr>
          <w:p w14:paraId="562649E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一级</w:t>
            </w:r>
            <w:r>
              <w:rPr>
                <w:rFonts w:cs="Times New Roman"/>
                <w:sz w:val="21"/>
                <w:szCs w:val="21"/>
              </w:rPr>
              <w:sym w:font="Wingdings 2" w:char="00A3"/>
            </w:r>
          </w:p>
        </w:tc>
        <w:tc>
          <w:tcPr>
            <w:tcW w:w="871" w:type="pct"/>
            <w:gridSpan w:val="2"/>
            <w:tcBorders>
              <w:tl2br w:val="nil"/>
              <w:tr2bl w:val="nil"/>
            </w:tcBorders>
            <w:tcMar>
              <w:left w:w="0" w:type="dxa"/>
              <w:right w:w="0" w:type="dxa"/>
            </w:tcMar>
            <w:vAlign w:val="center"/>
          </w:tcPr>
          <w:p w14:paraId="15EDD5F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二级□</w:t>
            </w:r>
          </w:p>
        </w:tc>
        <w:tc>
          <w:tcPr>
            <w:tcW w:w="702" w:type="pct"/>
            <w:gridSpan w:val="2"/>
            <w:tcBorders>
              <w:tl2br w:val="nil"/>
              <w:tr2bl w:val="nil"/>
            </w:tcBorders>
            <w:tcMar>
              <w:left w:w="0" w:type="dxa"/>
              <w:right w:w="0" w:type="dxa"/>
            </w:tcMar>
            <w:vAlign w:val="center"/>
          </w:tcPr>
          <w:p w14:paraId="6035732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三级</w:t>
            </w:r>
            <w:r>
              <w:rPr>
                <w:rFonts w:ascii="Segoe UI Emoji" w:hAnsi="Segoe UI Emoji" w:cs="Segoe UI Emoji"/>
                <w:sz w:val="21"/>
                <w:szCs w:val="21"/>
              </w:rPr>
              <w:t>☑</w:t>
            </w:r>
          </w:p>
        </w:tc>
        <w:tc>
          <w:tcPr>
            <w:tcW w:w="1024" w:type="pct"/>
            <w:gridSpan w:val="2"/>
            <w:tcBorders>
              <w:tl2br w:val="nil"/>
              <w:tr2bl w:val="nil"/>
            </w:tcBorders>
            <w:tcMar>
              <w:left w:w="0" w:type="dxa"/>
              <w:right w:w="0" w:type="dxa"/>
            </w:tcMar>
            <w:vAlign w:val="center"/>
          </w:tcPr>
          <w:p w14:paraId="7D8EF7D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简单分析</w:t>
            </w:r>
            <w:r>
              <w:rPr>
                <w:rFonts w:ascii="Segoe UI Emoji" w:hAnsi="Segoe UI Emoji" w:cs="Segoe UI Emoji"/>
                <w:sz w:val="21"/>
                <w:szCs w:val="21"/>
              </w:rPr>
              <w:t>☑</w:t>
            </w:r>
          </w:p>
        </w:tc>
      </w:tr>
      <w:tr w14:paraId="2807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restart"/>
            <w:tcBorders>
              <w:tl2br w:val="nil"/>
              <w:tr2bl w:val="nil"/>
            </w:tcBorders>
            <w:tcMar>
              <w:left w:w="0" w:type="dxa"/>
              <w:right w:w="0" w:type="dxa"/>
            </w:tcMar>
            <w:vAlign w:val="center"/>
          </w:tcPr>
          <w:p w14:paraId="081DEE1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风险识别</w:t>
            </w:r>
          </w:p>
        </w:tc>
        <w:tc>
          <w:tcPr>
            <w:tcW w:w="590" w:type="pct"/>
            <w:tcBorders>
              <w:tl2br w:val="nil"/>
              <w:tr2bl w:val="nil"/>
            </w:tcBorders>
            <w:tcMar>
              <w:left w:w="0" w:type="dxa"/>
              <w:right w:w="0" w:type="dxa"/>
            </w:tcMar>
            <w:vAlign w:val="center"/>
          </w:tcPr>
          <w:p w14:paraId="7F43CAE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物质危险性</w:t>
            </w:r>
          </w:p>
        </w:tc>
        <w:tc>
          <w:tcPr>
            <w:tcW w:w="1627" w:type="pct"/>
            <w:gridSpan w:val="3"/>
            <w:tcBorders>
              <w:tl2br w:val="nil"/>
              <w:tr2bl w:val="nil"/>
            </w:tcBorders>
            <w:tcMar>
              <w:left w:w="0" w:type="dxa"/>
              <w:right w:w="0" w:type="dxa"/>
            </w:tcMar>
            <w:vAlign w:val="center"/>
          </w:tcPr>
          <w:p w14:paraId="66CB3AD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有毒有害□</w:t>
            </w:r>
          </w:p>
        </w:tc>
        <w:tc>
          <w:tcPr>
            <w:tcW w:w="2597" w:type="pct"/>
            <w:gridSpan w:val="6"/>
            <w:tcBorders>
              <w:tl2br w:val="nil"/>
              <w:tr2bl w:val="nil"/>
            </w:tcBorders>
            <w:tcMar>
              <w:left w:w="0" w:type="dxa"/>
              <w:right w:w="0" w:type="dxa"/>
            </w:tcMar>
            <w:vAlign w:val="center"/>
          </w:tcPr>
          <w:p w14:paraId="1D9CEB9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易燃易爆</w:t>
            </w:r>
            <w:r>
              <w:rPr>
                <w:rFonts w:ascii="Segoe UI Emoji" w:hAnsi="Segoe UI Emoji" w:cs="Segoe UI Emoji"/>
                <w:sz w:val="21"/>
                <w:szCs w:val="21"/>
              </w:rPr>
              <w:t>☑</w:t>
            </w:r>
          </w:p>
        </w:tc>
      </w:tr>
      <w:tr w14:paraId="71264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3676621B">
            <w:pPr>
              <w:adjustRightInd w:val="0"/>
              <w:snapToGrid w:val="0"/>
              <w:spacing w:line="240" w:lineRule="auto"/>
              <w:ind w:firstLine="0" w:firstLineChars="0"/>
              <w:jc w:val="center"/>
              <w:textAlignment w:val="auto"/>
              <w:rPr>
                <w:rFonts w:cs="Times New Roman"/>
                <w:sz w:val="21"/>
                <w:szCs w:val="21"/>
              </w:rPr>
            </w:pPr>
          </w:p>
        </w:tc>
        <w:tc>
          <w:tcPr>
            <w:tcW w:w="590" w:type="pct"/>
            <w:tcBorders>
              <w:tl2br w:val="nil"/>
              <w:tr2bl w:val="nil"/>
            </w:tcBorders>
            <w:tcMar>
              <w:left w:w="0" w:type="dxa"/>
              <w:right w:w="0" w:type="dxa"/>
            </w:tcMar>
            <w:vAlign w:val="center"/>
          </w:tcPr>
          <w:p w14:paraId="769E66D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环境风险</w:t>
            </w:r>
          </w:p>
          <w:p w14:paraId="35DC5FC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类型</w:t>
            </w:r>
          </w:p>
        </w:tc>
        <w:tc>
          <w:tcPr>
            <w:tcW w:w="1627" w:type="pct"/>
            <w:gridSpan w:val="3"/>
            <w:tcBorders>
              <w:tl2br w:val="nil"/>
              <w:tr2bl w:val="nil"/>
            </w:tcBorders>
            <w:tcMar>
              <w:left w:w="0" w:type="dxa"/>
              <w:right w:w="0" w:type="dxa"/>
            </w:tcMar>
            <w:vAlign w:val="center"/>
          </w:tcPr>
          <w:p w14:paraId="62536A7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泄漏</w:t>
            </w:r>
            <w:r>
              <w:rPr>
                <w:rFonts w:ascii="Segoe UI Emoji" w:hAnsi="Segoe UI Emoji" w:cs="Segoe UI Emoji"/>
                <w:sz w:val="21"/>
                <w:szCs w:val="21"/>
              </w:rPr>
              <w:t>☑</w:t>
            </w:r>
          </w:p>
        </w:tc>
        <w:tc>
          <w:tcPr>
            <w:tcW w:w="2597" w:type="pct"/>
            <w:gridSpan w:val="6"/>
            <w:tcBorders>
              <w:tl2br w:val="nil"/>
              <w:tr2bl w:val="nil"/>
            </w:tcBorders>
            <w:tcMar>
              <w:left w:w="0" w:type="dxa"/>
              <w:right w:w="0" w:type="dxa"/>
            </w:tcMar>
            <w:vAlign w:val="center"/>
          </w:tcPr>
          <w:p w14:paraId="3528969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火灾、爆炸引发伴生/次生污染物排放</w:t>
            </w:r>
            <w:r>
              <w:rPr>
                <w:rFonts w:ascii="Segoe UI Emoji" w:hAnsi="Segoe UI Emoji" w:cs="Segoe UI Emoji"/>
                <w:sz w:val="21"/>
                <w:szCs w:val="21"/>
              </w:rPr>
              <w:t>☑</w:t>
            </w:r>
          </w:p>
        </w:tc>
      </w:tr>
      <w:tr w14:paraId="54590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63BDD7DA">
            <w:pPr>
              <w:adjustRightInd w:val="0"/>
              <w:snapToGrid w:val="0"/>
              <w:spacing w:line="240" w:lineRule="auto"/>
              <w:ind w:firstLine="0" w:firstLineChars="0"/>
              <w:jc w:val="center"/>
              <w:textAlignment w:val="auto"/>
              <w:rPr>
                <w:rFonts w:cs="Times New Roman"/>
                <w:sz w:val="21"/>
                <w:szCs w:val="21"/>
              </w:rPr>
            </w:pPr>
          </w:p>
        </w:tc>
        <w:tc>
          <w:tcPr>
            <w:tcW w:w="590" w:type="pct"/>
            <w:tcBorders>
              <w:tl2br w:val="nil"/>
              <w:tr2bl w:val="nil"/>
            </w:tcBorders>
            <w:tcMar>
              <w:left w:w="0" w:type="dxa"/>
              <w:right w:w="0" w:type="dxa"/>
            </w:tcMar>
            <w:vAlign w:val="center"/>
          </w:tcPr>
          <w:p w14:paraId="050EC3B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影响途径</w:t>
            </w:r>
          </w:p>
        </w:tc>
        <w:tc>
          <w:tcPr>
            <w:tcW w:w="1627" w:type="pct"/>
            <w:gridSpan w:val="3"/>
            <w:tcBorders>
              <w:tl2br w:val="nil"/>
              <w:tr2bl w:val="nil"/>
            </w:tcBorders>
            <w:tcMar>
              <w:left w:w="0" w:type="dxa"/>
              <w:right w:w="0" w:type="dxa"/>
            </w:tcMar>
            <w:vAlign w:val="center"/>
          </w:tcPr>
          <w:p w14:paraId="22768D6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w:t>
            </w:r>
            <w:r>
              <w:rPr>
                <w:rFonts w:ascii="Segoe UI Emoji" w:hAnsi="Segoe UI Emoji" w:cs="Segoe UI Emoji"/>
                <w:sz w:val="21"/>
                <w:szCs w:val="21"/>
              </w:rPr>
              <w:t>☑</w:t>
            </w:r>
          </w:p>
        </w:tc>
        <w:tc>
          <w:tcPr>
            <w:tcW w:w="1049" w:type="pct"/>
            <w:gridSpan w:val="3"/>
            <w:tcBorders>
              <w:tl2br w:val="nil"/>
              <w:tr2bl w:val="nil"/>
            </w:tcBorders>
            <w:tcMar>
              <w:left w:w="0" w:type="dxa"/>
              <w:right w:w="0" w:type="dxa"/>
            </w:tcMar>
            <w:vAlign w:val="center"/>
          </w:tcPr>
          <w:p w14:paraId="391ABCE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w:t>
            </w:r>
          </w:p>
        </w:tc>
        <w:tc>
          <w:tcPr>
            <w:tcW w:w="1548" w:type="pct"/>
            <w:gridSpan w:val="3"/>
            <w:tcBorders>
              <w:tl2br w:val="nil"/>
              <w:tr2bl w:val="nil"/>
            </w:tcBorders>
            <w:tcMar>
              <w:left w:w="0" w:type="dxa"/>
              <w:right w:w="0" w:type="dxa"/>
            </w:tcMar>
            <w:vAlign w:val="center"/>
          </w:tcPr>
          <w:p w14:paraId="51CD844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w:t>
            </w:r>
          </w:p>
        </w:tc>
      </w:tr>
      <w:tr w14:paraId="2CA94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tcBorders>
              <w:tl2br w:val="nil"/>
              <w:tr2bl w:val="nil"/>
            </w:tcBorders>
            <w:tcMar>
              <w:left w:w="0" w:type="dxa"/>
              <w:right w:w="0" w:type="dxa"/>
            </w:tcMar>
            <w:vAlign w:val="center"/>
          </w:tcPr>
          <w:p w14:paraId="76AF20CD">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事故情形分析</w:t>
            </w:r>
          </w:p>
        </w:tc>
        <w:tc>
          <w:tcPr>
            <w:tcW w:w="631" w:type="pct"/>
            <w:tcBorders>
              <w:tl2br w:val="nil"/>
              <w:tr2bl w:val="nil"/>
            </w:tcBorders>
            <w:tcMar>
              <w:left w:w="0" w:type="dxa"/>
              <w:right w:w="0" w:type="dxa"/>
            </w:tcMar>
            <w:vAlign w:val="center"/>
          </w:tcPr>
          <w:p w14:paraId="378A42A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源强设定方法</w:t>
            </w:r>
          </w:p>
        </w:tc>
        <w:tc>
          <w:tcPr>
            <w:tcW w:w="996" w:type="pct"/>
            <w:gridSpan w:val="2"/>
            <w:tcBorders>
              <w:tl2br w:val="nil"/>
              <w:tr2bl w:val="nil"/>
            </w:tcBorders>
            <w:tcMar>
              <w:left w:w="0" w:type="dxa"/>
              <w:right w:w="0" w:type="dxa"/>
            </w:tcMar>
            <w:vAlign w:val="center"/>
          </w:tcPr>
          <w:p w14:paraId="4E2B9C9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计算法</w:t>
            </w:r>
            <w:r>
              <w:rPr>
                <w:rFonts w:cs="Times New Roman"/>
                <w:sz w:val="21"/>
                <w:szCs w:val="21"/>
              </w:rPr>
              <w:sym w:font="Wingdings 2" w:char="00A3"/>
            </w:r>
          </w:p>
        </w:tc>
        <w:tc>
          <w:tcPr>
            <w:tcW w:w="1049" w:type="pct"/>
            <w:gridSpan w:val="3"/>
            <w:tcBorders>
              <w:tl2br w:val="nil"/>
              <w:tr2bl w:val="nil"/>
            </w:tcBorders>
            <w:tcMar>
              <w:left w:w="0" w:type="dxa"/>
              <w:right w:w="0" w:type="dxa"/>
            </w:tcMar>
            <w:vAlign w:val="center"/>
          </w:tcPr>
          <w:p w14:paraId="7A2429B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 xml:space="preserve">经验估算法 </w:t>
            </w:r>
            <w:r>
              <w:rPr>
                <w:rFonts w:cs="Times New Roman"/>
                <w:sz w:val="21"/>
                <w:szCs w:val="21"/>
              </w:rPr>
              <w:sym w:font="Wingdings 2" w:char="00A3"/>
            </w:r>
          </w:p>
        </w:tc>
        <w:tc>
          <w:tcPr>
            <w:tcW w:w="1548" w:type="pct"/>
            <w:gridSpan w:val="3"/>
            <w:tcBorders>
              <w:tl2br w:val="nil"/>
              <w:tr2bl w:val="nil"/>
            </w:tcBorders>
            <w:tcMar>
              <w:left w:w="0" w:type="dxa"/>
              <w:right w:w="0" w:type="dxa"/>
            </w:tcMar>
            <w:vAlign w:val="center"/>
          </w:tcPr>
          <w:p w14:paraId="58616D4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其他估算法</w:t>
            </w:r>
            <w:r>
              <w:rPr>
                <w:rFonts w:cs="Times New Roman"/>
                <w:sz w:val="21"/>
                <w:szCs w:val="21"/>
              </w:rPr>
              <w:sym w:font="Wingdings 2" w:char="00A3"/>
            </w:r>
          </w:p>
        </w:tc>
      </w:tr>
      <w:tr w14:paraId="0E3C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restart"/>
            <w:tcBorders>
              <w:tl2br w:val="nil"/>
              <w:tr2bl w:val="nil"/>
            </w:tcBorders>
            <w:tcMar>
              <w:left w:w="0" w:type="dxa"/>
              <w:right w:w="0" w:type="dxa"/>
            </w:tcMar>
            <w:vAlign w:val="center"/>
          </w:tcPr>
          <w:p w14:paraId="7557F9E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风险预测与评价</w:t>
            </w:r>
          </w:p>
        </w:tc>
        <w:tc>
          <w:tcPr>
            <w:tcW w:w="590" w:type="pct"/>
            <w:vMerge w:val="restart"/>
            <w:tcBorders>
              <w:tl2br w:val="nil"/>
              <w:tr2bl w:val="nil"/>
            </w:tcBorders>
            <w:tcMar>
              <w:left w:w="0" w:type="dxa"/>
              <w:right w:w="0" w:type="dxa"/>
            </w:tcMar>
            <w:vAlign w:val="center"/>
          </w:tcPr>
          <w:p w14:paraId="4B1B408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w:t>
            </w:r>
          </w:p>
        </w:tc>
        <w:tc>
          <w:tcPr>
            <w:tcW w:w="631" w:type="pct"/>
            <w:tcBorders>
              <w:tl2br w:val="nil"/>
              <w:tr2bl w:val="nil"/>
            </w:tcBorders>
            <w:tcMar>
              <w:left w:w="0" w:type="dxa"/>
              <w:right w:w="0" w:type="dxa"/>
            </w:tcMar>
            <w:vAlign w:val="center"/>
          </w:tcPr>
          <w:p w14:paraId="6F874FA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预测模型</w:t>
            </w:r>
          </w:p>
        </w:tc>
        <w:tc>
          <w:tcPr>
            <w:tcW w:w="996" w:type="pct"/>
            <w:gridSpan w:val="2"/>
            <w:tcBorders>
              <w:tl2br w:val="nil"/>
              <w:tr2bl w:val="nil"/>
            </w:tcBorders>
            <w:tcMar>
              <w:left w:w="0" w:type="dxa"/>
              <w:right w:w="0" w:type="dxa"/>
            </w:tcMar>
            <w:vAlign w:val="center"/>
          </w:tcPr>
          <w:p w14:paraId="3506FCD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SLAB</w:t>
            </w:r>
            <w:r>
              <w:rPr>
                <w:rFonts w:cs="Times New Roman"/>
                <w:sz w:val="21"/>
                <w:szCs w:val="21"/>
              </w:rPr>
              <w:sym w:font="Wingdings 2" w:char="00A3"/>
            </w:r>
          </w:p>
        </w:tc>
        <w:tc>
          <w:tcPr>
            <w:tcW w:w="1049" w:type="pct"/>
            <w:gridSpan w:val="3"/>
            <w:tcBorders>
              <w:tl2br w:val="nil"/>
              <w:tr2bl w:val="nil"/>
            </w:tcBorders>
            <w:tcMar>
              <w:left w:w="0" w:type="dxa"/>
              <w:right w:w="0" w:type="dxa"/>
            </w:tcMar>
            <w:vAlign w:val="center"/>
          </w:tcPr>
          <w:p w14:paraId="681E17F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AFTOX</w:t>
            </w:r>
            <w:r>
              <w:rPr>
                <w:rFonts w:cs="Times New Roman"/>
                <w:sz w:val="21"/>
                <w:szCs w:val="21"/>
              </w:rPr>
              <w:sym w:font="Wingdings 2" w:char="00A3"/>
            </w:r>
          </w:p>
        </w:tc>
        <w:tc>
          <w:tcPr>
            <w:tcW w:w="1548" w:type="pct"/>
            <w:gridSpan w:val="3"/>
            <w:tcBorders>
              <w:tl2br w:val="nil"/>
              <w:tr2bl w:val="nil"/>
            </w:tcBorders>
            <w:tcMar>
              <w:left w:w="0" w:type="dxa"/>
              <w:right w:w="0" w:type="dxa"/>
            </w:tcMar>
            <w:vAlign w:val="center"/>
          </w:tcPr>
          <w:p w14:paraId="658A85D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其他</w:t>
            </w:r>
            <w:r>
              <w:rPr>
                <w:rFonts w:cs="Times New Roman"/>
                <w:sz w:val="21"/>
                <w:szCs w:val="21"/>
              </w:rPr>
              <w:sym w:font="Wingdings 2" w:char="00A3"/>
            </w:r>
          </w:p>
        </w:tc>
      </w:tr>
      <w:tr w14:paraId="50B50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7A136C8">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0EBF6782">
            <w:pPr>
              <w:adjustRightInd w:val="0"/>
              <w:snapToGrid w:val="0"/>
              <w:spacing w:line="240" w:lineRule="auto"/>
              <w:ind w:firstLine="0" w:firstLineChars="0"/>
              <w:jc w:val="center"/>
              <w:textAlignment w:val="auto"/>
              <w:rPr>
                <w:rFonts w:cs="Times New Roman"/>
                <w:sz w:val="21"/>
                <w:szCs w:val="21"/>
              </w:rPr>
            </w:pPr>
          </w:p>
        </w:tc>
        <w:tc>
          <w:tcPr>
            <w:tcW w:w="631" w:type="pct"/>
            <w:vMerge w:val="restart"/>
            <w:tcBorders>
              <w:tl2br w:val="nil"/>
              <w:tr2bl w:val="nil"/>
            </w:tcBorders>
            <w:tcMar>
              <w:left w:w="0" w:type="dxa"/>
              <w:right w:w="0" w:type="dxa"/>
            </w:tcMar>
            <w:vAlign w:val="center"/>
          </w:tcPr>
          <w:p w14:paraId="5FF2995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预测结果</w:t>
            </w:r>
          </w:p>
        </w:tc>
        <w:tc>
          <w:tcPr>
            <w:tcW w:w="3593" w:type="pct"/>
            <w:gridSpan w:val="8"/>
            <w:tcBorders>
              <w:tl2br w:val="nil"/>
              <w:tr2bl w:val="nil"/>
            </w:tcBorders>
            <w:tcMar>
              <w:left w:w="0" w:type="dxa"/>
              <w:right w:w="0" w:type="dxa"/>
            </w:tcMar>
            <w:vAlign w:val="center"/>
          </w:tcPr>
          <w:p w14:paraId="78F100B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大气毒性终点浓度-1 最大影响范围  /  m</w:t>
            </w:r>
          </w:p>
        </w:tc>
      </w:tr>
      <w:tr w14:paraId="4CF6F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CDD4B1A">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609701CE">
            <w:pPr>
              <w:adjustRightInd w:val="0"/>
              <w:snapToGrid w:val="0"/>
              <w:spacing w:line="240" w:lineRule="auto"/>
              <w:ind w:firstLine="0" w:firstLineChars="0"/>
              <w:jc w:val="center"/>
              <w:textAlignment w:val="auto"/>
              <w:rPr>
                <w:rFonts w:cs="Times New Roman"/>
                <w:sz w:val="21"/>
                <w:szCs w:val="21"/>
              </w:rPr>
            </w:pPr>
          </w:p>
        </w:tc>
        <w:tc>
          <w:tcPr>
            <w:tcW w:w="631" w:type="pct"/>
            <w:vMerge w:val="continue"/>
            <w:tcBorders>
              <w:tl2br w:val="nil"/>
              <w:tr2bl w:val="nil"/>
            </w:tcBorders>
            <w:tcMar>
              <w:left w:w="0" w:type="dxa"/>
              <w:right w:w="0" w:type="dxa"/>
            </w:tcMar>
            <w:vAlign w:val="center"/>
          </w:tcPr>
          <w:p w14:paraId="1C2D221E">
            <w:pPr>
              <w:adjustRightInd w:val="0"/>
              <w:snapToGrid w:val="0"/>
              <w:spacing w:line="240" w:lineRule="auto"/>
              <w:ind w:firstLine="0" w:firstLineChars="0"/>
              <w:jc w:val="center"/>
              <w:textAlignment w:val="auto"/>
              <w:rPr>
                <w:rFonts w:cs="Times New Roman"/>
                <w:sz w:val="21"/>
                <w:szCs w:val="21"/>
              </w:rPr>
            </w:pPr>
          </w:p>
        </w:tc>
        <w:tc>
          <w:tcPr>
            <w:tcW w:w="3593" w:type="pct"/>
            <w:gridSpan w:val="8"/>
            <w:tcBorders>
              <w:tl2br w:val="nil"/>
              <w:tr2bl w:val="nil"/>
            </w:tcBorders>
            <w:tcMar>
              <w:left w:w="0" w:type="dxa"/>
              <w:right w:w="0" w:type="dxa"/>
            </w:tcMar>
            <w:vAlign w:val="center"/>
          </w:tcPr>
          <w:p w14:paraId="0A828A0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大气毒性终点浓度-2 最大影响范围 /  m</w:t>
            </w:r>
          </w:p>
        </w:tc>
      </w:tr>
      <w:tr w14:paraId="7C2C4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3910D1A4">
            <w:pPr>
              <w:adjustRightInd w:val="0"/>
              <w:snapToGrid w:val="0"/>
              <w:spacing w:line="240" w:lineRule="auto"/>
              <w:ind w:firstLine="0" w:firstLineChars="0"/>
              <w:jc w:val="center"/>
              <w:textAlignment w:val="auto"/>
              <w:rPr>
                <w:rFonts w:cs="Times New Roman"/>
                <w:sz w:val="21"/>
                <w:szCs w:val="21"/>
              </w:rPr>
            </w:pPr>
          </w:p>
        </w:tc>
        <w:tc>
          <w:tcPr>
            <w:tcW w:w="590" w:type="pct"/>
            <w:tcBorders>
              <w:tl2br w:val="nil"/>
              <w:tr2bl w:val="nil"/>
            </w:tcBorders>
            <w:tcMar>
              <w:left w:w="0" w:type="dxa"/>
              <w:right w:w="0" w:type="dxa"/>
            </w:tcMar>
            <w:vAlign w:val="center"/>
          </w:tcPr>
          <w:p w14:paraId="5547433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地表水</w:t>
            </w:r>
          </w:p>
        </w:tc>
        <w:tc>
          <w:tcPr>
            <w:tcW w:w="4224" w:type="pct"/>
            <w:gridSpan w:val="9"/>
            <w:tcBorders>
              <w:tl2br w:val="nil"/>
              <w:tr2bl w:val="nil"/>
            </w:tcBorders>
            <w:tcMar>
              <w:left w:w="0" w:type="dxa"/>
              <w:right w:w="0" w:type="dxa"/>
            </w:tcMar>
            <w:vAlign w:val="center"/>
          </w:tcPr>
          <w:p w14:paraId="29E974A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最近环境敏感目标       /       ，到达时间    /    h</w:t>
            </w:r>
          </w:p>
        </w:tc>
      </w:tr>
      <w:tr w14:paraId="0844F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4AFD78D5">
            <w:pPr>
              <w:adjustRightInd w:val="0"/>
              <w:snapToGrid w:val="0"/>
              <w:spacing w:line="240" w:lineRule="auto"/>
              <w:ind w:firstLine="0" w:firstLineChars="0"/>
              <w:jc w:val="center"/>
              <w:textAlignment w:val="auto"/>
              <w:rPr>
                <w:rFonts w:cs="Times New Roman"/>
                <w:sz w:val="21"/>
                <w:szCs w:val="21"/>
              </w:rPr>
            </w:pPr>
          </w:p>
        </w:tc>
        <w:tc>
          <w:tcPr>
            <w:tcW w:w="590" w:type="pct"/>
            <w:vMerge w:val="restart"/>
            <w:tcBorders>
              <w:tl2br w:val="nil"/>
              <w:tr2bl w:val="nil"/>
            </w:tcBorders>
            <w:tcMar>
              <w:left w:w="0" w:type="dxa"/>
              <w:right w:w="0" w:type="dxa"/>
            </w:tcMar>
            <w:vAlign w:val="center"/>
          </w:tcPr>
          <w:p w14:paraId="791160D0">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地下水</w:t>
            </w:r>
          </w:p>
        </w:tc>
        <w:tc>
          <w:tcPr>
            <w:tcW w:w="4224" w:type="pct"/>
            <w:gridSpan w:val="9"/>
            <w:tcBorders>
              <w:tl2br w:val="nil"/>
              <w:tr2bl w:val="nil"/>
            </w:tcBorders>
            <w:tcMar>
              <w:left w:w="0" w:type="dxa"/>
              <w:right w:w="0" w:type="dxa"/>
            </w:tcMar>
            <w:vAlign w:val="center"/>
          </w:tcPr>
          <w:p w14:paraId="2ABBF8C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下游厂区边界到达时间 / d</w:t>
            </w:r>
          </w:p>
        </w:tc>
      </w:tr>
      <w:tr w14:paraId="49805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6" w:type="pct"/>
            <w:vMerge w:val="continue"/>
            <w:tcBorders>
              <w:tl2br w:val="nil"/>
              <w:tr2bl w:val="nil"/>
            </w:tcBorders>
            <w:tcMar>
              <w:left w:w="0" w:type="dxa"/>
              <w:right w:w="0" w:type="dxa"/>
            </w:tcMar>
            <w:vAlign w:val="center"/>
          </w:tcPr>
          <w:p w14:paraId="57D4972B">
            <w:pPr>
              <w:adjustRightInd w:val="0"/>
              <w:snapToGrid w:val="0"/>
              <w:spacing w:line="240" w:lineRule="auto"/>
              <w:ind w:firstLine="0" w:firstLineChars="0"/>
              <w:jc w:val="center"/>
              <w:textAlignment w:val="auto"/>
              <w:rPr>
                <w:rFonts w:cs="Times New Roman"/>
                <w:sz w:val="21"/>
                <w:szCs w:val="21"/>
              </w:rPr>
            </w:pPr>
          </w:p>
        </w:tc>
        <w:tc>
          <w:tcPr>
            <w:tcW w:w="590" w:type="pct"/>
            <w:vMerge w:val="continue"/>
            <w:tcBorders>
              <w:tl2br w:val="nil"/>
              <w:tr2bl w:val="nil"/>
            </w:tcBorders>
            <w:tcMar>
              <w:left w:w="0" w:type="dxa"/>
              <w:right w:w="0" w:type="dxa"/>
            </w:tcMar>
            <w:vAlign w:val="center"/>
          </w:tcPr>
          <w:p w14:paraId="11B826EA">
            <w:pPr>
              <w:adjustRightInd w:val="0"/>
              <w:snapToGrid w:val="0"/>
              <w:spacing w:line="240" w:lineRule="auto"/>
              <w:ind w:firstLine="0" w:firstLineChars="0"/>
              <w:jc w:val="center"/>
              <w:textAlignment w:val="auto"/>
              <w:rPr>
                <w:rFonts w:cs="Times New Roman"/>
                <w:sz w:val="21"/>
                <w:szCs w:val="21"/>
              </w:rPr>
            </w:pPr>
          </w:p>
        </w:tc>
        <w:tc>
          <w:tcPr>
            <w:tcW w:w="4224" w:type="pct"/>
            <w:gridSpan w:val="9"/>
            <w:tcBorders>
              <w:tl2br w:val="nil"/>
              <w:tr2bl w:val="nil"/>
            </w:tcBorders>
            <w:tcMar>
              <w:left w:w="0" w:type="dxa"/>
              <w:right w:w="0" w:type="dxa"/>
            </w:tcMar>
            <w:vAlign w:val="center"/>
          </w:tcPr>
          <w:p w14:paraId="60B98DC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最近环境敏感目标       /       ，到达时间    /    d</w:t>
            </w:r>
          </w:p>
        </w:tc>
      </w:tr>
      <w:tr w14:paraId="1BF75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tcBorders>
              <w:tl2br w:val="nil"/>
              <w:tr2bl w:val="nil"/>
            </w:tcBorders>
            <w:tcMar>
              <w:left w:w="0" w:type="dxa"/>
              <w:right w:w="0" w:type="dxa"/>
            </w:tcMar>
            <w:vAlign w:val="center"/>
          </w:tcPr>
          <w:p w14:paraId="5BDE0D1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重点风险防范</w:t>
            </w:r>
          </w:p>
          <w:p w14:paraId="70AA3B3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措施</w:t>
            </w:r>
          </w:p>
        </w:tc>
        <w:tc>
          <w:tcPr>
            <w:tcW w:w="4224" w:type="pct"/>
            <w:gridSpan w:val="9"/>
            <w:tcBorders>
              <w:tl2br w:val="nil"/>
              <w:tr2bl w:val="nil"/>
            </w:tcBorders>
            <w:tcMar>
              <w:left w:w="0" w:type="dxa"/>
              <w:right w:w="0" w:type="dxa"/>
            </w:tcMar>
            <w:vAlign w:val="center"/>
          </w:tcPr>
          <w:p w14:paraId="1D730843">
            <w:pPr>
              <w:pStyle w:val="32"/>
              <w:jc w:val="both"/>
              <w:rPr>
                <w:rFonts w:cs="Times New Roman"/>
                <w:szCs w:val="21"/>
              </w:rPr>
            </w:pPr>
            <w:r>
              <w:rPr>
                <w:rFonts w:cs="Times New Roman"/>
                <w:szCs w:val="21"/>
              </w:rPr>
              <w:t>（1）遵循《环境影响评价技术导则地下水环境》（HJ610-2016）要求，做好重点防渗区和一般防渗区的防渗处理。</w:t>
            </w:r>
          </w:p>
          <w:p w14:paraId="6110BB2B">
            <w:pPr>
              <w:pStyle w:val="32"/>
              <w:jc w:val="both"/>
              <w:rPr>
                <w:rFonts w:cs="Times New Roman"/>
                <w:szCs w:val="21"/>
              </w:rPr>
            </w:pPr>
            <w:r>
              <w:rPr>
                <w:rFonts w:cs="Times New Roman"/>
                <w:szCs w:val="21"/>
              </w:rPr>
              <w:t>（2）合理布置总图，综合考虑风向、安全防护、消防等因素，建构筑物尽量留足安全间距，设计遵循防火规范。</w:t>
            </w:r>
          </w:p>
          <w:p w14:paraId="59E94FBD">
            <w:pPr>
              <w:pStyle w:val="32"/>
              <w:jc w:val="both"/>
              <w:rPr>
                <w:rFonts w:cs="Times New Roman"/>
                <w:szCs w:val="21"/>
              </w:rPr>
            </w:pPr>
            <w:r>
              <w:rPr>
                <w:rFonts w:cs="Times New Roman"/>
                <w:szCs w:val="21"/>
              </w:rPr>
              <w:t>（3）在厂房内可能发生火灾的地方配制有各型手提式、推车式灭火器，设有消防系统，消防水源充足可靠。</w:t>
            </w:r>
          </w:p>
          <w:p w14:paraId="2D61CCB7">
            <w:pPr>
              <w:adjustRightInd w:val="0"/>
              <w:snapToGrid w:val="0"/>
              <w:spacing w:line="240" w:lineRule="auto"/>
              <w:ind w:firstLine="0" w:firstLineChars="0"/>
              <w:textAlignment w:val="auto"/>
              <w:rPr>
                <w:rFonts w:cs="Times New Roman"/>
                <w:sz w:val="21"/>
                <w:szCs w:val="21"/>
              </w:rPr>
            </w:pPr>
            <w:r>
              <w:rPr>
                <w:rFonts w:cs="Times New Roman"/>
                <w:sz w:val="21"/>
                <w:szCs w:val="21"/>
              </w:rPr>
              <w:t>（4）加强站区（尤其是储罐区）安全管理；加强生产线监控，定期检修维护各项设备，避免原辅料及产品</w:t>
            </w:r>
            <w:r>
              <w:rPr>
                <w:rFonts w:hint="eastAsia" w:cs="Times New Roman"/>
                <w:sz w:val="21"/>
                <w:szCs w:val="21"/>
              </w:rPr>
              <w:t>泄漏</w:t>
            </w:r>
            <w:r>
              <w:rPr>
                <w:rFonts w:cs="Times New Roman"/>
                <w:sz w:val="21"/>
                <w:szCs w:val="21"/>
              </w:rPr>
              <w:t>。修订环境应急预案并备案。</w:t>
            </w:r>
          </w:p>
        </w:tc>
      </w:tr>
      <w:tr w14:paraId="774A6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776" w:type="pct"/>
            <w:gridSpan w:val="2"/>
            <w:tcBorders>
              <w:tl2br w:val="nil"/>
              <w:tr2bl w:val="nil"/>
            </w:tcBorders>
            <w:tcMar>
              <w:left w:w="0" w:type="dxa"/>
              <w:right w:w="0" w:type="dxa"/>
            </w:tcMar>
            <w:vAlign w:val="center"/>
          </w:tcPr>
          <w:p w14:paraId="7C053B2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评价结论与建议</w:t>
            </w:r>
          </w:p>
        </w:tc>
        <w:tc>
          <w:tcPr>
            <w:tcW w:w="4224" w:type="pct"/>
            <w:gridSpan w:val="9"/>
            <w:tcBorders>
              <w:tl2br w:val="nil"/>
              <w:tr2bl w:val="nil"/>
            </w:tcBorders>
            <w:tcMar>
              <w:left w:w="0" w:type="dxa"/>
              <w:right w:w="0" w:type="dxa"/>
            </w:tcMar>
            <w:vAlign w:val="center"/>
          </w:tcPr>
          <w:p w14:paraId="6FBB1611">
            <w:pPr>
              <w:adjustRightInd w:val="0"/>
              <w:snapToGrid w:val="0"/>
              <w:spacing w:line="240" w:lineRule="auto"/>
              <w:ind w:firstLine="0" w:firstLineChars="0"/>
              <w:textAlignment w:val="auto"/>
              <w:rPr>
                <w:rFonts w:cs="Times New Roman"/>
                <w:sz w:val="21"/>
                <w:szCs w:val="21"/>
              </w:rPr>
            </w:pPr>
            <w:r>
              <w:rPr>
                <w:rFonts w:cs="Times New Roman"/>
                <w:sz w:val="21"/>
                <w:szCs w:val="21"/>
              </w:rPr>
              <w:t>建议建设单位在建设过程中应落实本项目提出的风险防范措施，并根据今后实际生产情况结合本报告中提出的事故应急预案，制定更详实的应急预案，确保防范措施的运行。</w:t>
            </w:r>
          </w:p>
        </w:tc>
      </w:tr>
      <w:tr w14:paraId="1007F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000" w:type="pct"/>
            <w:gridSpan w:val="11"/>
            <w:tcBorders>
              <w:tl2br w:val="nil"/>
              <w:tr2bl w:val="nil"/>
            </w:tcBorders>
            <w:tcMar>
              <w:left w:w="0" w:type="dxa"/>
              <w:right w:w="0" w:type="dxa"/>
            </w:tcMar>
            <w:vAlign w:val="center"/>
          </w:tcPr>
          <w:p w14:paraId="7D786D59">
            <w:pPr>
              <w:adjustRightInd w:val="0"/>
              <w:snapToGrid w:val="0"/>
              <w:spacing w:line="240" w:lineRule="auto"/>
              <w:ind w:firstLine="0" w:firstLineChars="0"/>
              <w:textAlignment w:val="auto"/>
              <w:rPr>
                <w:rFonts w:cs="Times New Roman"/>
                <w:sz w:val="21"/>
                <w:szCs w:val="21"/>
              </w:rPr>
            </w:pPr>
            <w:r>
              <w:rPr>
                <w:rFonts w:cs="Times New Roman"/>
                <w:sz w:val="21"/>
                <w:szCs w:val="21"/>
              </w:rPr>
              <w:t>注：“</w:t>
            </w:r>
            <w:r>
              <w:rPr>
                <w:rFonts w:cs="Times New Roman"/>
                <w:sz w:val="21"/>
                <w:szCs w:val="21"/>
              </w:rPr>
              <w:sym w:font="Wingdings 2" w:char="00A3"/>
            </w:r>
            <w:r>
              <w:rPr>
                <w:rFonts w:cs="Times New Roman"/>
                <w:sz w:val="21"/>
                <w:szCs w:val="21"/>
              </w:rPr>
              <w:t>”为勾选项，“       ”为填写项。</w:t>
            </w:r>
          </w:p>
        </w:tc>
      </w:tr>
    </w:tbl>
    <w:p w14:paraId="76E7A191">
      <w:pPr>
        <w:ind w:firstLine="0" w:firstLineChars="0"/>
        <w:rPr>
          <w:color w:val="000000" w:themeColor="text1"/>
          <w14:textFill>
            <w14:solidFill>
              <w14:schemeClr w14:val="tx1"/>
            </w14:solidFill>
          </w14:textFill>
        </w:rPr>
      </w:pPr>
    </w:p>
    <w:sectPr>
      <w:pgSz w:w="11906" w:h="16838"/>
      <w:pgMar w:top="1418" w:right="1418" w:bottom="1418"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SourceHanSansCN-Regular">
    <w:altName w:val="Sitka Text"/>
    <w:panose1 w:val="020B0500000000000000"/>
    <w:charset w:val="00"/>
    <w:family w:val="roman"/>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Arial">
    <w:panose1 w:val="020B0604020202020204"/>
    <w:charset w:val="00"/>
    <w:family w:val="swiss"/>
    <w:pitch w:val="default"/>
    <w:sig w:usb0="E0002EFF" w:usb1="C000785B" w:usb2="00000009" w:usb3="00000000" w:csb0="400001FF" w:csb1="FFFF0000"/>
  </w:font>
  <w:font w:name="TimesNewRomanPS-BoldMT">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8000000" w:usb3="00000000" w:csb0="0000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6CD1">
    <w:pPr>
      <w:pStyle w:val="14"/>
      <w:ind w:firstLine="360"/>
      <w:jc w:val="center"/>
    </w:pPr>
  </w:p>
  <w:p w14:paraId="44AA8BA8">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5BBB">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7BDE">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71497"/>
    </w:sdtPr>
    <w:sdtContent>
      <w:p w14:paraId="5FD8B9B2">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1858C2B3">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410222"/>
    </w:sdtPr>
    <w:sdtContent>
      <w:p w14:paraId="3A94B7AA">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7656C095">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8F09">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8F5F2">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9B23">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7A2F">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EF34F"/>
    <w:multiLevelType w:val="singleLevel"/>
    <w:tmpl w:val="556EF34F"/>
    <w:lvl w:ilvl="0" w:tentative="0">
      <w:start w:val="4"/>
      <w:numFmt w:val="chineseCounting"/>
      <w:suff w:val="nothing"/>
      <w:lvlText w:val="%1、"/>
      <w:lvlJc w:val="left"/>
      <w:rPr>
        <w:rFonts w:hint="eastAsia"/>
      </w:rPr>
    </w:lvl>
  </w:abstractNum>
  <w:abstractNum w:abstractNumId="1">
    <w:nsid w:val="68D08242"/>
    <w:multiLevelType w:val="singleLevel"/>
    <w:tmpl w:val="68D0824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ZGQ1YjY3YWE4ZjQxNzM3Mjc0MGM1ZTljYWMwNWUifQ=="/>
  </w:docVars>
  <w:rsids>
    <w:rsidRoot w:val="00E42F12"/>
    <w:rsid w:val="00000011"/>
    <w:rsid w:val="00002286"/>
    <w:rsid w:val="00002CE9"/>
    <w:rsid w:val="000034ED"/>
    <w:rsid w:val="00004030"/>
    <w:rsid w:val="00004535"/>
    <w:rsid w:val="00005DF0"/>
    <w:rsid w:val="00006995"/>
    <w:rsid w:val="00007A47"/>
    <w:rsid w:val="00010CCD"/>
    <w:rsid w:val="00012DBF"/>
    <w:rsid w:val="00013E05"/>
    <w:rsid w:val="00014DD3"/>
    <w:rsid w:val="000215E6"/>
    <w:rsid w:val="0002170E"/>
    <w:rsid w:val="00021EEF"/>
    <w:rsid w:val="00021FDB"/>
    <w:rsid w:val="00021FE2"/>
    <w:rsid w:val="000237FF"/>
    <w:rsid w:val="000266FA"/>
    <w:rsid w:val="00031848"/>
    <w:rsid w:val="000342CA"/>
    <w:rsid w:val="0003576B"/>
    <w:rsid w:val="00035924"/>
    <w:rsid w:val="000364B9"/>
    <w:rsid w:val="00037CF2"/>
    <w:rsid w:val="00037FCA"/>
    <w:rsid w:val="0004059A"/>
    <w:rsid w:val="000411C0"/>
    <w:rsid w:val="00041EC5"/>
    <w:rsid w:val="0004387D"/>
    <w:rsid w:val="00045D54"/>
    <w:rsid w:val="00047F01"/>
    <w:rsid w:val="00050507"/>
    <w:rsid w:val="000514D7"/>
    <w:rsid w:val="000519C2"/>
    <w:rsid w:val="00052874"/>
    <w:rsid w:val="00052F50"/>
    <w:rsid w:val="0005404D"/>
    <w:rsid w:val="00054D84"/>
    <w:rsid w:val="00054F8E"/>
    <w:rsid w:val="0005724F"/>
    <w:rsid w:val="000600E5"/>
    <w:rsid w:val="0006082C"/>
    <w:rsid w:val="00060E1D"/>
    <w:rsid w:val="0006119E"/>
    <w:rsid w:val="00062032"/>
    <w:rsid w:val="00062122"/>
    <w:rsid w:val="00062845"/>
    <w:rsid w:val="00062AB8"/>
    <w:rsid w:val="00070A73"/>
    <w:rsid w:val="00071688"/>
    <w:rsid w:val="00072BB5"/>
    <w:rsid w:val="00072D16"/>
    <w:rsid w:val="00073AF8"/>
    <w:rsid w:val="00073C72"/>
    <w:rsid w:val="00074946"/>
    <w:rsid w:val="000775A2"/>
    <w:rsid w:val="00077F08"/>
    <w:rsid w:val="0008065F"/>
    <w:rsid w:val="00081096"/>
    <w:rsid w:val="000859AF"/>
    <w:rsid w:val="00086278"/>
    <w:rsid w:val="000872AF"/>
    <w:rsid w:val="00087854"/>
    <w:rsid w:val="00087B43"/>
    <w:rsid w:val="00087BF4"/>
    <w:rsid w:val="00091892"/>
    <w:rsid w:val="0009420A"/>
    <w:rsid w:val="0009553B"/>
    <w:rsid w:val="000962F1"/>
    <w:rsid w:val="0009660F"/>
    <w:rsid w:val="000968DC"/>
    <w:rsid w:val="00097169"/>
    <w:rsid w:val="00097CE9"/>
    <w:rsid w:val="000A356F"/>
    <w:rsid w:val="000A717C"/>
    <w:rsid w:val="000B32BF"/>
    <w:rsid w:val="000B3808"/>
    <w:rsid w:val="000B39CF"/>
    <w:rsid w:val="000B5935"/>
    <w:rsid w:val="000B5B00"/>
    <w:rsid w:val="000C1B1B"/>
    <w:rsid w:val="000C1E15"/>
    <w:rsid w:val="000C45A6"/>
    <w:rsid w:val="000C594F"/>
    <w:rsid w:val="000C607C"/>
    <w:rsid w:val="000C658C"/>
    <w:rsid w:val="000C697A"/>
    <w:rsid w:val="000D077A"/>
    <w:rsid w:val="000D129B"/>
    <w:rsid w:val="000D14D9"/>
    <w:rsid w:val="000D3641"/>
    <w:rsid w:val="000D40CA"/>
    <w:rsid w:val="000D5774"/>
    <w:rsid w:val="000D5B2E"/>
    <w:rsid w:val="000D5D7A"/>
    <w:rsid w:val="000E0387"/>
    <w:rsid w:val="000E0C43"/>
    <w:rsid w:val="000E0D2C"/>
    <w:rsid w:val="000E14AE"/>
    <w:rsid w:val="000E2AFB"/>
    <w:rsid w:val="000E3DFE"/>
    <w:rsid w:val="000E5D69"/>
    <w:rsid w:val="000E689F"/>
    <w:rsid w:val="000E74D3"/>
    <w:rsid w:val="000E788A"/>
    <w:rsid w:val="000E7D66"/>
    <w:rsid w:val="000F25D1"/>
    <w:rsid w:val="000F2784"/>
    <w:rsid w:val="000F4681"/>
    <w:rsid w:val="000F6582"/>
    <w:rsid w:val="0010013A"/>
    <w:rsid w:val="00100AA3"/>
    <w:rsid w:val="001027B0"/>
    <w:rsid w:val="00102FA5"/>
    <w:rsid w:val="00103D25"/>
    <w:rsid w:val="001045D7"/>
    <w:rsid w:val="00106A93"/>
    <w:rsid w:val="00106CB6"/>
    <w:rsid w:val="00107019"/>
    <w:rsid w:val="00111ACF"/>
    <w:rsid w:val="00112D08"/>
    <w:rsid w:val="00113A4E"/>
    <w:rsid w:val="00114031"/>
    <w:rsid w:val="00115FF4"/>
    <w:rsid w:val="00122519"/>
    <w:rsid w:val="00123313"/>
    <w:rsid w:val="00124469"/>
    <w:rsid w:val="00124C3A"/>
    <w:rsid w:val="00125187"/>
    <w:rsid w:val="00126CA7"/>
    <w:rsid w:val="001272F9"/>
    <w:rsid w:val="00127DC9"/>
    <w:rsid w:val="00127E9B"/>
    <w:rsid w:val="001305EE"/>
    <w:rsid w:val="0013118C"/>
    <w:rsid w:val="0013179F"/>
    <w:rsid w:val="00131B82"/>
    <w:rsid w:val="0013262A"/>
    <w:rsid w:val="00135B37"/>
    <w:rsid w:val="001400F0"/>
    <w:rsid w:val="00140B06"/>
    <w:rsid w:val="00141580"/>
    <w:rsid w:val="00141C32"/>
    <w:rsid w:val="00142086"/>
    <w:rsid w:val="00147436"/>
    <w:rsid w:val="001514EF"/>
    <w:rsid w:val="00153C2C"/>
    <w:rsid w:val="001563F4"/>
    <w:rsid w:val="00157B41"/>
    <w:rsid w:val="00161F0E"/>
    <w:rsid w:val="00163D32"/>
    <w:rsid w:val="00164379"/>
    <w:rsid w:val="00164961"/>
    <w:rsid w:val="0017042D"/>
    <w:rsid w:val="00170CCF"/>
    <w:rsid w:val="0017156B"/>
    <w:rsid w:val="00172C42"/>
    <w:rsid w:val="0017584A"/>
    <w:rsid w:val="001771FE"/>
    <w:rsid w:val="00184153"/>
    <w:rsid w:val="00184209"/>
    <w:rsid w:val="001855D0"/>
    <w:rsid w:val="001867BD"/>
    <w:rsid w:val="00191A72"/>
    <w:rsid w:val="00196C42"/>
    <w:rsid w:val="00197517"/>
    <w:rsid w:val="00197BF2"/>
    <w:rsid w:val="00197C10"/>
    <w:rsid w:val="001A1228"/>
    <w:rsid w:val="001A332C"/>
    <w:rsid w:val="001A332D"/>
    <w:rsid w:val="001A3676"/>
    <w:rsid w:val="001A517C"/>
    <w:rsid w:val="001A6602"/>
    <w:rsid w:val="001B0A1D"/>
    <w:rsid w:val="001B0F5A"/>
    <w:rsid w:val="001B1038"/>
    <w:rsid w:val="001B14DF"/>
    <w:rsid w:val="001B241E"/>
    <w:rsid w:val="001B545E"/>
    <w:rsid w:val="001B6FC6"/>
    <w:rsid w:val="001C00EA"/>
    <w:rsid w:val="001C046A"/>
    <w:rsid w:val="001C4709"/>
    <w:rsid w:val="001C47D6"/>
    <w:rsid w:val="001C4F84"/>
    <w:rsid w:val="001C55A7"/>
    <w:rsid w:val="001D1B30"/>
    <w:rsid w:val="001D4639"/>
    <w:rsid w:val="001D6591"/>
    <w:rsid w:val="001D71DE"/>
    <w:rsid w:val="001D76AC"/>
    <w:rsid w:val="001E6379"/>
    <w:rsid w:val="001E63E1"/>
    <w:rsid w:val="001F053B"/>
    <w:rsid w:val="001F126F"/>
    <w:rsid w:val="001F15E0"/>
    <w:rsid w:val="001F22F6"/>
    <w:rsid w:val="001F513F"/>
    <w:rsid w:val="001F54DE"/>
    <w:rsid w:val="001F5FD0"/>
    <w:rsid w:val="001F6E3D"/>
    <w:rsid w:val="001F7068"/>
    <w:rsid w:val="001F770F"/>
    <w:rsid w:val="001F7BD9"/>
    <w:rsid w:val="00200E7E"/>
    <w:rsid w:val="0020327D"/>
    <w:rsid w:val="0020537F"/>
    <w:rsid w:val="0021151F"/>
    <w:rsid w:val="00213442"/>
    <w:rsid w:val="002175B4"/>
    <w:rsid w:val="00221A7F"/>
    <w:rsid w:val="00223ECF"/>
    <w:rsid w:val="00224EAE"/>
    <w:rsid w:val="00230B7A"/>
    <w:rsid w:val="00230D46"/>
    <w:rsid w:val="002325F0"/>
    <w:rsid w:val="00232EE3"/>
    <w:rsid w:val="00234038"/>
    <w:rsid w:val="00234985"/>
    <w:rsid w:val="00235B1A"/>
    <w:rsid w:val="00237524"/>
    <w:rsid w:val="00237638"/>
    <w:rsid w:val="0024130D"/>
    <w:rsid w:val="00242508"/>
    <w:rsid w:val="00244600"/>
    <w:rsid w:val="00245F3E"/>
    <w:rsid w:val="00247E0F"/>
    <w:rsid w:val="00251B45"/>
    <w:rsid w:val="0025200F"/>
    <w:rsid w:val="00252AB7"/>
    <w:rsid w:val="0025350F"/>
    <w:rsid w:val="00253CD9"/>
    <w:rsid w:val="00254B65"/>
    <w:rsid w:val="0026086D"/>
    <w:rsid w:val="00261534"/>
    <w:rsid w:val="002628E7"/>
    <w:rsid w:val="00263C52"/>
    <w:rsid w:val="00263F77"/>
    <w:rsid w:val="002659C3"/>
    <w:rsid w:val="00266035"/>
    <w:rsid w:val="0026772D"/>
    <w:rsid w:val="002679E1"/>
    <w:rsid w:val="00267D80"/>
    <w:rsid w:val="002727BB"/>
    <w:rsid w:val="00273C80"/>
    <w:rsid w:val="00276984"/>
    <w:rsid w:val="00276F82"/>
    <w:rsid w:val="0028385F"/>
    <w:rsid w:val="00283E24"/>
    <w:rsid w:val="002842F2"/>
    <w:rsid w:val="00285337"/>
    <w:rsid w:val="00286CD5"/>
    <w:rsid w:val="00287B11"/>
    <w:rsid w:val="00292B69"/>
    <w:rsid w:val="0029784F"/>
    <w:rsid w:val="002A042A"/>
    <w:rsid w:val="002A0933"/>
    <w:rsid w:val="002A1838"/>
    <w:rsid w:val="002A3108"/>
    <w:rsid w:val="002A4249"/>
    <w:rsid w:val="002A52C3"/>
    <w:rsid w:val="002A5A64"/>
    <w:rsid w:val="002A758B"/>
    <w:rsid w:val="002B0225"/>
    <w:rsid w:val="002B0F2F"/>
    <w:rsid w:val="002B1E75"/>
    <w:rsid w:val="002B2757"/>
    <w:rsid w:val="002B3FAA"/>
    <w:rsid w:val="002B5377"/>
    <w:rsid w:val="002B6E2E"/>
    <w:rsid w:val="002B7823"/>
    <w:rsid w:val="002C30C8"/>
    <w:rsid w:val="002C32F0"/>
    <w:rsid w:val="002C3436"/>
    <w:rsid w:val="002C4BFE"/>
    <w:rsid w:val="002D09FB"/>
    <w:rsid w:val="002D2597"/>
    <w:rsid w:val="002D4DF2"/>
    <w:rsid w:val="002D5955"/>
    <w:rsid w:val="002E112B"/>
    <w:rsid w:val="002E3523"/>
    <w:rsid w:val="002E48FE"/>
    <w:rsid w:val="002E669B"/>
    <w:rsid w:val="002F10BC"/>
    <w:rsid w:val="002F1114"/>
    <w:rsid w:val="002F5975"/>
    <w:rsid w:val="002F5A8C"/>
    <w:rsid w:val="002F6A79"/>
    <w:rsid w:val="002F72C6"/>
    <w:rsid w:val="003019BD"/>
    <w:rsid w:val="00302915"/>
    <w:rsid w:val="00303181"/>
    <w:rsid w:val="0030792D"/>
    <w:rsid w:val="00312A18"/>
    <w:rsid w:val="00314ED0"/>
    <w:rsid w:val="0031727D"/>
    <w:rsid w:val="00321873"/>
    <w:rsid w:val="0032404F"/>
    <w:rsid w:val="00325B25"/>
    <w:rsid w:val="0032675E"/>
    <w:rsid w:val="0033018D"/>
    <w:rsid w:val="0033031B"/>
    <w:rsid w:val="0033267E"/>
    <w:rsid w:val="00335499"/>
    <w:rsid w:val="00335DC8"/>
    <w:rsid w:val="00337942"/>
    <w:rsid w:val="00340105"/>
    <w:rsid w:val="0034137C"/>
    <w:rsid w:val="00342850"/>
    <w:rsid w:val="00342D2F"/>
    <w:rsid w:val="003441B9"/>
    <w:rsid w:val="00346C47"/>
    <w:rsid w:val="00346F2B"/>
    <w:rsid w:val="00347B82"/>
    <w:rsid w:val="00351453"/>
    <w:rsid w:val="00352B51"/>
    <w:rsid w:val="0035300F"/>
    <w:rsid w:val="003534CC"/>
    <w:rsid w:val="003539B6"/>
    <w:rsid w:val="00354043"/>
    <w:rsid w:val="00354E73"/>
    <w:rsid w:val="00355E2F"/>
    <w:rsid w:val="00355ED9"/>
    <w:rsid w:val="00357764"/>
    <w:rsid w:val="003607D7"/>
    <w:rsid w:val="003612CC"/>
    <w:rsid w:val="00363C96"/>
    <w:rsid w:val="00364CB1"/>
    <w:rsid w:val="0036646B"/>
    <w:rsid w:val="0037030F"/>
    <w:rsid w:val="00370547"/>
    <w:rsid w:val="00371DA7"/>
    <w:rsid w:val="00371DC8"/>
    <w:rsid w:val="003722E7"/>
    <w:rsid w:val="00373857"/>
    <w:rsid w:val="0037455C"/>
    <w:rsid w:val="0037631C"/>
    <w:rsid w:val="003766A2"/>
    <w:rsid w:val="0037695B"/>
    <w:rsid w:val="00380F3C"/>
    <w:rsid w:val="00383BAD"/>
    <w:rsid w:val="003852FF"/>
    <w:rsid w:val="00386DBD"/>
    <w:rsid w:val="00387B52"/>
    <w:rsid w:val="003930D9"/>
    <w:rsid w:val="00394FBF"/>
    <w:rsid w:val="00396E8F"/>
    <w:rsid w:val="00397094"/>
    <w:rsid w:val="003A0F81"/>
    <w:rsid w:val="003A1468"/>
    <w:rsid w:val="003A2554"/>
    <w:rsid w:val="003A4D1F"/>
    <w:rsid w:val="003A66A7"/>
    <w:rsid w:val="003A6B81"/>
    <w:rsid w:val="003A7B58"/>
    <w:rsid w:val="003B0000"/>
    <w:rsid w:val="003B0A26"/>
    <w:rsid w:val="003B1F01"/>
    <w:rsid w:val="003B24C0"/>
    <w:rsid w:val="003B2583"/>
    <w:rsid w:val="003B27D1"/>
    <w:rsid w:val="003B3EC3"/>
    <w:rsid w:val="003B4A96"/>
    <w:rsid w:val="003B5DE9"/>
    <w:rsid w:val="003B6C75"/>
    <w:rsid w:val="003C0188"/>
    <w:rsid w:val="003C1A68"/>
    <w:rsid w:val="003C2196"/>
    <w:rsid w:val="003C27CE"/>
    <w:rsid w:val="003C3143"/>
    <w:rsid w:val="003C6629"/>
    <w:rsid w:val="003D04AB"/>
    <w:rsid w:val="003D0797"/>
    <w:rsid w:val="003D0E71"/>
    <w:rsid w:val="003D1F12"/>
    <w:rsid w:val="003D5A40"/>
    <w:rsid w:val="003D622A"/>
    <w:rsid w:val="003D76C4"/>
    <w:rsid w:val="003E0EF6"/>
    <w:rsid w:val="003E1903"/>
    <w:rsid w:val="003E22EA"/>
    <w:rsid w:val="003E3384"/>
    <w:rsid w:val="003E37E1"/>
    <w:rsid w:val="003F5D89"/>
    <w:rsid w:val="003F7CB4"/>
    <w:rsid w:val="00403CC2"/>
    <w:rsid w:val="00403EFC"/>
    <w:rsid w:val="00405253"/>
    <w:rsid w:val="0040569B"/>
    <w:rsid w:val="00410700"/>
    <w:rsid w:val="00411712"/>
    <w:rsid w:val="004118E7"/>
    <w:rsid w:val="00412928"/>
    <w:rsid w:val="0041320B"/>
    <w:rsid w:val="00416C98"/>
    <w:rsid w:val="0042083B"/>
    <w:rsid w:val="00421EC6"/>
    <w:rsid w:val="00425DEF"/>
    <w:rsid w:val="00426CAC"/>
    <w:rsid w:val="004312A4"/>
    <w:rsid w:val="0043495C"/>
    <w:rsid w:val="004401C9"/>
    <w:rsid w:val="00441CEC"/>
    <w:rsid w:val="00441D59"/>
    <w:rsid w:val="00441DA4"/>
    <w:rsid w:val="00442351"/>
    <w:rsid w:val="00446F06"/>
    <w:rsid w:val="0044715A"/>
    <w:rsid w:val="004479AA"/>
    <w:rsid w:val="00447C3E"/>
    <w:rsid w:val="00451E96"/>
    <w:rsid w:val="00452228"/>
    <w:rsid w:val="0045351B"/>
    <w:rsid w:val="00461603"/>
    <w:rsid w:val="004626FA"/>
    <w:rsid w:val="00462FF4"/>
    <w:rsid w:val="00464F5E"/>
    <w:rsid w:val="00466877"/>
    <w:rsid w:val="00467E5C"/>
    <w:rsid w:val="00470FB2"/>
    <w:rsid w:val="00471443"/>
    <w:rsid w:val="00471E42"/>
    <w:rsid w:val="0047455E"/>
    <w:rsid w:val="00474B98"/>
    <w:rsid w:val="00475086"/>
    <w:rsid w:val="00480636"/>
    <w:rsid w:val="004816DF"/>
    <w:rsid w:val="0048229B"/>
    <w:rsid w:val="004823AE"/>
    <w:rsid w:val="004845A8"/>
    <w:rsid w:val="00485F15"/>
    <w:rsid w:val="0048668A"/>
    <w:rsid w:val="00486C05"/>
    <w:rsid w:val="00490BC9"/>
    <w:rsid w:val="0049159B"/>
    <w:rsid w:val="004935E3"/>
    <w:rsid w:val="00493A59"/>
    <w:rsid w:val="00493D79"/>
    <w:rsid w:val="00495BAE"/>
    <w:rsid w:val="00496636"/>
    <w:rsid w:val="00496D09"/>
    <w:rsid w:val="004A1554"/>
    <w:rsid w:val="004A1713"/>
    <w:rsid w:val="004A18B7"/>
    <w:rsid w:val="004A2251"/>
    <w:rsid w:val="004A2635"/>
    <w:rsid w:val="004A2A5B"/>
    <w:rsid w:val="004A3499"/>
    <w:rsid w:val="004A55C6"/>
    <w:rsid w:val="004A5AB3"/>
    <w:rsid w:val="004A6232"/>
    <w:rsid w:val="004A62AB"/>
    <w:rsid w:val="004A65CE"/>
    <w:rsid w:val="004A7073"/>
    <w:rsid w:val="004A7FA0"/>
    <w:rsid w:val="004B3AEB"/>
    <w:rsid w:val="004B4869"/>
    <w:rsid w:val="004B5290"/>
    <w:rsid w:val="004B5DD7"/>
    <w:rsid w:val="004B600A"/>
    <w:rsid w:val="004B71E0"/>
    <w:rsid w:val="004C2F72"/>
    <w:rsid w:val="004D0BF0"/>
    <w:rsid w:val="004D32B9"/>
    <w:rsid w:val="004D37E1"/>
    <w:rsid w:val="004D7D95"/>
    <w:rsid w:val="004E03A2"/>
    <w:rsid w:val="004E0BAC"/>
    <w:rsid w:val="004E183D"/>
    <w:rsid w:val="004E2E79"/>
    <w:rsid w:val="004E3CA4"/>
    <w:rsid w:val="004E48DF"/>
    <w:rsid w:val="004E5EF6"/>
    <w:rsid w:val="004E6317"/>
    <w:rsid w:val="004F002A"/>
    <w:rsid w:val="004F05F6"/>
    <w:rsid w:val="004F1625"/>
    <w:rsid w:val="004F19A4"/>
    <w:rsid w:val="004F2564"/>
    <w:rsid w:val="004F2703"/>
    <w:rsid w:val="004F2E76"/>
    <w:rsid w:val="004F411C"/>
    <w:rsid w:val="004F4437"/>
    <w:rsid w:val="004F4664"/>
    <w:rsid w:val="004F67C6"/>
    <w:rsid w:val="004F6F98"/>
    <w:rsid w:val="00503156"/>
    <w:rsid w:val="005057A6"/>
    <w:rsid w:val="00505A34"/>
    <w:rsid w:val="00506045"/>
    <w:rsid w:val="005113B6"/>
    <w:rsid w:val="00511726"/>
    <w:rsid w:val="00511977"/>
    <w:rsid w:val="00511CCB"/>
    <w:rsid w:val="0051224A"/>
    <w:rsid w:val="00512696"/>
    <w:rsid w:val="00513D0D"/>
    <w:rsid w:val="005147D1"/>
    <w:rsid w:val="005148AC"/>
    <w:rsid w:val="00514D26"/>
    <w:rsid w:val="00515082"/>
    <w:rsid w:val="0051628E"/>
    <w:rsid w:val="00517CD4"/>
    <w:rsid w:val="0052046B"/>
    <w:rsid w:val="00523DBD"/>
    <w:rsid w:val="00524009"/>
    <w:rsid w:val="0052592D"/>
    <w:rsid w:val="00525A07"/>
    <w:rsid w:val="00525BE5"/>
    <w:rsid w:val="00530065"/>
    <w:rsid w:val="0053457C"/>
    <w:rsid w:val="00536C50"/>
    <w:rsid w:val="00536F56"/>
    <w:rsid w:val="00536FB9"/>
    <w:rsid w:val="0053778C"/>
    <w:rsid w:val="00541E52"/>
    <w:rsid w:val="00543D97"/>
    <w:rsid w:val="005457F1"/>
    <w:rsid w:val="00545B82"/>
    <w:rsid w:val="00546C38"/>
    <w:rsid w:val="00547A5E"/>
    <w:rsid w:val="00547B64"/>
    <w:rsid w:val="00550851"/>
    <w:rsid w:val="00550A05"/>
    <w:rsid w:val="00550C62"/>
    <w:rsid w:val="005526DB"/>
    <w:rsid w:val="0055534B"/>
    <w:rsid w:val="00556D9D"/>
    <w:rsid w:val="005603F4"/>
    <w:rsid w:val="00560543"/>
    <w:rsid w:val="00560D7D"/>
    <w:rsid w:val="00561D94"/>
    <w:rsid w:val="005629A2"/>
    <w:rsid w:val="00564EBA"/>
    <w:rsid w:val="00565EC7"/>
    <w:rsid w:val="005705B7"/>
    <w:rsid w:val="005708BC"/>
    <w:rsid w:val="00570A4F"/>
    <w:rsid w:val="00573333"/>
    <w:rsid w:val="00580629"/>
    <w:rsid w:val="005815BE"/>
    <w:rsid w:val="00581CC2"/>
    <w:rsid w:val="00581FA0"/>
    <w:rsid w:val="0058257F"/>
    <w:rsid w:val="0058296B"/>
    <w:rsid w:val="0058361A"/>
    <w:rsid w:val="005902D6"/>
    <w:rsid w:val="0059077C"/>
    <w:rsid w:val="005911F2"/>
    <w:rsid w:val="0059472F"/>
    <w:rsid w:val="00595F95"/>
    <w:rsid w:val="00597984"/>
    <w:rsid w:val="005A029F"/>
    <w:rsid w:val="005A0AE4"/>
    <w:rsid w:val="005A1A27"/>
    <w:rsid w:val="005A2E86"/>
    <w:rsid w:val="005A4AB8"/>
    <w:rsid w:val="005A584A"/>
    <w:rsid w:val="005A588D"/>
    <w:rsid w:val="005A6AFD"/>
    <w:rsid w:val="005A78C7"/>
    <w:rsid w:val="005B0A36"/>
    <w:rsid w:val="005B1123"/>
    <w:rsid w:val="005B1625"/>
    <w:rsid w:val="005B1658"/>
    <w:rsid w:val="005B4F15"/>
    <w:rsid w:val="005B5EC9"/>
    <w:rsid w:val="005B6B40"/>
    <w:rsid w:val="005B7140"/>
    <w:rsid w:val="005B7F7D"/>
    <w:rsid w:val="005C1CAE"/>
    <w:rsid w:val="005C3DC1"/>
    <w:rsid w:val="005C4E67"/>
    <w:rsid w:val="005C560B"/>
    <w:rsid w:val="005D1F27"/>
    <w:rsid w:val="005D2831"/>
    <w:rsid w:val="005D4B52"/>
    <w:rsid w:val="005D6EB3"/>
    <w:rsid w:val="005E2335"/>
    <w:rsid w:val="005E270C"/>
    <w:rsid w:val="005E38FF"/>
    <w:rsid w:val="005E5B92"/>
    <w:rsid w:val="005F2C80"/>
    <w:rsid w:val="005F34A9"/>
    <w:rsid w:val="005F3666"/>
    <w:rsid w:val="005F6153"/>
    <w:rsid w:val="005F6AAC"/>
    <w:rsid w:val="005F7203"/>
    <w:rsid w:val="005F748D"/>
    <w:rsid w:val="00600893"/>
    <w:rsid w:val="00600D09"/>
    <w:rsid w:val="00601DD1"/>
    <w:rsid w:val="006038BD"/>
    <w:rsid w:val="00604C81"/>
    <w:rsid w:val="00604FB6"/>
    <w:rsid w:val="00606443"/>
    <w:rsid w:val="00606C10"/>
    <w:rsid w:val="0060781B"/>
    <w:rsid w:val="00611A76"/>
    <w:rsid w:val="00611D7F"/>
    <w:rsid w:val="00613B39"/>
    <w:rsid w:val="0061766A"/>
    <w:rsid w:val="00617C05"/>
    <w:rsid w:val="00622637"/>
    <w:rsid w:val="00622961"/>
    <w:rsid w:val="006231CB"/>
    <w:rsid w:val="0062383B"/>
    <w:rsid w:val="00623F38"/>
    <w:rsid w:val="006240CC"/>
    <w:rsid w:val="006257F9"/>
    <w:rsid w:val="00630989"/>
    <w:rsid w:val="00632266"/>
    <w:rsid w:val="00635CCB"/>
    <w:rsid w:val="006365B8"/>
    <w:rsid w:val="00637F7A"/>
    <w:rsid w:val="00640025"/>
    <w:rsid w:val="00640350"/>
    <w:rsid w:val="00641599"/>
    <w:rsid w:val="00641DA4"/>
    <w:rsid w:val="00642E19"/>
    <w:rsid w:val="00643539"/>
    <w:rsid w:val="0064423E"/>
    <w:rsid w:val="006457D2"/>
    <w:rsid w:val="006458ED"/>
    <w:rsid w:val="00647DBF"/>
    <w:rsid w:val="00652F16"/>
    <w:rsid w:val="0065502C"/>
    <w:rsid w:val="0065521B"/>
    <w:rsid w:val="00655A9D"/>
    <w:rsid w:val="00656196"/>
    <w:rsid w:val="00656A6B"/>
    <w:rsid w:val="006571AD"/>
    <w:rsid w:val="0065761B"/>
    <w:rsid w:val="0065783B"/>
    <w:rsid w:val="00661598"/>
    <w:rsid w:val="00663B4B"/>
    <w:rsid w:val="00663DF6"/>
    <w:rsid w:val="0066575E"/>
    <w:rsid w:val="006667AA"/>
    <w:rsid w:val="00666878"/>
    <w:rsid w:val="006722BC"/>
    <w:rsid w:val="0067311C"/>
    <w:rsid w:val="00674102"/>
    <w:rsid w:val="00674D05"/>
    <w:rsid w:val="00676BF1"/>
    <w:rsid w:val="006770E7"/>
    <w:rsid w:val="006772BD"/>
    <w:rsid w:val="00677932"/>
    <w:rsid w:val="006821C8"/>
    <w:rsid w:val="00682226"/>
    <w:rsid w:val="00684BE9"/>
    <w:rsid w:val="00690A72"/>
    <w:rsid w:val="00691101"/>
    <w:rsid w:val="0069161E"/>
    <w:rsid w:val="00694B48"/>
    <w:rsid w:val="00696BF8"/>
    <w:rsid w:val="006A011B"/>
    <w:rsid w:val="006A1660"/>
    <w:rsid w:val="006A1CA2"/>
    <w:rsid w:val="006A3923"/>
    <w:rsid w:val="006A6B62"/>
    <w:rsid w:val="006B08A5"/>
    <w:rsid w:val="006B3385"/>
    <w:rsid w:val="006B4B11"/>
    <w:rsid w:val="006B5AA6"/>
    <w:rsid w:val="006C4F1B"/>
    <w:rsid w:val="006C4F77"/>
    <w:rsid w:val="006C6BB8"/>
    <w:rsid w:val="006D2214"/>
    <w:rsid w:val="006D3AE5"/>
    <w:rsid w:val="006D4DE8"/>
    <w:rsid w:val="006D5455"/>
    <w:rsid w:val="006D7BCB"/>
    <w:rsid w:val="006E1764"/>
    <w:rsid w:val="006E1BD4"/>
    <w:rsid w:val="006E21F5"/>
    <w:rsid w:val="006E2B7C"/>
    <w:rsid w:val="006E531C"/>
    <w:rsid w:val="006E5540"/>
    <w:rsid w:val="006E688E"/>
    <w:rsid w:val="006E696C"/>
    <w:rsid w:val="006F0A8C"/>
    <w:rsid w:val="006F193C"/>
    <w:rsid w:val="006F2613"/>
    <w:rsid w:val="006F4346"/>
    <w:rsid w:val="00700A64"/>
    <w:rsid w:val="00700C5F"/>
    <w:rsid w:val="007024E4"/>
    <w:rsid w:val="00704CCE"/>
    <w:rsid w:val="007057E6"/>
    <w:rsid w:val="00706B02"/>
    <w:rsid w:val="00707778"/>
    <w:rsid w:val="0071157C"/>
    <w:rsid w:val="00714C7E"/>
    <w:rsid w:val="00714EA1"/>
    <w:rsid w:val="00715DC1"/>
    <w:rsid w:val="00717468"/>
    <w:rsid w:val="00720478"/>
    <w:rsid w:val="007229EB"/>
    <w:rsid w:val="0072337A"/>
    <w:rsid w:val="00723E19"/>
    <w:rsid w:val="00725CA6"/>
    <w:rsid w:val="00726961"/>
    <w:rsid w:val="00727113"/>
    <w:rsid w:val="00727360"/>
    <w:rsid w:val="0073124E"/>
    <w:rsid w:val="00731892"/>
    <w:rsid w:val="00731C49"/>
    <w:rsid w:val="00731F89"/>
    <w:rsid w:val="00732D96"/>
    <w:rsid w:val="0073355B"/>
    <w:rsid w:val="00733DDA"/>
    <w:rsid w:val="00734A81"/>
    <w:rsid w:val="00734D01"/>
    <w:rsid w:val="00735422"/>
    <w:rsid w:val="00735860"/>
    <w:rsid w:val="00735A05"/>
    <w:rsid w:val="0073707D"/>
    <w:rsid w:val="00737E39"/>
    <w:rsid w:val="00737FFA"/>
    <w:rsid w:val="00740E89"/>
    <w:rsid w:val="00740FF4"/>
    <w:rsid w:val="00741601"/>
    <w:rsid w:val="007435A8"/>
    <w:rsid w:val="00743B0D"/>
    <w:rsid w:val="00744E76"/>
    <w:rsid w:val="00744F2A"/>
    <w:rsid w:val="00747643"/>
    <w:rsid w:val="00747B74"/>
    <w:rsid w:val="00750B7A"/>
    <w:rsid w:val="00751EBD"/>
    <w:rsid w:val="00752843"/>
    <w:rsid w:val="00753CE9"/>
    <w:rsid w:val="007545C8"/>
    <w:rsid w:val="0075487A"/>
    <w:rsid w:val="00754EE4"/>
    <w:rsid w:val="007568B5"/>
    <w:rsid w:val="00756C72"/>
    <w:rsid w:val="00760554"/>
    <w:rsid w:val="00760F3E"/>
    <w:rsid w:val="0076206E"/>
    <w:rsid w:val="00762F0D"/>
    <w:rsid w:val="007639B5"/>
    <w:rsid w:val="00763FF1"/>
    <w:rsid w:val="00764099"/>
    <w:rsid w:val="00764E8A"/>
    <w:rsid w:val="00764F69"/>
    <w:rsid w:val="00765CD0"/>
    <w:rsid w:val="00766170"/>
    <w:rsid w:val="0076683F"/>
    <w:rsid w:val="00766D97"/>
    <w:rsid w:val="0077133C"/>
    <w:rsid w:val="00771B7B"/>
    <w:rsid w:val="0077262A"/>
    <w:rsid w:val="00772F39"/>
    <w:rsid w:val="00774A0B"/>
    <w:rsid w:val="00774B24"/>
    <w:rsid w:val="007755D7"/>
    <w:rsid w:val="00776818"/>
    <w:rsid w:val="00786407"/>
    <w:rsid w:val="00786ED8"/>
    <w:rsid w:val="00787F21"/>
    <w:rsid w:val="007901A6"/>
    <w:rsid w:val="00790CCE"/>
    <w:rsid w:val="00792DE2"/>
    <w:rsid w:val="00795434"/>
    <w:rsid w:val="00795F32"/>
    <w:rsid w:val="007969F1"/>
    <w:rsid w:val="007975AA"/>
    <w:rsid w:val="007A0BD3"/>
    <w:rsid w:val="007A1BD3"/>
    <w:rsid w:val="007A3CAF"/>
    <w:rsid w:val="007A45D6"/>
    <w:rsid w:val="007A54E6"/>
    <w:rsid w:val="007A5766"/>
    <w:rsid w:val="007A65D6"/>
    <w:rsid w:val="007A7576"/>
    <w:rsid w:val="007B0516"/>
    <w:rsid w:val="007B05D5"/>
    <w:rsid w:val="007B0749"/>
    <w:rsid w:val="007B0754"/>
    <w:rsid w:val="007B0C17"/>
    <w:rsid w:val="007B4AE4"/>
    <w:rsid w:val="007B4CC8"/>
    <w:rsid w:val="007B68A7"/>
    <w:rsid w:val="007C0FC8"/>
    <w:rsid w:val="007C16BF"/>
    <w:rsid w:val="007C180C"/>
    <w:rsid w:val="007C2382"/>
    <w:rsid w:val="007C3BE8"/>
    <w:rsid w:val="007C4E04"/>
    <w:rsid w:val="007C6D4D"/>
    <w:rsid w:val="007D02DA"/>
    <w:rsid w:val="007D0B48"/>
    <w:rsid w:val="007D1417"/>
    <w:rsid w:val="007D1744"/>
    <w:rsid w:val="007D255A"/>
    <w:rsid w:val="007E22F9"/>
    <w:rsid w:val="007E300F"/>
    <w:rsid w:val="007E333B"/>
    <w:rsid w:val="007E39F8"/>
    <w:rsid w:val="007E7FD5"/>
    <w:rsid w:val="007F004D"/>
    <w:rsid w:val="007F37F4"/>
    <w:rsid w:val="007F41B5"/>
    <w:rsid w:val="007F58E6"/>
    <w:rsid w:val="007F7D6A"/>
    <w:rsid w:val="0080019E"/>
    <w:rsid w:val="008036F5"/>
    <w:rsid w:val="0080636B"/>
    <w:rsid w:val="008066AE"/>
    <w:rsid w:val="00806A2F"/>
    <w:rsid w:val="0081059E"/>
    <w:rsid w:val="00810713"/>
    <w:rsid w:val="00810D97"/>
    <w:rsid w:val="00814081"/>
    <w:rsid w:val="0081535B"/>
    <w:rsid w:val="00815EB0"/>
    <w:rsid w:val="00816A88"/>
    <w:rsid w:val="00820C51"/>
    <w:rsid w:val="00822E93"/>
    <w:rsid w:val="00823BE5"/>
    <w:rsid w:val="00825BFE"/>
    <w:rsid w:val="008303A0"/>
    <w:rsid w:val="00832A0A"/>
    <w:rsid w:val="00834045"/>
    <w:rsid w:val="00834C99"/>
    <w:rsid w:val="00836F73"/>
    <w:rsid w:val="0083764E"/>
    <w:rsid w:val="008432D0"/>
    <w:rsid w:val="00844E1F"/>
    <w:rsid w:val="00845787"/>
    <w:rsid w:val="008471BD"/>
    <w:rsid w:val="008513CC"/>
    <w:rsid w:val="008514A3"/>
    <w:rsid w:val="00852D7E"/>
    <w:rsid w:val="00853AFF"/>
    <w:rsid w:val="008565E3"/>
    <w:rsid w:val="00856B4E"/>
    <w:rsid w:val="00857E44"/>
    <w:rsid w:val="0086062A"/>
    <w:rsid w:val="0086077D"/>
    <w:rsid w:val="008607CE"/>
    <w:rsid w:val="0086176C"/>
    <w:rsid w:val="0086249A"/>
    <w:rsid w:val="008627E4"/>
    <w:rsid w:val="00864FC5"/>
    <w:rsid w:val="00865415"/>
    <w:rsid w:val="00866710"/>
    <w:rsid w:val="0087675D"/>
    <w:rsid w:val="00880C67"/>
    <w:rsid w:val="008826F1"/>
    <w:rsid w:val="00883C8E"/>
    <w:rsid w:val="00884497"/>
    <w:rsid w:val="008854F8"/>
    <w:rsid w:val="00890C52"/>
    <w:rsid w:val="0089123B"/>
    <w:rsid w:val="00891D24"/>
    <w:rsid w:val="008966E8"/>
    <w:rsid w:val="008A0DBE"/>
    <w:rsid w:val="008A2967"/>
    <w:rsid w:val="008A4CEE"/>
    <w:rsid w:val="008A5569"/>
    <w:rsid w:val="008A7F3B"/>
    <w:rsid w:val="008B0BEB"/>
    <w:rsid w:val="008B29A2"/>
    <w:rsid w:val="008B3EC9"/>
    <w:rsid w:val="008B4A93"/>
    <w:rsid w:val="008B7F62"/>
    <w:rsid w:val="008C0C89"/>
    <w:rsid w:val="008C313E"/>
    <w:rsid w:val="008C3692"/>
    <w:rsid w:val="008C56B6"/>
    <w:rsid w:val="008C706F"/>
    <w:rsid w:val="008C720D"/>
    <w:rsid w:val="008C77C8"/>
    <w:rsid w:val="008D1890"/>
    <w:rsid w:val="008D241D"/>
    <w:rsid w:val="008D42DA"/>
    <w:rsid w:val="008D4330"/>
    <w:rsid w:val="008D7BAA"/>
    <w:rsid w:val="008E30B1"/>
    <w:rsid w:val="008E4031"/>
    <w:rsid w:val="008E4592"/>
    <w:rsid w:val="008E4FB9"/>
    <w:rsid w:val="008E6C98"/>
    <w:rsid w:val="008F0D20"/>
    <w:rsid w:val="008F0F84"/>
    <w:rsid w:val="008F10AF"/>
    <w:rsid w:val="008F14EC"/>
    <w:rsid w:val="008F1F69"/>
    <w:rsid w:val="008F38EB"/>
    <w:rsid w:val="008F6533"/>
    <w:rsid w:val="00900C59"/>
    <w:rsid w:val="00901016"/>
    <w:rsid w:val="00901CB0"/>
    <w:rsid w:val="00902070"/>
    <w:rsid w:val="00902464"/>
    <w:rsid w:val="00902F2E"/>
    <w:rsid w:val="00904206"/>
    <w:rsid w:val="00904AB7"/>
    <w:rsid w:val="00906DFB"/>
    <w:rsid w:val="00910194"/>
    <w:rsid w:val="0091065A"/>
    <w:rsid w:val="00913814"/>
    <w:rsid w:val="00914650"/>
    <w:rsid w:val="00915C5C"/>
    <w:rsid w:val="00917800"/>
    <w:rsid w:val="00921554"/>
    <w:rsid w:val="0092166A"/>
    <w:rsid w:val="00927696"/>
    <w:rsid w:val="009300DD"/>
    <w:rsid w:val="00930633"/>
    <w:rsid w:val="00932326"/>
    <w:rsid w:val="00935D00"/>
    <w:rsid w:val="00936A63"/>
    <w:rsid w:val="009372C7"/>
    <w:rsid w:val="00950CF6"/>
    <w:rsid w:val="00951F72"/>
    <w:rsid w:val="00952AF7"/>
    <w:rsid w:val="00953AB1"/>
    <w:rsid w:val="00955114"/>
    <w:rsid w:val="00956E31"/>
    <w:rsid w:val="00957AD0"/>
    <w:rsid w:val="00962645"/>
    <w:rsid w:val="00962985"/>
    <w:rsid w:val="00964A91"/>
    <w:rsid w:val="00964E60"/>
    <w:rsid w:val="009651BC"/>
    <w:rsid w:val="0096607D"/>
    <w:rsid w:val="0097058B"/>
    <w:rsid w:val="00971411"/>
    <w:rsid w:val="0097161A"/>
    <w:rsid w:val="00972173"/>
    <w:rsid w:val="00972594"/>
    <w:rsid w:val="00972B70"/>
    <w:rsid w:val="00975CA9"/>
    <w:rsid w:val="00977E88"/>
    <w:rsid w:val="00980794"/>
    <w:rsid w:val="00983821"/>
    <w:rsid w:val="009843C4"/>
    <w:rsid w:val="00984624"/>
    <w:rsid w:val="009849A3"/>
    <w:rsid w:val="00985690"/>
    <w:rsid w:val="00986434"/>
    <w:rsid w:val="00986764"/>
    <w:rsid w:val="00987695"/>
    <w:rsid w:val="00987DDE"/>
    <w:rsid w:val="00990142"/>
    <w:rsid w:val="00990DEF"/>
    <w:rsid w:val="00992714"/>
    <w:rsid w:val="00992BDE"/>
    <w:rsid w:val="009932DB"/>
    <w:rsid w:val="00995498"/>
    <w:rsid w:val="009A103B"/>
    <w:rsid w:val="009A298A"/>
    <w:rsid w:val="009A5D22"/>
    <w:rsid w:val="009A7520"/>
    <w:rsid w:val="009A7CD2"/>
    <w:rsid w:val="009B0579"/>
    <w:rsid w:val="009B11BF"/>
    <w:rsid w:val="009B2D38"/>
    <w:rsid w:val="009B3F88"/>
    <w:rsid w:val="009B3FFF"/>
    <w:rsid w:val="009B4BE1"/>
    <w:rsid w:val="009B7F15"/>
    <w:rsid w:val="009C1975"/>
    <w:rsid w:val="009C1D77"/>
    <w:rsid w:val="009C225A"/>
    <w:rsid w:val="009C2C89"/>
    <w:rsid w:val="009C437D"/>
    <w:rsid w:val="009C7039"/>
    <w:rsid w:val="009D0281"/>
    <w:rsid w:val="009D0605"/>
    <w:rsid w:val="009D41BC"/>
    <w:rsid w:val="009D60BA"/>
    <w:rsid w:val="009E0EFB"/>
    <w:rsid w:val="009E1E98"/>
    <w:rsid w:val="009E32A3"/>
    <w:rsid w:val="009E485F"/>
    <w:rsid w:val="009E6717"/>
    <w:rsid w:val="009F0012"/>
    <w:rsid w:val="009F213D"/>
    <w:rsid w:val="009F54C7"/>
    <w:rsid w:val="009F6FE6"/>
    <w:rsid w:val="009F7DDB"/>
    <w:rsid w:val="00A00EB2"/>
    <w:rsid w:val="00A0140E"/>
    <w:rsid w:val="00A026F1"/>
    <w:rsid w:val="00A032A1"/>
    <w:rsid w:val="00A03872"/>
    <w:rsid w:val="00A0400A"/>
    <w:rsid w:val="00A053F1"/>
    <w:rsid w:val="00A05B93"/>
    <w:rsid w:val="00A075C0"/>
    <w:rsid w:val="00A10E99"/>
    <w:rsid w:val="00A11B47"/>
    <w:rsid w:val="00A12A61"/>
    <w:rsid w:val="00A13FEE"/>
    <w:rsid w:val="00A14FCF"/>
    <w:rsid w:val="00A2069B"/>
    <w:rsid w:val="00A239B2"/>
    <w:rsid w:val="00A23F46"/>
    <w:rsid w:val="00A25884"/>
    <w:rsid w:val="00A269E4"/>
    <w:rsid w:val="00A31666"/>
    <w:rsid w:val="00A3166B"/>
    <w:rsid w:val="00A31FA1"/>
    <w:rsid w:val="00A32541"/>
    <w:rsid w:val="00A35FB7"/>
    <w:rsid w:val="00A36AE0"/>
    <w:rsid w:val="00A40BE5"/>
    <w:rsid w:val="00A43096"/>
    <w:rsid w:val="00A432B6"/>
    <w:rsid w:val="00A43432"/>
    <w:rsid w:val="00A44926"/>
    <w:rsid w:val="00A45CB5"/>
    <w:rsid w:val="00A45DDC"/>
    <w:rsid w:val="00A50A4D"/>
    <w:rsid w:val="00A5175E"/>
    <w:rsid w:val="00A551D8"/>
    <w:rsid w:val="00A55B0C"/>
    <w:rsid w:val="00A57524"/>
    <w:rsid w:val="00A618E7"/>
    <w:rsid w:val="00A62E87"/>
    <w:rsid w:val="00A6468F"/>
    <w:rsid w:val="00A64C71"/>
    <w:rsid w:val="00A65234"/>
    <w:rsid w:val="00A65C0F"/>
    <w:rsid w:val="00A67BBE"/>
    <w:rsid w:val="00A711BC"/>
    <w:rsid w:val="00A721B6"/>
    <w:rsid w:val="00A727EC"/>
    <w:rsid w:val="00A753A2"/>
    <w:rsid w:val="00A75A46"/>
    <w:rsid w:val="00A75B94"/>
    <w:rsid w:val="00A76F7F"/>
    <w:rsid w:val="00A77028"/>
    <w:rsid w:val="00A771CC"/>
    <w:rsid w:val="00A82086"/>
    <w:rsid w:val="00A835B7"/>
    <w:rsid w:val="00A83B4E"/>
    <w:rsid w:val="00A84949"/>
    <w:rsid w:val="00A84D42"/>
    <w:rsid w:val="00A84E38"/>
    <w:rsid w:val="00A851E3"/>
    <w:rsid w:val="00A85A03"/>
    <w:rsid w:val="00A85C79"/>
    <w:rsid w:val="00A86CF2"/>
    <w:rsid w:val="00A86EA1"/>
    <w:rsid w:val="00A87D6D"/>
    <w:rsid w:val="00A90014"/>
    <w:rsid w:val="00A90097"/>
    <w:rsid w:val="00A90970"/>
    <w:rsid w:val="00A91076"/>
    <w:rsid w:val="00A9257A"/>
    <w:rsid w:val="00A92F18"/>
    <w:rsid w:val="00A94911"/>
    <w:rsid w:val="00A97A9D"/>
    <w:rsid w:val="00AA0FA7"/>
    <w:rsid w:val="00AA200B"/>
    <w:rsid w:val="00AA2683"/>
    <w:rsid w:val="00AA27F2"/>
    <w:rsid w:val="00AA4117"/>
    <w:rsid w:val="00AA44C2"/>
    <w:rsid w:val="00AA7C92"/>
    <w:rsid w:val="00AB098D"/>
    <w:rsid w:val="00AB0C33"/>
    <w:rsid w:val="00AB491F"/>
    <w:rsid w:val="00AB7307"/>
    <w:rsid w:val="00AC1240"/>
    <w:rsid w:val="00AC1688"/>
    <w:rsid w:val="00AC2ADB"/>
    <w:rsid w:val="00AC437F"/>
    <w:rsid w:val="00AC4BED"/>
    <w:rsid w:val="00AC5216"/>
    <w:rsid w:val="00AC5267"/>
    <w:rsid w:val="00AC5DC8"/>
    <w:rsid w:val="00AC6B25"/>
    <w:rsid w:val="00AD17AA"/>
    <w:rsid w:val="00AD381E"/>
    <w:rsid w:val="00AD3D85"/>
    <w:rsid w:val="00AD495A"/>
    <w:rsid w:val="00AE05D5"/>
    <w:rsid w:val="00AE24F1"/>
    <w:rsid w:val="00AE38F3"/>
    <w:rsid w:val="00AE7B2C"/>
    <w:rsid w:val="00AF1459"/>
    <w:rsid w:val="00AF610D"/>
    <w:rsid w:val="00AF626D"/>
    <w:rsid w:val="00AF79F0"/>
    <w:rsid w:val="00B00564"/>
    <w:rsid w:val="00B01003"/>
    <w:rsid w:val="00B01D1F"/>
    <w:rsid w:val="00B02CC2"/>
    <w:rsid w:val="00B04335"/>
    <w:rsid w:val="00B04B7D"/>
    <w:rsid w:val="00B06693"/>
    <w:rsid w:val="00B07CD1"/>
    <w:rsid w:val="00B11953"/>
    <w:rsid w:val="00B12712"/>
    <w:rsid w:val="00B1342D"/>
    <w:rsid w:val="00B145F5"/>
    <w:rsid w:val="00B17290"/>
    <w:rsid w:val="00B2027B"/>
    <w:rsid w:val="00B216EE"/>
    <w:rsid w:val="00B22EA3"/>
    <w:rsid w:val="00B2317D"/>
    <w:rsid w:val="00B23587"/>
    <w:rsid w:val="00B23E17"/>
    <w:rsid w:val="00B260E9"/>
    <w:rsid w:val="00B261D5"/>
    <w:rsid w:val="00B2654C"/>
    <w:rsid w:val="00B404DC"/>
    <w:rsid w:val="00B40B7A"/>
    <w:rsid w:val="00B41467"/>
    <w:rsid w:val="00B43692"/>
    <w:rsid w:val="00B43C1E"/>
    <w:rsid w:val="00B4464A"/>
    <w:rsid w:val="00B44EC8"/>
    <w:rsid w:val="00B454EE"/>
    <w:rsid w:val="00B46032"/>
    <w:rsid w:val="00B460D8"/>
    <w:rsid w:val="00B46302"/>
    <w:rsid w:val="00B47965"/>
    <w:rsid w:val="00B5233A"/>
    <w:rsid w:val="00B528ED"/>
    <w:rsid w:val="00B52FC0"/>
    <w:rsid w:val="00B533AA"/>
    <w:rsid w:val="00B54A6A"/>
    <w:rsid w:val="00B55886"/>
    <w:rsid w:val="00B55B03"/>
    <w:rsid w:val="00B5688C"/>
    <w:rsid w:val="00B56EAC"/>
    <w:rsid w:val="00B605C3"/>
    <w:rsid w:val="00B60941"/>
    <w:rsid w:val="00B61219"/>
    <w:rsid w:val="00B614C1"/>
    <w:rsid w:val="00B62257"/>
    <w:rsid w:val="00B6240D"/>
    <w:rsid w:val="00B65E9D"/>
    <w:rsid w:val="00B66F99"/>
    <w:rsid w:val="00B70CD3"/>
    <w:rsid w:val="00B70FA1"/>
    <w:rsid w:val="00B72426"/>
    <w:rsid w:val="00B72720"/>
    <w:rsid w:val="00B734EA"/>
    <w:rsid w:val="00B736DB"/>
    <w:rsid w:val="00B74AB5"/>
    <w:rsid w:val="00B74D0C"/>
    <w:rsid w:val="00B75C2B"/>
    <w:rsid w:val="00B7609C"/>
    <w:rsid w:val="00B767C7"/>
    <w:rsid w:val="00B76AC9"/>
    <w:rsid w:val="00B80100"/>
    <w:rsid w:val="00B849F2"/>
    <w:rsid w:val="00B87125"/>
    <w:rsid w:val="00B90D81"/>
    <w:rsid w:val="00B95247"/>
    <w:rsid w:val="00BA1BF7"/>
    <w:rsid w:val="00BA3D41"/>
    <w:rsid w:val="00BA54D1"/>
    <w:rsid w:val="00BA5755"/>
    <w:rsid w:val="00BA5AFB"/>
    <w:rsid w:val="00BB0891"/>
    <w:rsid w:val="00BB1802"/>
    <w:rsid w:val="00BB298C"/>
    <w:rsid w:val="00BB2BB2"/>
    <w:rsid w:val="00BB2FBF"/>
    <w:rsid w:val="00BB6899"/>
    <w:rsid w:val="00BB7ACD"/>
    <w:rsid w:val="00BC05DC"/>
    <w:rsid w:val="00BC0D8E"/>
    <w:rsid w:val="00BC5577"/>
    <w:rsid w:val="00BD3241"/>
    <w:rsid w:val="00BD60F8"/>
    <w:rsid w:val="00BD7994"/>
    <w:rsid w:val="00BE034C"/>
    <w:rsid w:val="00BE0BC3"/>
    <w:rsid w:val="00BE0C87"/>
    <w:rsid w:val="00BE1536"/>
    <w:rsid w:val="00BE3C74"/>
    <w:rsid w:val="00BE3E1E"/>
    <w:rsid w:val="00BE454E"/>
    <w:rsid w:val="00BE6563"/>
    <w:rsid w:val="00BE77F6"/>
    <w:rsid w:val="00BE7CCF"/>
    <w:rsid w:val="00BF2E8B"/>
    <w:rsid w:val="00BF3C80"/>
    <w:rsid w:val="00C01749"/>
    <w:rsid w:val="00C0203E"/>
    <w:rsid w:val="00C026E8"/>
    <w:rsid w:val="00C03222"/>
    <w:rsid w:val="00C04126"/>
    <w:rsid w:val="00C06AF4"/>
    <w:rsid w:val="00C10011"/>
    <w:rsid w:val="00C105C5"/>
    <w:rsid w:val="00C10BC4"/>
    <w:rsid w:val="00C10E48"/>
    <w:rsid w:val="00C122A7"/>
    <w:rsid w:val="00C13651"/>
    <w:rsid w:val="00C14191"/>
    <w:rsid w:val="00C15E34"/>
    <w:rsid w:val="00C16E09"/>
    <w:rsid w:val="00C2055B"/>
    <w:rsid w:val="00C22092"/>
    <w:rsid w:val="00C22E64"/>
    <w:rsid w:val="00C2362E"/>
    <w:rsid w:val="00C23EC6"/>
    <w:rsid w:val="00C248F9"/>
    <w:rsid w:val="00C25315"/>
    <w:rsid w:val="00C26A7F"/>
    <w:rsid w:val="00C26B6D"/>
    <w:rsid w:val="00C30DAA"/>
    <w:rsid w:val="00C30FC7"/>
    <w:rsid w:val="00C32E04"/>
    <w:rsid w:val="00C33699"/>
    <w:rsid w:val="00C37C18"/>
    <w:rsid w:val="00C41181"/>
    <w:rsid w:val="00C4133A"/>
    <w:rsid w:val="00C42E8E"/>
    <w:rsid w:val="00C442D0"/>
    <w:rsid w:val="00C44C90"/>
    <w:rsid w:val="00C4509B"/>
    <w:rsid w:val="00C4592A"/>
    <w:rsid w:val="00C5347B"/>
    <w:rsid w:val="00C550EC"/>
    <w:rsid w:val="00C55219"/>
    <w:rsid w:val="00C57DC5"/>
    <w:rsid w:val="00C616C8"/>
    <w:rsid w:val="00C61823"/>
    <w:rsid w:val="00C61865"/>
    <w:rsid w:val="00C61DD3"/>
    <w:rsid w:val="00C63BAF"/>
    <w:rsid w:val="00C66F4B"/>
    <w:rsid w:val="00C670DA"/>
    <w:rsid w:val="00C71269"/>
    <w:rsid w:val="00C72D24"/>
    <w:rsid w:val="00C73C5D"/>
    <w:rsid w:val="00C73DA6"/>
    <w:rsid w:val="00C75169"/>
    <w:rsid w:val="00C75549"/>
    <w:rsid w:val="00C807EA"/>
    <w:rsid w:val="00C82357"/>
    <w:rsid w:val="00C855DD"/>
    <w:rsid w:val="00C86345"/>
    <w:rsid w:val="00C90FF9"/>
    <w:rsid w:val="00C91F99"/>
    <w:rsid w:val="00C93DF9"/>
    <w:rsid w:val="00C94818"/>
    <w:rsid w:val="00CA0D90"/>
    <w:rsid w:val="00CA434F"/>
    <w:rsid w:val="00CA4458"/>
    <w:rsid w:val="00CA6A5F"/>
    <w:rsid w:val="00CB0057"/>
    <w:rsid w:val="00CB20AD"/>
    <w:rsid w:val="00CB2233"/>
    <w:rsid w:val="00CB3406"/>
    <w:rsid w:val="00CB3A07"/>
    <w:rsid w:val="00CB4E8F"/>
    <w:rsid w:val="00CB7754"/>
    <w:rsid w:val="00CB79AA"/>
    <w:rsid w:val="00CC329D"/>
    <w:rsid w:val="00CC3A31"/>
    <w:rsid w:val="00CC4935"/>
    <w:rsid w:val="00CC5180"/>
    <w:rsid w:val="00CC57C8"/>
    <w:rsid w:val="00CD13A6"/>
    <w:rsid w:val="00CD5352"/>
    <w:rsid w:val="00CD594F"/>
    <w:rsid w:val="00CD5954"/>
    <w:rsid w:val="00CD6ECA"/>
    <w:rsid w:val="00CD7AC0"/>
    <w:rsid w:val="00CE0E9F"/>
    <w:rsid w:val="00CE2DB7"/>
    <w:rsid w:val="00CE51DA"/>
    <w:rsid w:val="00CE551E"/>
    <w:rsid w:val="00CE5EC2"/>
    <w:rsid w:val="00CE7CBA"/>
    <w:rsid w:val="00CF0FEE"/>
    <w:rsid w:val="00CF16FB"/>
    <w:rsid w:val="00CF2472"/>
    <w:rsid w:val="00CF35E9"/>
    <w:rsid w:val="00CF3A54"/>
    <w:rsid w:val="00CF427F"/>
    <w:rsid w:val="00CF4D2D"/>
    <w:rsid w:val="00CF7178"/>
    <w:rsid w:val="00CF758C"/>
    <w:rsid w:val="00CF763A"/>
    <w:rsid w:val="00CF795C"/>
    <w:rsid w:val="00CF7FE4"/>
    <w:rsid w:val="00D01664"/>
    <w:rsid w:val="00D01B1E"/>
    <w:rsid w:val="00D05EB1"/>
    <w:rsid w:val="00D077CC"/>
    <w:rsid w:val="00D100C7"/>
    <w:rsid w:val="00D12883"/>
    <w:rsid w:val="00D158ED"/>
    <w:rsid w:val="00D15D61"/>
    <w:rsid w:val="00D1704B"/>
    <w:rsid w:val="00D171D4"/>
    <w:rsid w:val="00D17654"/>
    <w:rsid w:val="00D17C13"/>
    <w:rsid w:val="00D20DA5"/>
    <w:rsid w:val="00D21E7D"/>
    <w:rsid w:val="00D22BF6"/>
    <w:rsid w:val="00D25B5A"/>
    <w:rsid w:val="00D30611"/>
    <w:rsid w:val="00D30812"/>
    <w:rsid w:val="00D31370"/>
    <w:rsid w:val="00D31768"/>
    <w:rsid w:val="00D33486"/>
    <w:rsid w:val="00D33701"/>
    <w:rsid w:val="00D35783"/>
    <w:rsid w:val="00D36A4B"/>
    <w:rsid w:val="00D36AF1"/>
    <w:rsid w:val="00D37854"/>
    <w:rsid w:val="00D37C98"/>
    <w:rsid w:val="00D41F66"/>
    <w:rsid w:val="00D41FF9"/>
    <w:rsid w:val="00D43A1D"/>
    <w:rsid w:val="00D43BDD"/>
    <w:rsid w:val="00D4554D"/>
    <w:rsid w:val="00D517DD"/>
    <w:rsid w:val="00D5338A"/>
    <w:rsid w:val="00D5428B"/>
    <w:rsid w:val="00D561D7"/>
    <w:rsid w:val="00D56987"/>
    <w:rsid w:val="00D57060"/>
    <w:rsid w:val="00D60BEF"/>
    <w:rsid w:val="00D6464B"/>
    <w:rsid w:val="00D6646D"/>
    <w:rsid w:val="00D71105"/>
    <w:rsid w:val="00D7240C"/>
    <w:rsid w:val="00D733E0"/>
    <w:rsid w:val="00D74C2C"/>
    <w:rsid w:val="00D750A0"/>
    <w:rsid w:val="00D752D3"/>
    <w:rsid w:val="00D755AC"/>
    <w:rsid w:val="00D76D9E"/>
    <w:rsid w:val="00D7753B"/>
    <w:rsid w:val="00D828C8"/>
    <w:rsid w:val="00D83737"/>
    <w:rsid w:val="00D84C7F"/>
    <w:rsid w:val="00D86AF5"/>
    <w:rsid w:val="00D90F74"/>
    <w:rsid w:val="00D9109B"/>
    <w:rsid w:val="00D910C0"/>
    <w:rsid w:val="00D91696"/>
    <w:rsid w:val="00D95185"/>
    <w:rsid w:val="00D97515"/>
    <w:rsid w:val="00D97A81"/>
    <w:rsid w:val="00DA0034"/>
    <w:rsid w:val="00DA1C4D"/>
    <w:rsid w:val="00DA2464"/>
    <w:rsid w:val="00DA24D4"/>
    <w:rsid w:val="00DA2FF5"/>
    <w:rsid w:val="00DA300F"/>
    <w:rsid w:val="00DA45AB"/>
    <w:rsid w:val="00DA45B1"/>
    <w:rsid w:val="00DA6957"/>
    <w:rsid w:val="00DB0DD1"/>
    <w:rsid w:val="00DB1E67"/>
    <w:rsid w:val="00DB2FC2"/>
    <w:rsid w:val="00DB39EB"/>
    <w:rsid w:val="00DB3A0C"/>
    <w:rsid w:val="00DB426C"/>
    <w:rsid w:val="00DB7682"/>
    <w:rsid w:val="00DC0F3F"/>
    <w:rsid w:val="00DC1546"/>
    <w:rsid w:val="00DC1604"/>
    <w:rsid w:val="00DC1EBC"/>
    <w:rsid w:val="00DC2821"/>
    <w:rsid w:val="00DC31E1"/>
    <w:rsid w:val="00DC5318"/>
    <w:rsid w:val="00DC6571"/>
    <w:rsid w:val="00DC70EC"/>
    <w:rsid w:val="00DD2A94"/>
    <w:rsid w:val="00DD2C95"/>
    <w:rsid w:val="00DD2D29"/>
    <w:rsid w:val="00DD4544"/>
    <w:rsid w:val="00DD4CAE"/>
    <w:rsid w:val="00DD71A1"/>
    <w:rsid w:val="00DD72FA"/>
    <w:rsid w:val="00DE2E9E"/>
    <w:rsid w:val="00DE3959"/>
    <w:rsid w:val="00DE5A13"/>
    <w:rsid w:val="00DE7C83"/>
    <w:rsid w:val="00DF103D"/>
    <w:rsid w:val="00DF116B"/>
    <w:rsid w:val="00E00BC1"/>
    <w:rsid w:val="00E021F0"/>
    <w:rsid w:val="00E04AE6"/>
    <w:rsid w:val="00E07250"/>
    <w:rsid w:val="00E12738"/>
    <w:rsid w:val="00E133D9"/>
    <w:rsid w:val="00E13E5A"/>
    <w:rsid w:val="00E164A0"/>
    <w:rsid w:val="00E16731"/>
    <w:rsid w:val="00E16922"/>
    <w:rsid w:val="00E17D18"/>
    <w:rsid w:val="00E2235F"/>
    <w:rsid w:val="00E23873"/>
    <w:rsid w:val="00E23F0E"/>
    <w:rsid w:val="00E2670B"/>
    <w:rsid w:val="00E26BB2"/>
    <w:rsid w:val="00E30B7D"/>
    <w:rsid w:val="00E35BEF"/>
    <w:rsid w:val="00E35EC4"/>
    <w:rsid w:val="00E400C3"/>
    <w:rsid w:val="00E4274B"/>
    <w:rsid w:val="00E42F12"/>
    <w:rsid w:val="00E431E0"/>
    <w:rsid w:val="00E4324C"/>
    <w:rsid w:val="00E45648"/>
    <w:rsid w:val="00E45E5B"/>
    <w:rsid w:val="00E524A1"/>
    <w:rsid w:val="00E52625"/>
    <w:rsid w:val="00E5293F"/>
    <w:rsid w:val="00E52955"/>
    <w:rsid w:val="00E5598E"/>
    <w:rsid w:val="00E5691A"/>
    <w:rsid w:val="00E56F17"/>
    <w:rsid w:val="00E57B9E"/>
    <w:rsid w:val="00E630B1"/>
    <w:rsid w:val="00E6352E"/>
    <w:rsid w:val="00E65183"/>
    <w:rsid w:val="00E658F8"/>
    <w:rsid w:val="00E701DC"/>
    <w:rsid w:val="00E70EE0"/>
    <w:rsid w:val="00E712B0"/>
    <w:rsid w:val="00E737D2"/>
    <w:rsid w:val="00E75414"/>
    <w:rsid w:val="00E84BE0"/>
    <w:rsid w:val="00E85661"/>
    <w:rsid w:val="00E860F6"/>
    <w:rsid w:val="00E86722"/>
    <w:rsid w:val="00E869A6"/>
    <w:rsid w:val="00E87228"/>
    <w:rsid w:val="00E87A01"/>
    <w:rsid w:val="00E905EE"/>
    <w:rsid w:val="00E90CD1"/>
    <w:rsid w:val="00E93B02"/>
    <w:rsid w:val="00E96829"/>
    <w:rsid w:val="00E97795"/>
    <w:rsid w:val="00E9784B"/>
    <w:rsid w:val="00EA00D7"/>
    <w:rsid w:val="00EA1774"/>
    <w:rsid w:val="00EA1C39"/>
    <w:rsid w:val="00EA28BA"/>
    <w:rsid w:val="00EA2CD0"/>
    <w:rsid w:val="00EA4582"/>
    <w:rsid w:val="00EA5C0A"/>
    <w:rsid w:val="00EA70FB"/>
    <w:rsid w:val="00EA71AF"/>
    <w:rsid w:val="00EB3090"/>
    <w:rsid w:val="00EB3D56"/>
    <w:rsid w:val="00EB6BB3"/>
    <w:rsid w:val="00EB71EC"/>
    <w:rsid w:val="00EC07F7"/>
    <w:rsid w:val="00EC136C"/>
    <w:rsid w:val="00EC3374"/>
    <w:rsid w:val="00EC62D2"/>
    <w:rsid w:val="00EC66D2"/>
    <w:rsid w:val="00EC67E9"/>
    <w:rsid w:val="00ED3559"/>
    <w:rsid w:val="00ED3C7F"/>
    <w:rsid w:val="00ED3D36"/>
    <w:rsid w:val="00ED6D83"/>
    <w:rsid w:val="00ED711A"/>
    <w:rsid w:val="00EE0509"/>
    <w:rsid w:val="00EE1170"/>
    <w:rsid w:val="00EE366C"/>
    <w:rsid w:val="00EE4907"/>
    <w:rsid w:val="00EE56A8"/>
    <w:rsid w:val="00EF05F9"/>
    <w:rsid w:val="00EF09D3"/>
    <w:rsid w:val="00EF112E"/>
    <w:rsid w:val="00EF44C8"/>
    <w:rsid w:val="00EF7B96"/>
    <w:rsid w:val="00F005D6"/>
    <w:rsid w:val="00F00BAB"/>
    <w:rsid w:val="00F016A0"/>
    <w:rsid w:val="00F01939"/>
    <w:rsid w:val="00F0453F"/>
    <w:rsid w:val="00F06560"/>
    <w:rsid w:val="00F07BF0"/>
    <w:rsid w:val="00F111FD"/>
    <w:rsid w:val="00F11AEB"/>
    <w:rsid w:val="00F13D9C"/>
    <w:rsid w:val="00F21A66"/>
    <w:rsid w:val="00F23AB7"/>
    <w:rsid w:val="00F2437D"/>
    <w:rsid w:val="00F251F5"/>
    <w:rsid w:val="00F262CA"/>
    <w:rsid w:val="00F27877"/>
    <w:rsid w:val="00F3048F"/>
    <w:rsid w:val="00F30504"/>
    <w:rsid w:val="00F3064E"/>
    <w:rsid w:val="00F3083A"/>
    <w:rsid w:val="00F31BE8"/>
    <w:rsid w:val="00F36B4E"/>
    <w:rsid w:val="00F37EC2"/>
    <w:rsid w:val="00F417A3"/>
    <w:rsid w:val="00F43DB9"/>
    <w:rsid w:val="00F43EA7"/>
    <w:rsid w:val="00F47C10"/>
    <w:rsid w:val="00F5198A"/>
    <w:rsid w:val="00F51F01"/>
    <w:rsid w:val="00F52227"/>
    <w:rsid w:val="00F5261A"/>
    <w:rsid w:val="00F53D47"/>
    <w:rsid w:val="00F546F2"/>
    <w:rsid w:val="00F549BD"/>
    <w:rsid w:val="00F553E3"/>
    <w:rsid w:val="00F56E23"/>
    <w:rsid w:val="00F620BE"/>
    <w:rsid w:val="00F63753"/>
    <w:rsid w:val="00F63A5F"/>
    <w:rsid w:val="00F64FCA"/>
    <w:rsid w:val="00F670E9"/>
    <w:rsid w:val="00F71021"/>
    <w:rsid w:val="00F73AC2"/>
    <w:rsid w:val="00F73E2E"/>
    <w:rsid w:val="00F74AF9"/>
    <w:rsid w:val="00F74CEB"/>
    <w:rsid w:val="00F7603B"/>
    <w:rsid w:val="00F81F42"/>
    <w:rsid w:val="00F84BF4"/>
    <w:rsid w:val="00F84EE1"/>
    <w:rsid w:val="00F920D5"/>
    <w:rsid w:val="00F93E31"/>
    <w:rsid w:val="00F93F1C"/>
    <w:rsid w:val="00F96D3B"/>
    <w:rsid w:val="00F975B2"/>
    <w:rsid w:val="00F9772E"/>
    <w:rsid w:val="00FA18E6"/>
    <w:rsid w:val="00FA1EA0"/>
    <w:rsid w:val="00FA2337"/>
    <w:rsid w:val="00FA3583"/>
    <w:rsid w:val="00FA4D8D"/>
    <w:rsid w:val="00FA6F3F"/>
    <w:rsid w:val="00FB14E8"/>
    <w:rsid w:val="00FB20FF"/>
    <w:rsid w:val="00FB2FB6"/>
    <w:rsid w:val="00FB35FD"/>
    <w:rsid w:val="00FB5739"/>
    <w:rsid w:val="00FB5835"/>
    <w:rsid w:val="00FB6708"/>
    <w:rsid w:val="00FB6F2D"/>
    <w:rsid w:val="00FB7D78"/>
    <w:rsid w:val="00FC16AB"/>
    <w:rsid w:val="00FC50D2"/>
    <w:rsid w:val="00FC567F"/>
    <w:rsid w:val="00FC5BD4"/>
    <w:rsid w:val="00FC5D6D"/>
    <w:rsid w:val="00FC73DF"/>
    <w:rsid w:val="00FD0B2D"/>
    <w:rsid w:val="00FD0BF8"/>
    <w:rsid w:val="00FD125B"/>
    <w:rsid w:val="00FD41CF"/>
    <w:rsid w:val="00FD60E6"/>
    <w:rsid w:val="00FD7103"/>
    <w:rsid w:val="00FE0AE5"/>
    <w:rsid w:val="00FE13BC"/>
    <w:rsid w:val="00FE13C5"/>
    <w:rsid w:val="00FE1C2E"/>
    <w:rsid w:val="00FE214A"/>
    <w:rsid w:val="00FE43E3"/>
    <w:rsid w:val="00FE4C60"/>
    <w:rsid w:val="00FF02A4"/>
    <w:rsid w:val="00FF088C"/>
    <w:rsid w:val="00FF121D"/>
    <w:rsid w:val="00FF1689"/>
    <w:rsid w:val="00FF1D09"/>
    <w:rsid w:val="00FF4520"/>
    <w:rsid w:val="00FF48EE"/>
    <w:rsid w:val="00FF4C65"/>
    <w:rsid w:val="00FF5091"/>
    <w:rsid w:val="00FF53F0"/>
    <w:rsid w:val="00FF6422"/>
    <w:rsid w:val="01F2753D"/>
    <w:rsid w:val="0203373C"/>
    <w:rsid w:val="021768F8"/>
    <w:rsid w:val="03B31109"/>
    <w:rsid w:val="03E847A6"/>
    <w:rsid w:val="0446138B"/>
    <w:rsid w:val="05175CB0"/>
    <w:rsid w:val="086F1377"/>
    <w:rsid w:val="09181BD7"/>
    <w:rsid w:val="0A40100F"/>
    <w:rsid w:val="0A4F320E"/>
    <w:rsid w:val="0A8E3AF2"/>
    <w:rsid w:val="0AD14F4A"/>
    <w:rsid w:val="0B161399"/>
    <w:rsid w:val="0C032502"/>
    <w:rsid w:val="0E26206B"/>
    <w:rsid w:val="0F024CF3"/>
    <w:rsid w:val="10316128"/>
    <w:rsid w:val="122907E8"/>
    <w:rsid w:val="12B80632"/>
    <w:rsid w:val="134358DA"/>
    <w:rsid w:val="13E03A64"/>
    <w:rsid w:val="158676AC"/>
    <w:rsid w:val="16583A87"/>
    <w:rsid w:val="16730DB6"/>
    <w:rsid w:val="17A32DEB"/>
    <w:rsid w:val="195C6635"/>
    <w:rsid w:val="198C38D3"/>
    <w:rsid w:val="1BCA6B98"/>
    <w:rsid w:val="1E05210A"/>
    <w:rsid w:val="1E6729E0"/>
    <w:rsid w:val="1E780D27"/>
    <w:rsid w:val="1F024892"/>
    <w:rsid w:val="211F7DEC"/>
    <w:rsid w:val="21D43886"/>
    <w:rsid w:val="2297598E"/>
    <w:rsid w:val="22AA14D2"/>
    <w:rsid w:val="24B93C4E"/>
    <w:rsid w:val="27C070C8"/>
    <w:rsid w:val="29D40EDE"/>
    <w:rsid w:val="2BA03472"/>
    <w:rsid w:val="2C293467"/>
    <w:rsid w:val="2F695895"/>
    <w:rsid w:val="34285A1D"/>
    <w:rsid w:val="35021C06"/>
    <w:rsid w:val="357240D1"/>
    <w:rsid w:val="358022E8"/>
    <w:rsid w:val="3AD508FF"/>
    <w:rsid w:val="3AF8522A"/>
    <w:rsid w:val="3E0F3DFA"/>
    <w:rsid w:val="3EAF182F"/>
    <w:rsid w:val="3F514D57"/>
    <w:rsid w:val="4049217B"/>
    <w:rsid w:val="406C6823"/>
    <w:rsid w:val="413E0889"/>
    <w:rsid w:val="41E73751"/>
    <w:rsid w:val="4252564D"/>
    <w:rsid w:val="4392593E"/>
    <w:rsid w:val="43D16466"/>
    <w:rsid w:val="440A64FC"/>
    <w:rsid w:val="44572BAD"/>
    <w:rsid w:val="44650B3B"/>
    <w:rsid w:val="45F621B4"/>
    <w:rsid w:val="47150D60"/>
    <w:rsid w:val="472967FF"/>
    <w:rsid w:val="4A6873F9"/>
    <w:rsid w:val="4B445EAE"/>
    <w:rsid w:val="506D3493"/>
    <w:rsid w:val="51B82A14"/>
    <w:rsid w:val="52157E66"/>
    <w:rsid w:val="53B35B89"/>
    <w:rsid w:val="53B449A8"/>
    <w:rsid w:val="53F464D0"/>
    <w:rsid w:val="55BD537A"/>
    <w:rsid w:val="56D4209E"/>
    <w:rsid w:val="578660ED"/>
    <w:rsid w:val="57D0303B"/>
    <w:rsid w:val="585965FA"/>
    <w:rsid w:val="599124C8"/>
    <w:rsid w:val="5AD85ED5"/>
    <w:rsid w:val="5DD52A57"/>
    <w:rsid w:val="5E6D6AEF"/>
    <w:rsid w:val="5E6E102A"/>
    <w:rsid w:val="608B62B2"/>
    <w:rsid w:val="62B80624"/>
    <w:rsid w:val="63DA0EDD"/>
    <w:rsid w:val="65B42D41"/>
    <w:rsid w:val="67915CB0"/>
    <w:rsid w:val="6AE429E9"/>
    <w:rsid w:val="6B37278A"/>
    <w:rsid w:val="6CBC7404"/>
    <w:rsid w:val="6CDA6667"/>
    <w:rsid w:val="6ED942FF"/>
    <w:rsid w:val="6F2A1338"/>
    <w:rsid w:val="70AC7790"/>
    <w:rsid w:val="71F17B50"/>
    <w:rsid w:val="722F0678"/>
    <w:rsid w:val="723D3431"/>
    <w:rsid w:val="72763DC3"/>
    <w:rsid w:val="75E86628"/>
    <w:rsid w:val="76525E43"/>
    <w:rsid w:val="765E6EE1"/>
    <w:rsid w:val="77794C6D"/>
    <w:rsid w:val="781B78E5"/>
    <w:rsid w:val="792C76C0"/>
    <w:rsid w:val="7B082483"/>
    <w:rsid w:val="7D2D3A06"/>
    <w:rsid w:val="7E37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textAlignment w:val="center"/>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9"/>
    <w:pPr>
      <w:keepNext/>
      <w:keepLines/>
      <w:spacing w:before="240" w:after="120" w:line="240" w:lineRule="auto"/>
      <w:ind w:firstLine="0" w:firstLineChars="0"/>
      <w:jc w:val="left"/>
      <w:outlineLvl w:val="0"/>
    </w:pPr>
    <w:rPr>
      <w:b/>
      <w:bCs/>
      <w:kern w:val="44"/>
      <w:sz w:val="28"/>
      <w:szCs w:val="44"/>
    </w:rPr>
  </w:style>
  <w:style w:type="paragraph" w:styleId="3">
    <w:name w:val="heading 2"/>
    <w:basedOn w:val="1"/>
    <w:next w:val="1"/>
    <w:link w:val="34"/>
    <w:unhideWhenUsed/>
    <w:qFormat/>
    <w:uiPriority w:val="9"/>
    <w:pPr>
      <w:keepNext/>
      <w:keepLines/>
      <w:spacing w:before="120" w:after="60" w:line="240" w:lineRule="auto"/>
      <w:ind w:firstLine="0" w:firstLineChars="0"/>
      <w:outlineLvl w:val="1"/>
    </w:pPr>
    <w:rPr>
      <w:rFonts w:cstheme="majorBidi"/>
      <w:b/>
      <w:bCs/>
      <w:szCs w:val="32"/>
    </w:rPr>
  </w:style>
  <w:style w:type="paragraph" w:styleId="4">
    <w:name w:val="heading 3"/>
    <w:basedOn w:val="1"/>
    <w:next w:val="1"/>
    <w:link w:val="38"/>
    <w:unhideWhenUsed/>
    <w:qFormat/>
    <w:uiPriority w:val="9"/>
    <w:pPr>
      <w:keepNext/>
      <w:keepLines/>
      <w:spacing w:before="120" w:after="60" w:line="240" w:lineRule="auto"/>
      <w:ind w:firstLine="0" w:firstLineChars="0"/>
      <w:outlineLvl w:val="2"/>
    </w:pPr>
    <w:rPr>
      <w:b/>
      <w:bCs/>
      <w:szCs w:val="32"/>
    </w:rPr>
  </w:style>
  <w:style w:type="paragraph" w:styleId="5">
    <w:name w:val="heading 4"/>
    <w:basedOn w:val="1"/>
    <w:next w:val="1"/>
    <w:link w:val="39"/>
    <w:unhideWhenUsed/>
    <w:qFormat/>
    <w:uiPriority w:val="9"/>
    <w:pPr>
      <w:keepNext/>
      <w:keepLines/>
      <w:spacing w:before="120" w:after="60" w:line="240" w:lineRule="auto"/>
      <w:ind w:firstLine="0" w:firstLineChars="0"/>
      <w:outlineLvl w:val="3"/>
    </w:pPr>
    <w:rPr>
      <w:rFonts w:cstheme="majorBidi"/>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snapToGrid w:val="0"/>
      <w:ind w:firstLine="420"/>
      <w:textAlignment w:val="auto"/>
    </w:pPr>
    <w:rPr>
      <w:rFonts w:ascii="宋体" w:hAnsi="宋体" w:cs="Times New Roman"/>
      <w:sz w:val="28"/>
      <w:szCs w:val="20"/>
    </w:rPr>
  </w:style>
  <w:style w:type="paragraph" w:styleId="7">
    <w:name w:val="annotation text"/>
    <w:basedOn w:val="1"/>
    <w:link w:val="46"/>
    <w:unhideWhenUsed/>
    <w:qFormat/>
    <w:uiPriority w:val="0"/>
    <w:pPr>
      <w:jc w:val="left"/>
      <w:textAlignment w:val="auto"/>
    </w:pPr>
  </w:style>
  <w:style w:type="paragraph" w:styleId="8">
    <w:name w:val="Body Text"/>
    <w:basedOn w:val="1"/>
    <w:next w:val="1"/>
    <w:link w:val="93"/>
    <w:semiHidden/>
    <w:unhideWhenUsed/>
    <w:qFormat/>
    <w:uiPriority w:val="99"/>
    <w:pPr>
      <w:spacing w:after="120"/>
    </w:pPr>
  </w:style>
  <w:style w:type="paragraph" w:styleId="9">
    <w:name w:val="Body Text Indent"/>
    <w:basedOn w:val="1"/>
    <w:semiHidden/>
    <w:unhideWhenUsed/>
    <w:qFormat/>
    <w:uiPriority w:val="99"/>
    <w:pPr>
      <w:spacing w:after="120"/>
      <w:ind w:left="420" w:leftChars="200"/>
    </w:pPr>
  </w:style>
  <w:style w:type="paragraph" w:styleId="10">
    <w:name w:val="List 2"/>
    <w:basedOn w:val="1"/>
    <w:semiHidden/>
    <w:unhideWhenUsed/>
    <w:qFormat/>
    <w:uiPriority w:val="99"/>
    <w:pPr>
      <w:ind w:left="100" w:leftChars="200" w:hanging="200" w:hangingChars="200"/>
      <w:contextualSpacing/>
      <w:textAlignment w:val="auto"/>
    </w:pPr>
    <w:rPr>
      <w:rFonts w:cs="Times New Roman"/>
    </w:rPr>
  </w:style>
  <w:style w:type="paragraph" w:styleId="11">
    <w:name w:val="Date"/>
    <w:basedOn w:val="1"/>
    <w:next w:val="1"/>
    <w:link w:val="66"/>
    <w:semiHidden/>
    <w:unhideWhenUsed/>
    <w:qFormat/>
    <w:uiPriority w:val="99"/>
    <w:pPr>
      <w:ind w:left="100" w:leftChars="2500"/>
    </w:pPr>
  </w:style>
  <w:style w:type="paragraph" w:styleId="12">
    <w:name w:val="Body Text Indent 2"/>
    <w:basedOn w:val="1"/>
    <w:link w:val="87"/>
    <w:unhideWhenUsed/>
    <w:qFormat/>
    <w:uiPriority w:val="99"/>
    <w:pPr>
      <w:spacing w:after="120" w:line="480" w:lineRule="auto"/>
      <w:ind w:left="420" w:leftChars="200" w:firstLine="0" w:firstLineChars="0"/>
      <w:textAlignment w:val="auto"/>
    </w:pPr>
    <w:rPr>
      <w:rFonts w:cs="Times New Roman"/>
      <w:sz w:val="21"/>
      <w:szCs w:val="24"/>
    </w:rPr>
  </w:style>
  <w:style w:type="paragraph" w:styleId="13">
    <w:name w:val="Balloon Text"/>
    <w:basedOn w:val="1"/>
    <w:link w:val="42"/>
    <w:semiHidden/>
    <w:unhideWhenUsed/>
    <w:qFormat/>
    <w:uiPriority w:val="99"/>
    <w:pPr>
      <w:spacing w:line="240" w:lineRule="auto"/>
    </w:pPr>
    <w:rPr>
      <w:sz w:val="18"/>
      <w:szCs w:val="18"/>
    </w:rPr>
  </w:style>
  <w:style w:type="paragraph" w:styleId="14">
    <w:name w:val="footer"/>
    <w:basedOn w:val="1"/>
    <w:link w:val="41"/>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next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List Continue 4"/>
    <w:basedOn w:val="1"/>
    <w:next w:val="1"/>
    <w:qFormat/>
    <w:uiPriority w:val="0"/>
    <w:pPr>
      <w:spacing w:after="120"/>
      <w:ind w:left="1680" w:firstLine="480"/>
    </w:pPr>
    <w:rPr>
      <w:rFonts w:ascii="宋体"/>
    </w:rPr>
  </w:style>
  <w:style w:type="paragraph" w:styleId="17">
    <w:name w:val="Subtitle"/>
    <w:basedOn w:val="1"/>
    <w:next w:val="1"/>
    <w:link w:val="36"/>
    <w:qFormat/>
    <w:uiPriority w:val="11"/>
    <w:pPr>
      <w:spacing w:before="120" w:after="60" w:line="240" w:lineRule="auto"/>
      <w:ind w:firstLine="0" w:firstLineChars="0"/>
      <w:outlineLvl w:val="3"/>
    </w:pPr>
    <w:rPr>
      <w:b/>
      <w:bCs/>
      <w:kern w:val="28"/>
      <w:szCs w:val="32"/>
    </w:rPr>
  </w:style>
  <w:style w:type="paragraph" w:styleId="18">
    <w:name w:val="List"/>
    <w:basedOn w:val="1"/>
    <w:semiHidden/>
    <w:unhideWhenUsed/>
    <w:qFormat/>
    <w:uiPriority w:val="99"/>
    <w:pPr>
      <w:ind w:left="200" w:hanging="200" w:hangingChars="200"/>
      <w:contextualSpacing/>
    </w:pPr>
  </w:style>
  <w:style w:type="paragraph" w:styleId="19">
    <w:name w:val="Body Text Indent 3"/>
    <w:basedOn w:val="1"/>
    <w:link w:val="55"/>
    <w:semiHidden/>
    <w:unhideWhenUsed/>
    <w:qFormat/>
    <w:uiPriority w:val="99"/>
    <w:pPr>
      <w:ind w:left="359" w:leftChars="171" w:firstLine="420"/>
      <w:textAlignment w:val="auto"/>
    </w:pPr>
    <w:rPr>
      <w:rFonts w:cs="Times New Roman"/>
      <w:sz w:val="21"/>
      <w:szCs w:val="24"/>
    </w:rPr>
  </w:style>
  <w:style w:type="paragraph" w:styleId="20">
    <w:name w:val="Normal (Web)"/>
    <w:basedOn w:val="1"/>
    <w:semiHidden/>
    <w:unhideWhenUsed/>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paragraph" w:styleId="21">
    <w:name w:val="Title"/>
    <w:basedOn w:val="1"/>
    <w:next w:val="1"/>
    <w:link w:val="35"/>
    <w:qFormat/>
    <w:uiPriority w:val="10"/>
    <w:pPr>
      <w:spacing w:before="120" w:after="60" w:line="240" w:lineRule="auto"/>
      <w:ind w:firstLine="0" w:firstLineChars="0"/>
      <w:outlineLvl w:val="2"/>
    </w:pPr>
    <w:rPr>
      <w:rFonts w:cstheme="majorBidi"/>
      <w:b/>
      <w:bCs/>
      <w:szCs w:val="32"/>
    </w:rPr>
  </w:style>
  <w:style w:type="paragraph" w:styleId="22">
    <w:name w:val="annotation subject"/>
    <w:basedOn w:val="7"/>
    <w:next w:val="7"/>
    <w:link w:val="50"/>
    <w:semiHidden/>
    <w:unhideWhenUsed/>
    <w:qFormat/>
    <w:uiPriority w:val="99"/>
    <w:pPr>
      <w:textAlignment w:val="center"/>
    </w:pPr>
    <w:rPr>
      <w:b/>
      <w:bCs/>
    </w:rPr>
  </w:style>
  <w:style w:type="paragraph" w:styleId="23">
    <w:name w:val="Body Text First Indent"/>
    <w:basedOn w:val="8"/>
    <w:next w:val="1"/>
    <w:link w:val="94"/>
    <w:semiHidden/>
    <w:unhideWhenUsed/>
    <w:qFormat/>
    <w:uiPriority w:val="99"/>
    <w:pPr>
      <w:ind w:firstLine="420" w:firstLineChars="100"/>
    </w:pPr>
  </w:style>
  <w:style w:type="paragraph" w:styleId="24">
    <w:name w:val="Body Text First Indent 2"/>
    <w:basedOn w:val="9"/>
    <w:link w:val="88"/>
    <w:unhideWhenUsed/>
    <w:qFormat/>
    <w:uiPriority w:val="99"/>
    <w:pPr>
      <w:ind w:left="0" w:leftChars="0" w:firstLine="48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styleId="32">
    <w:name w:val="No Spacing"/>
    <w:basedOn w:val="18"/>
    <w:next w:val="1"/>
    <w:link w:val="49"/>
    <w:qFormat/>
    <w:uiPriority w:val="1"/>
    <w:pPr>
      <w:spacing w:line="240" w:lineRule="auto"/>
      <w:ind w:left="0" w:firstLine="0" w:firstLineChars="0"/>
      <w:jc w:val="center"/>
    </w:pPr>
    <w:rPr>
      <w:sz w:val="21"/>
    </w:rPr>
  </w:style>
  <w:style w:type="character" w:customStyle="1" w:styleId="33">
    <w:name w:val="标题 1 字符"/>
    <w:basedOn w:val="27"/>
    <w:link w:val="2"/>
    <w:qFormat/>
    <w:uiPriority w:val="0"/>
    <w:rPr>
      <w:rFonts w:ascii="Times New Roman" w:hAnsi="Times New Roman" w:eastAsia="宋体"/>
      <w:b/>
      <w:bCs/>
      <w:kern w:val="44"/>
      <w:sz w:val="28"/>
      <w:szCs w:val="44"/>
    </w:rPr>
  </w:style>
  <w:style w:type="character" w:customStyle="1" w:styleId="34">
    <w:name w:val="标题 2 字符"/>
    <w:basedOn w:val="27"/>
    <w:link w:val="3"/>
    <w:qFormat/>
    <w:uiPriority w:val="9"/>
    <w:rPr>
      <w:rFonts w:ascii="Times New Roman" w:hAnsi="Times New Roman" w:eastAsia="宋体" w:cstheme="majorBidi"/>
      <w:b/>
      <w:bCs/>
      <w:sz w:val="24"/>
      <w:szCs w:val="32"/>
    </w:rPr>
  </w:style>
  <w:style w:type="character" w:customStyle="1" w:styleId="35">
    <w:name w:val="标题 字符"/>
    <w:basedOn w:val="27"/>
    <w:link w:val="21"/>
    <w:qFormat/>
    <w:uiPriority w:val="10"/>
    <w:rPr>
      <w:rFonts w:ascii="Times New Roman" w:hAnsi="Times New Roman" w:eastAsia="宋体" w:cstheme="majorBidi"/>
      <w:b/>
      <w:bCs/>
      <w:sz w:val="24"/>
      <w:szCs w:val="32"/>
    </w:rPr>
  </w:style>
  <w:style w:type="character" w:customStyle="1" w:styleId="36">
    <w:name w:val="副标题 字符"/>
    <w:basedOn w:val="27"/>
    <w:link w:val="17"/>
    <w:qFormat/>
    <w:uiPriority w:val="11"/>
    <w:rPr>
      <w:rFonts w:ascii="Times New Roman" w:hAnsi="Times New Roman" w:eastAsia="宋体"/>
      <w:b/>
      <w:bCs/>
      <w:kern w:val="28"/>
      <w:sz w:val="24"/>
      <w:szCs w:val="32"/>
    </w:rPr>
  </w:style>
  <w:style w:type="paragraph" w:customStyle="1" w:styleId="37">
    <w:name w:val="表题"/>
    <w:basedOn w:val="1"/>
    <w:next w:val="1"/>
    <w:qFormat/>
    <w:uiPriority w:val="0"/>
    <w:pPr>
      <w:spacing w:before="50" w:beforeLines="50" w:line="240" w:lineRule="auto"/>
      <w:ind w:firstLine="0" w:firstLineChars="0"/>
      <w:jc w:val="center"/>
    </w:pPr>
    <w:rPr>
      <w:b/>
      <w:sz w:val="21"/>
    </w:rPr>
  </w:style>
  <w:style w:type="character" w:customStyle="1" w:styleId="38">
    <w:name w:val="标题 3 字符"/>
    <w:basedOn w:val="27"/>
    <w:link w:val="4"/>
    <w:qFormat/>
    <w:uiPriority w:val="9"/>
    <w:rPr>
      <w:rFonts w:ascii="Times New Roman" w:hAnsi="Times New Roman" w:eastAsia="宋体"/>
      <w:b/>
      <w:bCs/>
      <w:sz w:val="24"/>
      <w:szCs w:val="32"/>
    </w:rPr>
  </w:style>
  <w:style w:type="character" w:customStyle="1" w:styleId="39">
    <w:name w:val="标题 4 字符"/>
    <w:basedOn w:val="27"/>
    <w:link w:val="5"/>
    <w:qFormat/>
    <w:uiPriority w:val="9"/>
    <w:rPr>
      <w:rFonts w:ascii="Times New Roman" w:hAnsi="Times New Roman" w:eastAsia="宋体" w:cstheme="majorBidi"/>
      <w:b/>
      <w:bCs/>
      <w:sz w:val="24"/>
      <w:szCs w:val="28"/>
    </w:rPr>
  </w:style>
  <w:style w:type="character" w:customStyle="1" w:styleId="40">
    <w:name w:val="页眉 字符"/>
    <w:basedOn w:val="27"/>
    <w:link w:val="15"/>
    <w:qFormat/>
    <w:uiPriority w:val="99"/>
    <w:rPr>
      <w:rFonts w:ascii="Times New Roman" w:hAnsi="Times New Roman" w:eastAsia="宋体"/>
      <w:sz w:val="18"/>
      <w:szCs w:val="18"/>
    </w:rPr>
  </w:style>
  <w:style w:type="character" w:customStyle="1" w:styleId="41">
    <w:name w:val="页脚 字符"/>
    <w:basedOn w:val="27"/>
    <w:link w:val="14"/>
    <w:qFormat/>
    <w:uiPriority w:val="99"/>
    <w:rPr>
      <w:rFonts w:ascii="Times New Roman" w:hAnsi="Times New Roman" w:eastAsia="宋体"/>
      <w:sz w:val="18"/>
      <w:szCs w:val="18"/>
    </w:rPr>
  </w:style>
  <w:style w:type="character" w:customStyle="1" w:styleId="42">
    <w:name w:val="批注框文本 字符"/>
    <w:basedOn w:val="27"/>
    <w:link w:val="13"/>
    <w:semiHidden/>
    <w:qFormat/>
    <w:uiPriority w:val="99"/>
    <w:rPr>
      <w:rFonts w:ascii="Times New Roman" w:hAnsi="Times New Roman" w:eastAsia="宋体"/>
      <w:sz w:val="18"/>
      <w:szCs w:val="18"/>
    </w:rPr>
  </w:style>
  <w:style w:type="character" w:customStyle="1" w:styleId="43">
    <w:name w:val="表格文字2 Char"/>
    <w:link w:val="44"/>
    <w:qFormat/>
    <w:uiPriority w:val="0"/>
    <w:rPr>
      <w:rFonts w:ascii="宋体" w:hAnsi="宋体" w:eastAsia="宋体" w:cs="宋体"/>
      <w:bCs/>
      <w:spacing w:val="5"/>
      <w:kern w:val="0"/>
      <w:szCs w:val="21"/>
    </w:rPr>
  </w:style>
  <w:style w:type="paragraph" w:customStyle="1" w:styleId="44">
    <w:name w:val="表格文字2"/>
    <w:basedOn w:val="1"/>
    <w:link w:val="43"/>
    <w:qFormat/>
    <w:uiPriority w:val="0"/>
    <w:pPr>
      <w:tabs>
        <w:tab w:val="left" w:pos="277"/>
        <w:tab w:val="left" w:pos="600"/>
        <w:tab w:val="left" w:pos="780"/>
        <w:tab w:val="left" w:pos="2517"/>
      </w:tabs>
      <w:adjustRightInd w:val="0"/>
      <w:spacing w:before="60" w:line="240" w:lineRule="auto"/>
      <w:ind w:firstLine="0" w:firstLineChars="0"/>
      <w:jc w:val="center"/>
      <w:textAlignment w:val="auto"/>
    </w:pPr>
    <w:rPr>
      <w:rFonts w:ascii="宋体" w:hAnsi="宋体" w:cs="宋体"/>
      <w:bCs/>
      <w:spacing w:val="5"/>
      <w:kern w:val="0"/>
      <w:sz w:val="21"/>
      <w:szCs w:val="21"/>
    </w:rPr>
  </w:style>
  <w:style w:type="character" w:customStyle="1" w:styleId="45">
    <w:name w:val="showhidemsg"/>
    <w:basedOn w:val="27"/>
    <w:qFormat/>
    <w:uiPriority w:val="0"/>
  </w:style>
  <w:style w:type="character" w:customStyle="1" w:styleId="46">
    <w:name w:val="批注文字 字符"/>
    <w:basedOn w:val="27"/>
    <w:link w:val="7"/>
    <w:qFormat/>
    <w:uiPriority w:val="0"/>
    <w:rPr>
      <w:rFonts w:ascii="Times New Roman" w:hAnsi="Times New Roman" w:eastAsia="宋体"/>
      <w:sz w:val="24"/>
    </w:rPr>
  </w:style>
  <w:style w:type="character" w:customStyle="1" w:styleId="47">
    <w:name w:val="未处理的提及1"/>
    <w:basedOn w:val="27"/>
    <w:semiHidden/>
    <w:unhideWhenUsed/>
    <w:qFormat/>
    <w:uiPriority w:val="99"/>
    <w:rPr>
      <w:color w:val="605E5C"/>
      <w:shd w:val="clear" w:color="auto" w:fill="E1DFDD"/>
    </w:rPr>
  </w:style>
  <w:style w:type="paragraph" w:customStyle="1" w:styleId="48">
    <w:name w:val="无间隔1"/>
    <w:basedOn w:val="18"/>
    <w:next w:val="1"/>
    <w:qFormat/>
    <w:uiPriority w:val="1"/>
    <w:pPr>
      <w:spacing w:line="240" w:lineRule="auto"/>
      <w:ind w:left="0" w:firstLine="0" w:firstLineChars="0"/>
      <w:jc w:val="center"/>
      <w:textAlignment w:val="auto"/>
    </w:pPr>
    <w:rPr>
      <w:sz w:val="21"/>
    </w:rPr>
  </w:style>
  <w:style w:type="character" w:customStyle="1" w:styleId="49">
    <w:name w:val="无间隔 字符"/>
    <w:basedOn w:val="27"/>
    <w:link w:val="32"/>
    <w:qFormat/>
    <w:uiPriority w:val="1"/>
    <w:rPr>
      <w:rFonts w:ascii="Times New Roman" w:hAnsi="Times New Roman" w:eastAsia="宋体"/>
    </w:rPr>
  </w:style>
  <w:style w:type="character" w:customStyle="1" w:styleId="50">
    <w:name w:val="批注主题 字符"/>
    <w:basedOn w:val="46"/>
    <w:link w:val="22"/>
    <w:semiHidden/>
    <w:qFormat/>
    <w:uiPriority w:val="99"/>
    <w:rPr>
      <w:rFonts w:ascii="Times New Roman" w:hAnsi="Times New Roman" w:eastAsia="宋体"/>
      <w:b/>
      <w:bCs/>
      <w:sz w:val="24"/>
    </w:rPr>
  </w:style>
  <w:style w:type="paragraph" w:customStyle="1" w:styleId="51">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52">
    <w:name w:val="msonormal"/>
    <w:basedOn w:val="1"/>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character" w:customStyle="1" w:styleId="53">
    <w:name w:val="标题 字符1"/>
    <w:basedOn w:val="27"/>
    <w:qFormat/>
    <w:uiPriority w:val="10"/>
    <w:rPr>
      <w:rFonts w:asciiTheme="majorHAnsi" w:hAnsiTheme="majorHAnsi" w:eastAsiaTheme="majorEastAsia" w:cstheme="majorBidi"/>
      <w:b/>
      <w:bCs/>
      <w:sz w:val="32"/>
      <w:szCs w:val="32"/>
    </w:rPr>
  </w:style>
  <w:style w:type="character" w:customStyle="1" w:styleId="54">
    <w:name w:val="副标题 字符1"/>
    <w:basedOn w:val="27"/>
    <w:qFormat/>
    <w:uiPriority w:val="11"/>
    <w:rPr>
      <w:b/>
      <w:bCs/>
      <w:kern w:val="28"/>
      <w:sz w:val="32"/>
      <w:szCs w:val="32"/>
    </w:rPr>
  </w:style>
  <w:style w:type="character" w:customStyle="1" w:styleId="55">
    <w:name w:val="正文文本缩进 3 字符"/>
    <w:basedOn w:val="27"/>
    <w:link w:val="19"/>
    <w:semiHidden/>
    <w:qFormat/>
    <w:uiPriority w:val="99"/>
    <w:rPr>
      <w:rFonts w:ascii="Times New Roman" w:hAnsi="Times New Roman" w:eastAsia="宋体" w:cs="Times New Roman"/>
      <w:szCs w:val="24"/>
    </w:rPr>
  </w:style>
  <w:style w:type="paragraph" w:styleId="56">
    <w:name w:val="List Paragraph"/>
    <w:basedOn w:val="1"/>
    <w:qFormat/>
    <w:uiPriority w:val="34"/>
    <w:pPr>
      <w:ind w:firstLine="420"/>
      <w:textAlignment w:val="auto"/>
    </w:pPr>
    <w:rPr>
      <w:rFonts w:cs="Times New Roman"/>
    </w:rPr>
  </w:style>
  <w:style w:type="paragraph" w:customStyle="1" w:styleId="57">
    <w:name w:val="表格字体"/>
    <w:basedOn w:val="1"/>
    <w:qFormat/>
    <w:uiPriority w:val="99"/>
    <w:pPr>
      <w:adjustRightInd w:val="0"/>
      <w:spacing w:line="240" w:lineRule="auto"/>
      <w:ind w:firstLine="0" w:firstLineChars="0"/>
      <w:jc w:val="center"/>
      <w:textAlignment w:val="auto"/>
    </w:pPr>
    <w:rPr>
      <w:rFonts w:cs="Times New Roman"/>
      <w:sz w:val="21"/>
      <w:szCs w:val="21"/>
    </w:rPr>
  </w:style>
  <w:style w:type="character" w:customStyle="1" w:styleId="58">
    <w:name w:val="表内 字符"/>
    <w:link w:val="59"/>
    <w:qFormat/>
    <w:uiPriority w:val="0"/>
    <w:rPr>
      <w:bCs/>
      <w:color w:val="000000"/>
      <w:szCs w:val="21"/>
    </w:rPr>
  </w:style>
  <w:style w:type="paragraph" w:customStyle="1" w:styleId="59">
    <w:name w:val="表内"/>
    <w:basedOn w:val="10"/>
    <w:link w:val="58"/>
    <w:qFormat/>
    <w:uiPriority w:val="0"/>
    <w:pPr>
      <w:widowControl/>
      <w:spacing w:line="240" w:lineRule="auto"/>
      <w:ind w:left="0" w:leftChars="0" w:firstLine="0" w:firstLineChars="0"/>
      <w:jc w:val="center"/>
    </w:pPr>
    <w:rPr>
      <w:rFonts w:asciiTheme="minorHAnsi" w:hAnsiTheme="minorHAnsi" w:eastAsiaTheme="minorEastAsia" w:cstheme="minorBidi"/>
      <w:bCs/>
      <w:color w:val="000000"/>
      <w:sz w:val="21"/>
      <w:szCs w:val="21"/>
    </w:rPr>
  </w:style>
  <w:style w:type="paragraph" w:customStyle="1" w:styleId="60">
    <w:name w:val="Char Char Char Char Char Char Char Char Char"/>
    <w:basedOn w:val="1"/>
    <w:qFormat/>
    <w:uiPriority w:val="99"/>
    <w:pPr>
      <w:spacing w:line="240" w:lineRule="auto"/>
      <w:ind w:firstLine="0" w:firstLineChars="0"/>
      <w:textAlignment w:val="auto"/>
    </w:pPr>
    <w:rPr>
      <w:rFonts w:cs="Times New Roman"/>
      <w:sz w:val="21"/>
      <w:szCs w:val="24"/>
    </w:rPr>
  </w:style>
  <w:style w:type="character" w:styleId="61">
    <w:name w:val="Placeholder Text"/>
    <w:basedOn w:val="27"/>
    <w:semiHidden/>
    <w:qFormat/>
    <w:uiPriority w:val="99"/>
    <w:rPr>
      <w:color w:val="808080"/>
    </w:rPr>
  </w:style>
  <w:style w:type="character" w:customStyle="1" w:styleId="62">
    <w:name w:val="未处理的提及11"/>
    <w:basedOn w:val="27"/>
    <w:semiHidden/>
    <w:qFormat/>
    <w:uiPriority w:val="99"/>
    <w:rPr>
      <w:color w:val="605E5C"/>
      <w:shd w:val="clear" w:color="auto" w:fill="E1DFDD"/>
    </w:rPr>
  </w:style>
  <w:style w:type="character" w:customStyle="1" w:styleId="63">
    <w:name w:val="标题 1 Char Char Char"/>
    <w:qFormat/>
    <w:uiPriority w:val="0"/>
    <w:rPr>
      <w:rFonts w:hint="eastAsia" w:ascii="宋体" w:hAnsi="宋体" w:eastAsia="宋体"/>
      <w:bCs/>
      <w:sz w:val="28"/>
    </w:rPr>
  </w:style>
  <w:style w:type="character" w:customStyle="1" w:styleId="64">
    <w:name w:val="表格文字 Char Char"/>
    <w:qFormat/>
    <w:uiPriority w:val="0"/>
    <w:rPr>
      <w:szCs w:val="21"/>
    </w:rPr>
  </w:style>
  <w:style w:type="table" w:customStyle="1" w:styleId="65">
    <w:name w:val="网格型1"/>
    <w:basedOn w:val="2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日期 字符"/>
    <w:basedOn w:val="27"/>
    <w:link w:val="11"/>
    <w:semiHidden/>
    <w:qFormat/>
    <w:uiPriority w:val="99"/>
    <w:rPr>
      <w:rFonts w:ascii="Times New Roman" w:hAnsi="Times New Roman" w:eastAsia="宋体"/>
      <w:sz w:val="24"/>
    </w:rPr>
  </w:style>
  <w:style w:type="table" w:customStyle="1" w:styleId="67">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文本"/>
    <w:link w:val="74"/>
    <w:qFormat/>
    <w:uiPriority w:val="0"/>
    <w:pPr>
      <w:adjustRightInd w:val="0"/>
      <w:snapToGrid w:val="0"/>
      <w:spacing w:line="480" w:lineRule="exact"/>
      <w:ind w:firstLine="200" w:firstLineChars="200"/>
      <w:jc w:val="both"/>
    </w:pPr>
    <w:rPr>
      <w:rFonts w:ascii="宋体" w:hAnsi="Calibri" w:eastAsia="宋体" w:cs="Times New Roman"/>
      <w:spacing w:val="5"/>
      <w:sz w:val="25"/>
      <w:szCs w:val="22"/>
      <w:lang w:val="en-US" w:eastAsia="zh-CN" w:bidi="ar-SA"/>
    </w:rPr>
  </w:style>
  <w:style w:type="paragraph" w:customStyle="1" w:styleId="69">
    <w:name w:val="表内居中"/>
    <w:qFormat/>
    <w:uiPriority w:val="0"/>
    <w:pPr>
      <w:tabs>
        <w:tab w:val="right" w:leader="middleDot" w:pos="7938"/>
      </w:tabs>
      <w:adjustRightInd w:val="0"/>
      <w:snapToGrid w:val="0"/>
      <w:jc w:val="center"/>
    </w:pPr>
    <w:rPr>
      <w:rFonts w:ascii="宋体" w:hAnsi="宋体" w:eastAsia="宋体" w:cs="Times New Roman"/>
      <w:sz w:val="21"/>
      <w:lang w:val="en-US" w:eastAsia="zh-CN" w:bidi="ar-SA"/>
    </w:rPr>
  </w:style>
  <w:style w:type="paragraph" w:customStyle="1" w:styleId="70">
    <w:name w:val="表名称"/>
    <w:link w:val="72"/>
    <w:autoRedefine/>
    <w:qFormat/>
    <w:uiPriority w:val="0"/>
    <w:pPr>
      <w:adjustRightInd w:val="0"/>
      <w:snapToGrid w:val="0"/>
      <w:ind w:firstLine="480"/>
      <w:jc w:val="center"/>
    </w:pPr>
    <w:rPr>
      <w:rFonts w:ascii="Times New Roman" w:hAnsi="Times New Roman" w:eastAsia="宋体" w:cs="Times New Roman"/>
      <w:b/>
      <w:kern w:val="2"/>
      <w:sz w:val="21"/>
      <w:szCs w:val="21"/>
      <w:lang w:val="en-US" w:eastAsia="zh-CN" w:bidi="ar-SA"/>
    </w:rPr>
  </w:style>
  <w:style w:type="paragraph" w:customStyle="1" w:styleId="71">
    <w:name w:val="表内两端"/>
    <w:link w:val="73"/>
    <w:autoRedefine/>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72">
    <w:name w:val="表名称 Char"/>
    <w:link w:val="70"/>
    <w:autoRedefine/>
    <w:qFormat/>
    <w:uiPriority w:val="0"/>
    <w:rPr>
      <w:b/>
      <w:kern w:val="2"/>
      <w:sz w:val="21"/>
      <w:szCs w:val="21"/>
    </w:rPr>
  </w:style>
  <w:style w:type="character" w:customStyle="1" w:styleId="73">
    <w:name w:val="表内两端 Char"/>
    <w:link w:val="71"/>
    <w:autoRedefine/>
    <w:qFormat/>
    <w:uiPriority w:val="0"/>
    <w:rPr>
      <w:rFonts w:ascii="宋体" w:hAnsi="Times New Roman" w:eastAsia="宋体" w:cs="Times New Roman"/>
      <w:kern w:val="0"/>
      <w:szCs w:val="20"/>
    </w:rPr>
  </w:style>
  <w:style w:type="character" w:customStyle="1" w:styleId="74">
    <w:name w:val="文本 Char"/>
    <w:link w:val="68"/>
    <w:autoRedefine/>
    <w:qFormat/>
    <w:uiPriority w:val="0"/>
    <w:rPr>
      <w:rFonts w:ascii="宋体" w:hAnsi="Calibri" w:eastAsia="宋体" w:cs="Times New Roman"/>
      <w:spacing w:val="5"/>
      <w:kern w:val="0"/>
      <w:sz w:val="25"/>
    </w:rPr>
  </w:style>
  <w:style w:type="character" w:customStyle="1" w:styleId="75">
    <w:name w:val="fontstyle21"/>
    <w:autoRedefine/>
    <w:qFormat/>
    <w:uiPriority w:val="0"/>
    <w:rPr>
      <w:rFonts w:hint="default" w:ascii="Times New Roman" w:hAnsi="Times New Roman" w:cs="Times New Roman"/>
      <w:b/>
      <w:bCs/>
      <w:color w:val="000000"/>
      <w:sz w:val="24"/>
      <w:szCs w:val="24"/>
    </w:rPr>
  </w:style>
  <w:style w:type="paragraph" w:customStyle="1" w:styleId="76">
    <w:name w:val="_Style 5"/>
    <w:basedOn w:val="1"/>
    <w:autoRedefine/>
    <w:qFormat/>
    <w:uiPriority w:val="0"/>
    <w:pPr>
      <w:ind w:firstLine="420"/>
    </w:pPr>
    <w:rPr>
      <w:rFonts w:ascii="Calibri" w:hAnsi="Calibri"/>
    </w:rPr>
  </w:style>
  <w:style w:type="paragraph" w:customStyle="1" w:styleId="77">
    <w:name w:val="lxy表头"/>
    <w:basedOn w:val="1"/>
    <w:autoRedefine/>
    <w:qFormat/>
    <w:uiPriority w:val="0"/>
    <w:pPr>
      <w:autoSpaceDE w:val="0"/>
      <w:autoSpaceDN w:val="0"/>
      <w:adjustRightInd w:val="0"/>
      <w:snapToGrid w:val="0"/>
      <w:jc w:val="center"/>
    </w:pPr>
    <w:rPr>
      <w:rFonts w:ascii="宋体" w:hAnsi="宋体" w:cs="宋体"/>
      <w:b/>
      <w:color w:val="0000FF"/>
      <w:kern w:val="0"/>
    </w:rPr>
  </w:style>
  <w:style w:type="paragraph" w:customStyle="1" w:styleId="78">
    <w:name w:val="表内文字"/>
    <w:qFormat/>
    <w:uiPriority w:val="0"/>
    <w:pPr>
      <w:adjustRightInd w:val="0"/>
      <w:snapToGrid w:val="0"/>
      <w:jc w:val="center"/>
    </w:pPr>
    <w:rPr>
      <w:rFonts w:ascii="宋体" w:hAnsi="宋体" w:eastAsia="宋体" w:cs="Times New Roman"/>
      <w:spacing w:val="-10"/>
      <w:kern w:val="2"/>
      <w:sz w:val="23"/>
      <w:szCs w:val="22"/>
      <w:lang w:val="en-US" w:eastAsia="zh-CN" w:bidi="en-US"/>
    </w:rPr>
  </w:style>
  <w:style w:type="paragraph" w:customStyle="1" w:styleId="79">
    <w:name w:val="图表名称"/>
    <w:basedOn w:val="1"/>
    <w:next w:val="1"/>
    <w:link w:val="81"/>
    <w:qFormat/>
    <w:uiPriority w:val="0"/>
    <w:pPr>
      <w:tabs>
        <w:tab w:val="left" w:pos="3390"/>
      </w:tabs>
      <w:adjustRightInd w:val="0"/>
      <w:snapToGrid w:val="0"/>
      <w:spacing w:line="240" w:lineRule="auto"/>
      <w:ind w:firstLine="0" w:firstLineChars="0"/>
      <w:jc w:val="center"/>
      <w:textAlignment w:val="auto"/>
    </w:pPr>
    <w:rPr>
      <w:rFonts w:ascii="宋体" w:hAnsi="宋体" w:cs="宋体"/>
      <w:b/>
      <w:szCs w:val="25"/>
      <w:lang w:val="zh-CN" w:bidi="zh-CN"/>
    </w:rPr>
  </w:style>
  <w:style w:type="paragraph" w:customStyle="1" w:styleId="80">
    <w:name w:val="表中文字"/>
    <w:basedOn w:val="1"/>
    <w:qFormat/>
    <w:uiPriority w:val="0"/>
    <w:pPr>
      <w:tabs>
        <w:tab w:val="left" w:pos="2700"/>
      </w:tabs>
      <w:adjustRightInd w:val="0"/>
      <w:snapToGrid w:val="0"/>
      <w:spacing w:line="240" w:lineRule="auto"/>
      <w:ind w:firstLine="0" w:firstLineChars="0"/>
      <w:jc w:val="center"/>
    </w:pPr>
    <w:rPr>
      <w:sz w:val="21"/>
      <w:szCs w:val="21"/>
    </w:rPr>
  </w:style>
  <w:style w:type="character" w:customStyle="1" w:styleId="81">
    <w:name w:val="图表名称 Char"/>
    <w:link w:val="79"/>
    <w:qFormat/>
    <w:uiPriority w:val="0"/>
    <w:rPr>
      <w:rFonts w:ascii="宋体" w:hAnsi="宋体" w:eastAsia="宋体" w:cs="宋体"/>
      <w:b/>
      <w:kern w:val="2"/>
      <w:sz w:val="24"/>
      <w:szCs w:val="25"/>
      <w:lang w:val="zh-CN" w:bidi="zh-CN"/>
    </w:rPr>
  </w:style>
  <w:style w:type="paragraph" w:customStyle="1" w:styleId="82">
    <w:name w:val="样式 正文文本缩进 + 行距: 1.5 倍行距"/>
    <w:basedOn w:val="9"/>
    <w:qFormat/>
    <w:uiPriority w:val="0"/>
    <w:pPr>
      <w:ind w:firstLine="560"/>
    </w:pPr>
    <w:rPr>
      <w:rFonts w:cs="宋体"/>
      <w:sz w:val="28"/>
    </w:rPr>
  </w:style>
  <w:style w:type="paragraph" w:customStyle="1" w:styleId="83">
    <w:name w:val="【表格】"/>
    <w:next w:val="1"/>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84">
    <w:name w:val="表格"/>
    <w:next w:val="1"/>
    <w:link w:val="85"/>
    <w:qFormat/>
    <w:uiPriority w:val="0"/>
    <w:pPr>
      <w:adjustRightInd w:val="0"/>
      <w:snapToGrid w:val="0"/>
      <w:jc w:val="center"/>
    </w:pPr>
    <w:rPr>
      <w:rFonts w:ascii="Times New Roman" w:hAnsi="Times New Roman" w:eastAsia="宋体" w:cs="Times New Roman"/>
      <w:sz w:val="21"/>
      <w:lang w:val="en-US" w:eastAsia="zh-CN" w:bidi="ar-SA"/>
    </w:rPr>
  </w:style>
  <w:style w:type="character" w:customStyle="1" w:styleId="85">
    <w:name w:val="表格 Char"/>
    <w:link w:val="84"/>
    <w:qFormat/>
    <w:locked/>
    <w:uiPriority w:val="0"/>
    <w:rPr>
      <w:sz w:val="21"/>
    </w:rPr>
  </w:style>
  <w:style w:type="table" w:customStyle="1" w:styleId="86">
    <w:name w:val="网格型3"/>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正文文本缩进 2 字符"/>
    <w:basedOn w:val="27"/>
    <w:link w:val="12"/>
    <w:qFormat/>
    <w:uiPriority w:val="99"/>
    <w:rPr>
      <w:kern w:val="2"/>
      <w:sz w:val="21"/>
      <w:szCs w:val="24"/>
    </w:rPr>
  </w:style>
  <w:style w:type="character" w:customStyle="1" w:styleId="88">
    <w:name w:val="正文文本首行缩进 2 字符"/>
    <w:basedOn w:val="27"/>
    <w:link w:val="24"/>
    <w:qFormat/>
    <w:uiPriority w:val="99"/>
    <w:rPr>
      <w:rFonts w:cstheme="minorBidi"/>
      <w:kern w:val="2"/>
      <w:sz w:val="24"/>
      <w:szCs w:val="22"/>
    </w:rPr>
  </w:style>
  <w:style w:type="paragraph" w:customStyle="1" w:styleId="89">
    <w:name w:val="正文格式"/>
    <w:basedOn w:val="23"/>
    <w:next w:val="8"/>
    <w:link w:val="91"/>
    <w:qFormat/>
    <w:uiPriority w:val="0"/>
    <w:pPr>
      <w:spacing w:after="0"/>
      <w:ind w:firstLine="200" w:firstLineChars="200"/>
    </w:pPr>
    <w:rPr>
      <w:rFonts w:ascii="宋体" w:cs="Times New Roman"/>
      <w:szCs w:val="24"/>
    </w:rPr>
  </w:style>
  <w:style w:type="paragraph" w:customStyle="1" w:styleId="90">
    <w:name w:val="表头A"/>
    <w:basedOn w:val="1"/>
    <w:link w:val="92"/>
    <w:qFormat/>
    <w:uiPriority w:val="0"/>
    <w:pPr>
      <w:adjustRightInd w:val="0"/>
      <w:snapToGrid w:val="0"/>
      <w:spacing w:line="400" w:lineRule="exact"/>
      <w:ind w:firstLine="420"/>
      <w:jc w:val="center"/>
      <w:textAlignment w:val="auto"/>
    </w:pPr>
    <w:rPr>
      <w:rFonts w:cs="Times New Roman"/>
      <w:b/>
      <w:szCs w:val="24"/>
    </w:rPr>
  </w:style>
  <w:style w:type="character" w:customStyle="1" w:styleId="91">
    <w:name w:val="正文格式 Char"/>
    <w:basedOn w:val="27"/>
    <w:link w:val="89"/>
    <w:qFormat/>
    <w:uiPriority w:val="0"/>
    <w:rPr>
      <w:rFonts w:ascii="宋体"/>
      <w:kern w:val="2"/>
      <w:sz w:val="24"/>
      <w:szCs w:val="24"/>
    </w:rPr>
  </w:style>
  <w:style w:type="character" w:customStyle="1" w:styleId="92">
    <w:name w:val="表头A Char"/>
    <w:basedOn w:val="27"/>
    <w:link w:val="90"/>
    <w:qFormat/>
    <w:uiPriority w:val="0"/>
    <w:rPr>
      <w:b/>
      <w:kern w:val="2"/>
      <w:sz w:val="24"/>
      <w:szCs w:val="24"/>
    </w:rPr>
  </w:style>
  <w:style w:type="character" w:customStyle="1" w:styleId="93">
    <w:name w:val="正文文本 字符"/>
    <w:basedOn w:val="27"/>
    <w:link w:val="8"/>
    <w:semiHidden/>
    <w:qFormat/>
    <w:uiPriority w:val="99"/>
    <w:rPr>
      <w:rFonts w:cstheme="minorBidi"/>
      <w:kern w:val="2"/>
      <w:sz w:val="24"/>
      <w:szCs w:val="22"/>
    </w:rPr>
  </w:style>
  <w:style w:type="character" w:customStyle="1" w:styleId="94">
    <w:name w:val="正文文本首行缩进 字符"/>
    <w:basedOn w:val="93"/>
    <w:link w:val="23"/>
    <w:semiHidden/>
    <w:qFormat/>
    <w:uiPriority w:val="99"/>
    <w:rPr>
      <w:rFonts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ee367c0b-b971-436f-9293-993cf189a668</errorID>
      <errorWord>2月30日</errorWord>
      <group>L1_Other</group>
      <groupName>其他问题</groupName>
      <ability>L2_UserTypo</ability>
      <abilityName>自定义错误</abilityName>
      <candidateList>
        <item>建议核实</item>
      </candidateList>
      <explain>来自自定义错词库。</explain>
      <paraID>42E9BBF2</paraID>
      <start>173</start>
      <end>178</end>
      <status>ignored</status>
      <modifiedWord/>
      <trackRevisions>false</trackRevisions>
    </reviewItem>
    <reviewItem>
      <errorID>e9b59f6b-bc54-47d6-93eb-5ff6e38fd5c9</errorID>
      <errorWord>、及</errorWord>
      <group>L1_Other</group>
      <groupName>其他问题</groupName>
      <ability>L2_UserTypo</ability>
      <abilityName>自定义错误</abilityName>
      <candidateList>
        <item>及</item>
      </candidateList>
      <explain>来自自定义错词库。</explain>
      <paraID>627DF1E4</paraID>
      <start>37</start>
      <end>39</end>
      <status>ignored</status>
      <modifiedWord/>
      <trackRevisions>false</trackRevisions>
    </reviewItem>
    <reviewItem>
      <errorID>555e8961-bd43-4dd6-a80d-f19d6799c6e2</errorID>
      <errorWord>2月29日</errorWord>
      <group>L1_Other</group>
      <groupName>其他问题</groupName>
      <ability>L2_UserTypo</ability>
      <abilityName>自定义错误</abilityName>
      <candidateList>
        <item>建议核实</item>
      </candidateList>
      <explain>来自自定义错词库。</explain>
      <paraID>51067983</paraID>
      <start>26</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2B4BB-88E6-4FDB-87EA-293A652F40CB}">
  <ds:schemaRefs/>
</ds:datastoreItem>
</file>

<file path=customXml/itemProps3.xml><?xml version="1.0" encoding="utf-8"?>
<ds:datastoreItem xmlns:ds="http://schemas.openxmlformats.org/officeDocument/2006/customXml" ds:itemID="{0381cf8d-4e48-4663-b3a9-ffa2a97c2e3b}">
  <ds:schemaRefs/>
</ds:datastoreItem>
</file>

<file path=docProps/app.xml><?xml version="1.0" encoding="utf-8"?>
<Properties xmlns="http://schemas.openxmlformats.org/officeDocument/2006/extended-properties" xmlns:vt="http://schemas.openxmlformats.org/officeDocument/2006/docPropsVTypes">
  <Template>Normal</Template>
  <Pages>80</Pages>
  <Words>14538</Words>
  <Characters>15092</Characters>
  <Lines>461</Lines>
  <Paragraphs>129</Paragraphs>
  <TotalTime>558</TotalTime>
  <ScaleCrop>false</ScaleCrop>
  <LinksUpToDate>false</LinksUpToDate>
  <CharactersWithSpaces>15172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2025-06-12T10:32:00Z</dcterms:created>
  <dc:creator>鲍 宏岩</dc:creator>
  <cp:lastModifiedBy>WPS_1562320662</cp:lastModifiedBy>
  <cp:lastPrinted>2025-11-26T04:24:00Z</cp:lastPrinted>
  <dcterms:modified xsi:type="dcterms:W3CDTF">2025-12-08T11:14:50Z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41920F5FD95B4D20A67CAE18231E12DA_13</vt:lpwstr>
  </property>
  <property fmtid="{D5CDD505-2E9C-101B-9397-08002B2CF9AE}" pid="4" name="KSOTemplateDocerSaveRecord">
    <vt:lpwstr>eyJoZGlkIjoiNGRhODgyNjQ5YTE5ZjFmYjE2NDEwOTU4OTE2MjU0N2MiLCJ1c2VySWQiOiI2MDE2NTE5NzkifQ==</vt:lpwstr>
  </property>
</Properties>
</file>