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snapToGrid/>
        <w:rPr>
          <w:rFonts w:hint="eastAsia" w:ascii="Times New Roman" w:hAnsi="Times New Roman" w:eastAsia="宋体"/>
          <w:caps w:val="0"/>
          <w:color w:val="000000" w:themeColor="text1"/>
          <w:sz w:val="36"/>
          <w:szCs w:val="36"/>
          <w:highlight w:val="none"/>
          <w14:textFill>
            <w14:solidFill>
              <w14:schemeClr w14:val="tx1"/>
            </w14:solidFill>
          </w14:textFill>
        </w:rPr>
      </w:pPr>
    </w:p>
    <w:p>
      <w:pPr>
        <w:pageBreakBefore w:val="0"/>
        <w:kinsoku/>
        <w:wordWrap/>
        <w:bidi w:val="0"/>
        <w:adjustRightInd/>
        <w:snapToGrid/>
        <w:rPr>
          <w:rFonts w:ascii="Times New Roman" w:hAnsi="Times New Roman" w:eastAsia="宋体"/>
          <w:caps w:val="0"/>
          <w:color w:val="000000" w:themeColor="text1"/>
          <w:sz w:val="36"/>
          <w:szCs w:val="36"/>
          <w:highlight w:val="none"/>
          <w14:textFill>
            <w14:solidFill>
              <w14:schemeClr w14:val="tx1"/>
            </w14:solidFill>
          </w14:textFill>
        </w:rPr>
      </w:pPr>
    </w:p>
    <w:p>
      <w:pPr>
        <w:pageBreakBefore w:val="0"/>
        <w:kinsoku/>
        <w:wordWrap/>
        <w:bidi w:val="0"/>
        <w:adjustRightInd/>
        <w:snapToGrid/>
        <w:rPr>
          <w:rFonts w:ascii="Times New Roman" w:hAnsi="Times New Roman" w:eastAsia="宋体"/>
          <w:caps w:val="0"/>
          <w:color w:val="000000" w:themeColor="text1"/>
          <w:sz w:val="36"/>
          <w:szCs w:val="36"/>
          <w:highlight w:val="none"/>
          <w14:textFill>
            <w14:solidFill>
              <w14:schemeClr w14:val="tx1"/>
            </w14:solidFill>
          </w14:textFill>
        </w:rPr>
      </w:pPr>
    </w:p>
    <w:p>
      <w:pPr>
        <w:rPr>
          <w:rFonts w:hint="eastAsia" w:ascii="方正小标宋_GBK" w:hAnsi="方正小标宋_GBK" w:eastAsia="方正小标宋_GBK" w:cs="方正小标宋_GBK"/>
          <w:color w:val="000000" w:themeColor="text1"/>
          <w:sz w:val="72"/>
          <w:szCs w:val="72"/>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72"/>
          <w:szCs w:val="72"/>
          <w:highlight w:val="none"/>
          <w14:textFill>
            <w14:solidFill>
              <w14:schemeClr w14:val="tx1"/>
            </w14:solidFill>
          </w14:textFill>
        </w:rPr>
        <w:t>建设项目环境影响报告表</w:t>
      </w:r>
    </w:p>
    <w:p>
      <w:pPr>
        <w:spacing w:line="360" w:lineRule="auto"/>
        <w:jc w:val="center"/>
        <w:rPr>
          <w:rFonts w:hint="eastAsia" w:ascii="楷体" w:hAnsi="楷体" w:eastAsia="楷体" w:cs="楷体"/>
          <w:color w:val="000000" w:themeColor="text1"/>
          <w:sz w:val="48"/>
          <w:szCs w:val="48"/>
          <w:highlight w:val="none"/>
          <w14:textFill>
            <w14:solidFill>
              <w14:schemeClr w14:val="tx1"/>
            </w14:solidFill>
          </w14:textFill>
        </w:rPr>
      </w:pPr>
      <w:r>
        <w:rPr>
          <w:rFonts w:hint="eastAsia" w:ascii="楷体" w:hAnsi="楷体" w:eastAsia="楷体" w:cs="楷体"/>
          <w:color w:val="000000" w:themeColor="text1"/>
          <w:sz w:val="48"/>
          <w:szCs w:val="48"/>
          <w:highlight w:val="none"/>
          <w14:textFill>
            <w14:solidFill>
              <w14:schemeClr w14:val="tx1"/>
            </w14:solidFill>
          </w14:textFill>
        </w:rPr>
        <w:t>（污染影响类）</w:t>
      </w:r>
    </w:p>
    <w:p>
      <w:pPr>
        <w:spacing w:line="360" w:lineRule="auto"/>
        <w:jc w:val="center"/>
        <w:rPr>
          <w:rFonts w:hint="eastAsia" w:ascii="仿宋" w:hAnsi="仿宋" w:eastAsia="仿宋" w:cs="仿宋"/>
          <w:b/>
          <w:bCs/>
          <w:caps w:val="0"/>
          <w:color w:val="000000" w:themeColor="text1"/>
          <w:sz w:val="28"/>
          <w:szCs w:val="28"/>
          <w:highlight w:val="none"/>
          <w:lang w:eastAsia="zh-CN"/>
          <w14:textFill>
            <w14:solidFill>
              <w14:schemeClr w14:val="tx1"/>
            </w14:solidFill>
          </w14:textFill>
        </w:rPr>
      </w:pPr>
    </w:p>
    <w:p>
      <w:pPr>
        <w:pStyle w:val="35"/>
        <w:rPr>
          <w:rFonts w:hint="eastAsia"/>
          <w:color w:val="000000" w:themeColor="text1"/>
          <w:highlight w:val="none"/>
          <w:lang w:eastAsia="zh-CN"/>
          <w14:textFill>
            <w14:solidFill>
              <w14:schemeClr w14:val="tx1"/>
            </w14:solidFill>
          </w14:textFill>
        </w:rPr>
      </w:pPr>
    </w:p>
    <w:p>
      <w:pPr>
        <w:pageBreakBefore w:val="0"/>
        <w:kinsoku/>
        <w:wordWrap/>
        <w:bidi w:val="0"/>
        <w:adjustRightInd/>
        <w:snapToGrid/>
        <w:ind w:firstLine="1040"/>
        <w:rPr>
          <w:rFonts w:ascii="Times New Roman" w:hAnsi="Times New Roman" w:eastAsia="宋体"/>
          <w:caps w:val="0"/>
          <w:color w:val="000000" w:themeColor="text1"/>
          <w:sz w:val="44"/>
          <w:szCs w:val="44"/>
          <w:highlight w:val="none"/>
          <w14:textFill>
            <w14:solidFill>
              <w14:schemeClr w14:val="tx1"/>
            </w14:solidFill>
          </w14:textFill>
        </w:rPr>
      </w:pPr>
    </w:p>
    <w:p>
      <w:pPr>
        <w:pageBreakBefore w:val="0"/>
        <w:kinsoku/>
        <w:wordWrap/>
        <w:bidi w:val="0"/>
        <w:adjustRightInd/>
        <w:snapToGrid/>
        <w:ind w:firstLine="1040"/>
        <w:rPr>
          <w:rFonts w:ascii="Times New Roman" w:hAnsi="Times New Roman" w:eastAsia="宋体"/>
          <w:caps w:val="0"/>
          <w:color w:val="000000" w:themeColor="text1"/>
          <w:sz w:val="44"/>
          <w:szCs w:val="44"/>
          <w:highlight w:val="none"/>
          <w14:textFill>
            <w14:solidFill>
              <w14:schemeClr w14:val="tx1"/>
            </w14:solidFill>
          </w14:textFill>
        </w:rPr>
      </w:pPr>
    </w:p>
    <w:p>
      <w:pPr>
        <w:pageBreakBefore w:val="0"/>
        <w:kinsoku/>
        <w:wordWrap/>
        <w:bidi w:val="0"/>
        <w:adjustRightInd/>
        <w:snapToGrid/>
        <w:ind w:firstLine="1040"/>
        <w:rPr>
          <w:rFonts w:hint="eastAsia" w:ascii="Times New Roman" w:hAnsi="Times New Roman" w:eastAsia="宋体"/>
          <w:caps w:val="0"/>
          <w:color w:val="000000" w:themeColor="text1"/>
          <w:sz w:val="44"/>
          <w:szCs w:val="44"/>
          <w:highlight w:val="none"/>
          <w14:textFill>
            <w14:solidFill>
              <w14:schemeClr w14:val="tx1"/>
            </w14:solidFill>
          </w14:textFill>
        </w:rPr>
      </w:pPr>
    </w:p>
    <w:p>
      <w:pPr>
        <w:pStyle w:val="35"/>
        <w:pageBreakBefore w:val="0"/>
        <w:kinsoku/>
        <w:wordWrap/>
        <w:bidi w:val="0"/>
        <w:adjustRightInd/>
        <w:snapToGrid/>
        <w:spacing w:line="360" w:lineRule="auto"/>
        <w:ind w:left="420" w:hanging="420"/>
        <w:rPr>
          <w:rFonts w:ascii="Times New Roman" w:hAnsi="Times New Roman" w:eastAsia="宋体"/>
          <w:caps w:val="0"/>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359" w:leftChars="171" w:firstLine="360" w:firstLineChars="100"/>
        <w:jc w:val="left"/>
        <w:textAlignment w:val="auto"/>
        <w:rPr>
          <w:rFonts w:hint="eastAsia" w:ascii="仿宋_GB2312" w:eastAsia="仿宋_GB2312"/>
          <w:color w:val="000000" w:themeColor="text1"/>
          <w:spacing w:val="0"/>
          <w:kern w:val="11"/>
          <w:sz w:val="36"/>
          <w:szCs w:val="36"/>
          <w:highlight w:val="none"/>
          <w:u w:val="single"/>
          <w:lang w:eastAsia="zh-CN"/>
          <w14:textFill>
            <w14:solidFill>
              <w14:schemeClr w14:val="tx1"/>
            </w14:solidFill>
          </w14:textFill>
        </w:rPr>
      </w:pPr>
      <w:bookmarkStart w:id="0" w:name="_Hlk57884087"/>
      <w:r>
        <w:rPr>
          <w:rFonts w:hint="eastAsia" w:ascii="仿宋_GB2312" w:hAnsi="Times New Roman" w:eastAsia="仿宋_GB2312" w:cs="Times New Roman"/>
          <w:color w:val="000000" w:themeColor="text1"/>
          <w:spacing w:val="0"/>
          <w:kern w:val="11"/>
          <w:sz w:val="36"/>
          <w:szCs w:val="36"/>
          <w:highlight w:val="none"/>
          <w:u w:val="none"/>
          <w14:textFill>
            <w14:solidFill>
              <w14:schemeClr w14:val="tx1"/>
            </w14:solidFill>
          </w14:textFill>
        </w:rPr>
        <w:t>项目名称：</w:t>
      </w:r>
      <w:r>
        <w:rPr>
          <w:rFonts w:hint="eastAsia" w:ascii="仿宋_GB2312" w:eastAsia="仿宋_GB2312"/>
          <w:color w:val="000000" w:themeColor="text1"/>
          <w:spacing w:val="0"/>
          <w:kern w:val="11"/>
          <w:sz w:val="36"/>
          <w:szCs w:val="36"/>
          <w:highlight w:val="none"/>
          <w:u w:val="single"/>
          <w:lang w:val="en-US" w:eastAsia="zh-CN"/>
          <w14:textFill>
            <w14:solidFill>
              <w14:schemeClr w14:val="tx1"/>
            </w14:solidFill>
          </w14:textFill>
        </w:rPr>
        <w:t>新疆睿清能源科技有限公司钻井无害化固体废物（水基钻井岩屑）处理综合利用尉犁环保站（一）建设项目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200"/>
        <w:jc w:val="left"/>
        <w:textAlignment w:val="auto"/>
        <w:rPr>
          <w:rFonts w:hint="default" w:ascii="仿宋_GB2312" w:eastAsia="仿宋_GB2312"/>
          <w:color w:val="000000" w:themeColor="text1"/>
          <w:spacing w:val="0"/>
          <w:sz w:val="36"/>
          <w:szCs w:val="36"/>
          <w:highlight w:val="none"/>
          <w:u w:val="single"/>
          <w:lang w:val="en-US"/>
          <w14:textFill>
            <w14:solidFill>
              <w14:schemeClr w14:val="tx1"/>
            </w14:solidFill>
          </w14:textFill>
        </w:rPr>
      </w:pPr>
      <w:r>
        <w:rPr>
          <w:rFonts w:hint="eastAsia" w:ascii="仿宋_GB2312" w:hAnsi="Times New Roman" w:eastAsia="仿宋_GB2312" w:cs="Times New Roman"/>
          <w:color w:val="000000" w:themeColor="text1"/>
          <w:spacing w:val="0"/>
          <w:kern w:val="11"/>
          <w:sz w:val="36"/>
          <w:szCs w:val="36"/>
          <w:highlight w:val="none"/>
          <w:u w:val="none"/>
          <w14:textFill>
            <w14:solidFill>
              <w14:schemeClr w14:val="tx1"/>
            </w14:solidFill>
          </w14:textFill>
        </w:rPr>
        <w:t>建设单位（盖章）：</w:t>
      </w:r>
      <w:r>
        <w:rPr>
          <w:rFonts w:hint="eastAsia" w:ascii="仿宋_GB2312" w:hAnsi="Times New Roman" w:eastAsia="仿宋_GB2312" w:cs="Times New Roman"/>
          <w:color w:val="000000" w:themeColor="text1"/>
          <w:spacing w:val="0"/>
          <w:kern w:val="11"/>
          <w:sz w:val="36"/>
          <w:szCs w:val="36"/>
          <w:highlight w:val="none"/>
          <w:u w:val="single"/>
          <w:lang w:val="en-US" w:eastAsia="zh-CN"/>
          <w14:textFill>
            <w14:solidFill>
              <w14:schemeClr w14:val="tx1"/>
            </w14:solidFill>
          </w14:textFill>
        </w:rPr>
        <w:t xml:space="preserve">新疆睿清能源科技有限公司 </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left"/>
        <w:textAlignment w:val="auto"/>
        <w:rPr>
          <w:rFonts w:ascii="Times New Roman" w:hAnsi="Times New Roman" w:eastAsia="宋体"/>
          <w:caps w:val="0"/>
          <w:color w:val="000000" w:themeColor="text1"/>
          <w:sz w:val="36"/>
          <w:szCs w:val="36"/>
          <w:highlight w:val="none"/>
          <w:u w:val="single"/>
          <w14:textFill>
            <w14:solidFill>
              <w14:schemeClr w14:val="tx1"/>
            </w14:solidFill>
          </w14:textFill>
        </w:rPr>
      </w:pPr>
      <w:r>
        <w:rPr>
          <w:rFonts w:hint="eastAsia" w:ascii="仿宋_GB2312" w:hAnsi="Times New Roman" w:eastAsia="仿宋_GB2312" w:cs="Times New Roman"/>
          <w:color w:val="000000" w:themeColor="text1"/>
          <w:spacing w:val="0"/>
          <w:kern w:val="11"/>
          <w:sz w:val="36"/>
          <w:szCs w:val="36"/>
          <w:highlight w:val="none"/>
          <w:u w:val="none"/>
          <w14:textFill>
            <w14:solidFill>
              <w14:schemeClr w14:val="tx1"/>
            </w14:solidFill>
          </w14:textFill>
        </w:rPr>
        <w:t>编制日期：</w:t>
      </w:r>
      <w:r>
        <w:rPr>
          <w:rFonts w:hint="eastAsia" w:ascii="仿宋_GB2312" w:eastAsia="仿宋_GB2312"/>
          <w:color w:val="000000" w:themeColor="text1"/>
          <w:spacing w:val="0"/>
          <w:sz w:val="36"/>
          <w:szCs w:val="36"/>
          <w:highlight w:val="none"/>
          <w:u w:val="single"/>
          <w14:textFill>
            <w14:solidFill>
              <w14:schemeClr w14:val="tx1"/>
            </w14:solidFill>
          </w14:textFill>
        </w:rPr>
        <w:t xml:space="preserve"> </w:t>
      </w:r>
      <w:r>
        <w:rPr>
          <w:rFonts w:ascii="仿宋_GB2312" w:eastAsia="仿宋_GB2312"/>
          <w:color w:val="000000" w:themeColor="text1"/>
          <w:spacing w:val="0"/>
          <w:sz w:val="36"/>
          <w:szCs w:val="36"/>
          <w:highlight w:val="none"/>
          <w:u w:val="single"/>
          <w14:textFill>
            <w14:solidFill>
              <w14:schemeClr w14:val="tx1"/>
            </w14:solidFill>
          </w14:textFill>
        </w:rPr>
        <w:t xml:space="preserve">    </w:t>
      </w:r>
      <w:r>
        <w:rPr>
          <w:rFonts w:hint="eastAsia" w:ascii="仿宋_GB2312" w:eastAsia="仿宋_GB2312"/>
          <w:color w:val="000000" w:themeColor="text1"/>
          <w:spacing w:val="0"/>
          <w:sz w:val="36"/>
          <w:szCs w:val="36"/>
          <w:highlight w:val="none"/>
          <w:u w:val="single"/>
          <w14:textFill>
            <w14:solidFill>
              <w14:schemeClr w14:val="tx1"/>
            </w14:solidFill>
          </w14:textFill>
        </w:rPr>
        <w:t xml:space="preserve"> </w:t>
      </w:r>
      <w:r>
        <w:rPr>
          <w:rFonts w:hint="eastAsia" w:ascii="Times New Roman" w:hAnsi="Times New Roman" w:eastAsia="楷体" w:cs="Times New Roman"/>
          <w:color w:val="000000" w:themeColor="text1"/>
          <w:spacing w:val="0"/>
          <w:sz w:val="36"/>
          <w:szCs w:val="36"/>
          <w:highlight w:val="none"/>
          <w:u w:val="single"/>
          <w:lang w:val="en-US" w:eastAsia="zh-CN"/>
          <w14:textFill>
            <w14:solidFill>
              <w14:schemeClr w14:val="tx1"/>
            </w14:solidFill>
          </w14:textFill>
        </w:rPr>
        <w:t xml:space="preserve">   </w:t>
      </w:r>
      <w:r>
        <w:rPr>
          <w:rFonts w:hint="default" w:ascii="Times New Roman" w:hAnsi="Times New Roman" w:eastAsia="楷体" w:cs="Times New Roman"/>
          <w:color w:val="000000" w:themeColor="text1"/>
          <w:spacing w:val="0"/>
          <w:sz w:val="36"/>
          <w:szCs w:val="36"/>
          <w:highlight w:val="none"/>
          <w:u w:val="single"/>
          <w14:textFill>
            <w14:solidFill>
              <w14:schemeClr w14:val="tx1"/>
            </w14:solidFill>
          </w14:textFill>
        </w:rPr>
        <w:t xml:space="preserve"> </w:t>
      </w:r>
      <w:r>
        <w:rPr>
          <w:rFonts w:hint="default" w:ascii="仿宋_GB2312" w:hAnsi="Times New Roman" w:eastAsia="仿宋_GB2312" w:cs="Times New Roman"/>
          <w:color w:val="000000" w:themeColor="text1"/>
          <w:spacing w:val="0"/>
          <w:kern w:val="11"/>
          <w:sz w:val="36"/>
          <w:szCs w:val="36"/>
          <w:highlight w:val="none"/>
          <w:u w:val="single"/>
          <w:lang w:val="en-US" w:eastAsia="zh-CN"/>
          <w14:textFill>
            <w14:solidFill>
              <w14:schemeClr w14:val="tx1"/>
            </w14:solidFill>
          </w14:textFill>
        </w:rPr>
        <w:t>202</w:t>
      </w:r>
      <w:r>
        <w:rPr>
          <w:rFonts w:hint="eastAsia" w:ascii="仿宋_GB2312" w:hAnsi="Times New Roman" w:eastAsia="仿宋_GB2312" w:cs="Times New Roman"/>
          <w:color w:val="000000" w:themeColor="text1"/>
          <w:spacing w:val="0"/>
          <w:kern w:val="11"/>
          <w:sz w:val="36"/>
          <w:szCs w:val="36"/>
          <w:highlight w:val="none"/>
          <w:u w:val="single"/>
          <w:lang w:val="en-US" w:eastAsia="zh-CN"/>
          <w14:textFill>
            <w14:solidFill>
              <w14:schemeClr w14:val="tx1"/>
            </w14:solidFill>
          </w14:textFill>
        </w:rPr>
        <w:t>5</w:t>
      </w:r>
      <w:r>
        <w:rPr>
          <w:rFonts w:hint="default" w:ascii="仿宋_GB2312" w:hAnsi="Times New Roman" w:eastAsia="仿宋_GB2312" w:cs="Times New Roman"/>
          <w:color w:val="000000" w:themeColor="text1"/>
          <w:spacing w:val="0"/>
          <w:kern w:val="11"/>
          <w:sz w:val="36"/>
          <w:szCs w:val="36"/>
          <w:highlight w:val="none"/>
          <w:u w:val="single"/>
          <w:lang w:val="en-US" w:eastAsia="zh-CN"/>
          <w14:textFill>
            <w14:solidFill>
              <w14:schemeClr w14:val="tx1"/>
            </w14:solidFill>
          </w14:textFill>
        </w:rPr>
        <w:t>年</w:t>
      </w:r>
      <w:r>
        <w:rPr>
          <w:rFonts w:hint="eastAsia" w:ascii="仿宋_GB2312" w:hAnsi="Times New Roman" w:eastAsia="仿宋_GB2312" w:cs="Times New Roman"/>
          <w:color w:val="000000" w:themeColor="text1"/>
          <w:spacing w:val="0"/>
          <w:kern w:val="11"/>
          <w:sz w:val="36"/>
          <w:szCs w:val="36"/>
          <w:highlight w:val="none"/>
          <w:u w:val="single"/>
          <w:lang w:val="en-US" w:eastAsia="zh-CN"/>
          <w14:textFill>
            <w14:solidFill>
              <w14:schemeClr w14:val="tx1"/>
            </w14:solidFill>
          </w14:textFill>
        </w:rPr>
        <w:t>12</w:t>
      </w:r>
      <w:r>
        <w:rPr>
          <w:rFonts w:hint="default" w:ascii="仿宋_GB2312" w:hAnsi="Times New Roman" w:eastAsia="仿宋_GB2312" w:cs="Times New Roman"/>
          <w:color w:val="000000" w:themeColor="text1"/>
          <w:spacing w:val="0"/>
          <w:kern w:val="11"/>
          <w:sz w:val="36"/>
          <w:szCs w:val="36"/>
          <w:highlight w:val="none"/>
          <w:u w:val="single"/>
          <w:lang w:val="en-US" w:eastAsia="zh-CN"/>
          <w14:textFill>
            <w14:solidFill>
              <w14:schemeClr w14:val="tx1"/>
            </w14:solidFill>
          </w14:textFill>
        </w:rPr>
        <w:t>月</w:t>
      </w:r>
      <w:r>
        <w:rPr>
          <w:rFonts w:hint="eastAsia" w:ascii="Times New Roman" w:hAnsi="Times New Roman" w:eastAsia="楷体" w:cs="Times New Roman"/>
          <w:color w:val="000000" w:themeColor="text1"/>
          <w:spacing w:val="0"/>
          <w:sz w:val="36"/>
          <w:szCs w:val="36"/>
          <w:highlight w:val="none"/>
          <w:u w:val="single"/>
          <w:lang w:val="en-US" w:eastAsia="zh-CN"/>
          <w14:textFill>
            <w14:solidFill>
              <w14:schemeClr w14:val="tx1"/>
            </w14:solidFill>
          </w14:textFill>
        </w:rPr>
        <w:t xml:space="preserve">  </w:t>
      </w:r>
      <w:r>
        <w:rPr>
          <w:rFonts w:hint="eastAsia" w:ascii="Times New Roman" w:hAnsi="Times New Roman" w:eastAsia="楷体" w:cs="Times New Roman"/>
          <w:color w:val="000000" w:themeColor="text1"/>
          <w:sz w:val="36"/>
          <w:szCs w:val="36"/>
          <w:highlight w:val="none"/>
          <w:u w:val="single"/>
          <w:lang w:val="en-US" w:eastAsia="zh-CN"/>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r>
        <w:rPr>
          <w:rFonts w:hint="eastAsia" w:ascii="仿宋_GB2312" w:eastAsia="仿宋_GB2312"/>
          <w:color w:val="000000" w:themeColor="text1"/>
          <w:sz w:val="36"/>
          <w:szCs w:val="36"/>
          <w:highlight w:val="none"/>
          <w:u w:val="single"/>
          <w:lang w:val="en-US" w:eastAsia="zh-CN"/>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r>
        <w:rPr>
          <w:rFonts w:ascii="仿宋_GB2312" w:eastAsia="仿宋_GB2312"/>
          <w:color w:val="000000" w:themeColor="text1"/>
          <w:sz w:val="36"/>
          <w:szCs w:val="36"/>
          <w:highlight w:val="none"/>
          <w:u w:val="none"/>
          <w14:textFill>
            <w14:solidFill>
              <w14:schemeClr w14:val="tx1"/>
            </w14:solidFill>
          </w14:textFill>
        </w:rPr>
        <w:t xml:space="preserve"> </w:t>
      </w:r>
      <w:r>
        <w:rPr>
          <w:rFonts w:hint="eastAsia" w:ascii="仿宋_GB2312" w:eastAsia="仿宋_GB2312"/>
          <w:color w:val="000000" w:themeColor="text1"/>
          <w:sz w:val="36"/>
          <w:szCs w:val="36"/>
          <w:highlight w:val="none"/>
          <w:u w:val="none"/>
          <w:lang w:val="en-US" w:eastAsia="zh-CN"/>
          <w14:textFill>
            <w14:solidFill>
              <w14:schemeClr w14:val="tx1"/>
            </w14:solidFill>
          </w14:textFill>
        </w:rPr>
        <w:t xml:space="preserve">   </w:t>
      </w:r>
      <w:r>
        <w:rPr>
          <w:rFonts w:ascii="仿宋_GB2312" w:eastAsia="仿宋_GB2312"/>
          <w:color w:val="000000" w:themeColor="text1"/>
          <w:sz w:val="36"/>
          <w:szCs w:val="36"/>
          <w:highlight w:val="none"/>
          <w:u w:val="none"/>
          <w14:textFill>
            <w14:solidFill>
              <w14:schemeClr w14:val="tx1"/>
            </w14:solidFill>
          </w14:textFill>
        </w:rPr>
        <w:t xml:space="preserve"> </w:t>
      </w:r>
      <w:r>
        <w:rPr>
          <w:rFonts w:ascii="仿宋_GB2312" w:eastAsia="仿宋_GB2312"/>
          <w:color w:val="000000" w:themeColor="text1"/>
          <w:sz w:val="36"/>
          <w:szCs w:val="36"/>
          <w:highlight w:val="none"/>
          <w:u w:val="single"/>
          <w14:textFill>
            <w14:solidFill>
              <w14:schemeClr w14:val="tx1"/>
            </w14:solidFill>
          </w14:textFill>
        </w:rPr>
        <w:t xml:space="preserve"> </w:t>
      </w:r>
    </w:p>
    <w:p>
      <w:pPr>
        <w:pageBreakBefore w:val="0"/>
        <w:kinsoku/>
        <w:wordWrap/>
        <w:bidi w:val="0"/>
        <w:adjustRightInd/>
        <w:snapToGrid/>
        <w:spacing w:line="288" w:lineRule="auto"/>
        <w:rPr>
          <w:rFonts w:hint="eastAsia" w:ascii="Times New Roman" w:hAnsi="Times New Roman" w:eastAsia="宋体"/>
          <w:caps w:val="0"/>
          <w:color w:val="000000" w:themeColor="text1"/>
          <w:sz w:val="36"/>
          <w:szCs w:val="36"/>
          <w:highlight w:val="none"/>
          <w14:textFill>
            <w14:solidFill>
              <w14:schemeClr w14:val="tx1"/>
            </w14:solidFill>
          </w14:textFill>
        </w:rPr>
      </w:pPr>
    </w:p>
    <w:p>
      <w:pPr>
        <w:pStyle w:val="35"/>
        <w:pageBreakBefore w:val="0"/>
        <w:kinsoku/>
        <w:wordWrap/>
        <w:bidi w:val="0"/>
        <w:adjustRightInd/>
        <w:snapToGrid/>
        <w:ind w:left="420" w:hanging="420"/>
        <w:rPr>
          <w:rFonts w:hint="eastAsia" w:ascii="Times New Roman" w:hAnsi="Times New Roman" w:eastAsia="宋体"/>
          <w:caps w:val="0"/>
          <w:color w:val="000000" w:themeColor="text1"/>
          <w:highlight w:val="none"/>
          <w14:textFill>
            <w14:solidFill>
              <w14:schemeClr w14:val="tx1"/>
            </w14:solidFill>
          </w14:textFill>
        </w:rPr>
      </w:pPr>
    </w:p>
    <w:p>
      <w:pPr>
        <w:pStyle w:val="35"/>
        <w:pageBreakBefore w:val="0"/>
        <w:kinsoku/>
        <w:wordWrap/>
        <w:bidi w:val="0"/>
        <w:adjustRightInd/>
        <w:snapToGrid/>
        <w:ind w:left="420" w:hanging="420"/>
        <w:rPr>
          <w:rFonts w:hint="eastAsia" w:ascii="Times New Roman" w:hAnsi="Times New Roman" w:eastAsia="宋体"/>
          <w:caps w:val="0"/>
          <w:color w:val="000000" w:themeColor="text1"/>
          <w:highlight w:val="none"/>
          <w14:textFill>
            <w14:solidFill>
              <w14:schemeClr w14:val="tx1"/>
            </w14:solidFill>
          </w14:textFill>
        </w:rPr>
      </w:pPr>
    </w:p>
    <w:p>
      <w:pPr>
        <w:pStyle w:val="35"/>
        <w:pageBreakBefore w:val="0"/>
        <w:kinsoku/>
        <w:wordWrap/>
        <w:bidi w:val="0"/>
        <w:adjustRightInd/>
        <w:snapToGrid/>
        <w:ind w:left="420" w:hanging="420"/>
        <w:rPr>
          <w:rFonts w:hint="eastAsia" w:ascii="Times New Roman" w:hAnsi="Times New Roman" w:eastAsia="宋体"/>
          <w:caps w:val="0"/>
          <w:color w:val="000000" w:themeColor="text1"/>
          <w:highlight w:val="none"/>
          <w14:textFill>
            <w14:solidFill>
              <w14:schemeClr w14:val="tx1"/>
            </w14:solidFill>
          </w14:textFill>
        </w:rPr>
      </w:pPr>
    </w:p>
    <w:p>
      <w:pPr>
        <w:pStyle w:val="35"/>
        <w:pageBreakBefore w:val="0"/>
        <w:kinsoku/>
        <w:wordWrap/>
        <w:bidi w:val="0"/>
        <w:adjustRightInd/>
        <w:snapToGrid/>
        <w:ind w:left="420" w:hanging="420"/>
        <w:rPr>
          <w:rFonts w:hint="eastAsia" w:ascii="Times New Roman" w:hAnsi="Times New Roman" w:eastAsia="宋体"/>
          <w:caps w:val="0"/>
          <w:color w:val="000000" w:themeColor="text1"/>
          <w:highlight w:val="none"/>
          <w14:textFill>
            <w14:solidFill>
              <w14:schemeClr w14:val="tx1"/>
            </w14:solidFill>
          </w14:textFill>
        </w:rPr>
      </w:pPr>
    </w:p>
    <w:p>
      <w:pPr>
        <w:rPr>
          <w:rFonts w:hint="eastAsia" w:ascii="Times New Roman" w:hAnsi="Times New Roman" w:eastAsia="宋体"/>
          <w:caps w:val="0"/>
          <w:color w:val="000000" w:themeColor="text1"/>
          <w:highlight w:val="none"/>
          <w14:textFill>
            <w14:solidFill>
              <w14:schemeClr w14:val="tx1"/>
            </w14:solidFill>
          </w14:textFill>
        </w:rPr>
      </w:pPr>
    </w:p>
    <w:p>
      <w:pPr>
        <w:pStyle w:val="16"/>
        <w:rPr>
          <w:rFonts w:hint="eastAsia" w:ascii="Times New Roman" w:hAnsi="Times New Roman" w:eastAsia="宋体"/>
          <w:caps w:val="0"/>
          <w:color w:val="000000" w:themeColor="text1"/>
          <w:highlight w:val="none"/>
          <w14:textFill>
            <w14:solidFill>
              <w14:schemeClr w14:val="tx1"/>
            </w14:solidFill>
          </w14:textFill>
        </w:rPr>
      </w:pPr>
    </w:p>
    <w:p>
      <w:pPr>
        <w:pStyle w:val="16"/>
        <w:rPr>
          <w:rFonts w:hint="eastAsia" w:ascii="Times New Roman" w:hAnsi="Times New Roman" w:eastAsia="宋体"/>
          <w:caps w:val="0"/>
          <w:color w:val="000000" w:themeColor="text1"/>
          <w:highlight w:val="none"/>
          <w14:textFill>
            <w14:solidFill>
              <w14:schemeClr w14:val="tx1"/>
            </w14:solidFill>
          </w14:textFill>
        </w:rPr>
      </w:pPr>
    </w:p>
    <w:p>
      <w:pPr>
        <w:pStyle w:val="35"/>
        <w:pageBreakBefore w:val="0"/>
        <w:kinsoku/>
        <w:wordWrap/>
        <w:bidi w:val="0"/>
        <w:adjustRightInd/>
        <w:snapToGrid/>
        <w:ind w:left="0" w:leftChars="0" w:firstLine="0" w:firstLineChars="0"/>
        <w:rPr>
          <w:rFonts w:hint="eastAsia" w:ascii="Times New Roman" w:hAnsi="Times New Roman" w:eastAsia="宋体"/>
          <w:caps w:val="0"/>
          <w:color w:val="000000" w:themeColor="text1"/>
          <w:highlight w:val="none"/>
          <w14:textFill>
            <w14:solidFill>
              <w14:schemeClr w14:val="tx1"/>
            </w14:solidFill>
          </w14:textFill>
        </w:rPr>
      </w:pPr>
    </w:p>
    <w:p>
      <w:pPr>
        <w:pStyle w:val="35"/>
        <w:pageBreakBefore w:val="0"/>
        <w:kinsoku/>
        <w:wordWrap/>
        <w:bidi w:val="0"/>
        <w:adjustRightInd/>
        <w:snapToGrid/>
        <w:ind w:left="420" w:hanging="420"/>
        <w:rPr>
          <w:rFonts w:hint="eastAsia" w:ascii="Times New Roman" w:hAnsi="Times New Roman" w:eastAsia="宋体"/>
          <w:caps w:val="0"/>
          <w:color w:val="000000" w:themeColor="text1"/>
          <w:highlight w:val="none"/>
          <w14:textFill>
            <w14:solidFill>
              <w14:schemeClr w14:val="tx1"/>
            </w14:solidFill>
          </w14:textFill>
        </w:rPr>
      </w:pPr>
    </w:p>
    <w:bookmarkEnd w:id="0"/>
    <w:p>
      <w:pPr>
        <w:pageBreakBefore w:val="0"/>
        <w:kinsoku/>
        <w:wordWrap/>
        <w:bidi w:val="0"/>
        <w:adjustRightInd/>
        <w:snapToGrid/>
        <w:spacing w:line="288" w:lineRule="auto"/>
        <w:jc w:val="center"/>
        <w:rPr>
          <w:rFonts w:ascii="Times New Roman" w:hAnsi="Times New Roman" w:eastAsia="宋体"/>
          <w:caps w:val="0"/>
          <w:color w:val="000000" w:themeColor="text1"/>
          <w:sz w:val="36"/>
          <w:szCs w:val="36"/>
          <w:highlight w:val="none"/>
          <w14:textFill>
            <w14:solidFill>
              <w14:schemeClr w14:val="tx1"/>
            </w14:solidFill>
          </w14:textFill>
        </w:rPr>
      </w:pPr>
      <w:r>
        <w:rPr>
          <w:rFonts w:ascii="Times New Roman" w:hAnsi="Times New Roman" w:eastAsia="宋体"/>
          <w:caps w:val="0"/>
          <w:color w:val="000000" w:themeColor="text1"/>
          <w:sz w:val="36"/>
          <w:szCs w:val="36"/>
          <w:highlight w:val="none"/>
          <w14:textFill>
            <w14:solidFill>
              <w14:schemeClr w14:val="tx1"/>
            </w14:solidFill>
          </w14:textFill>
        </w:rPr>
        <w:t>中华人民共和国生态环境部制</w:t>
      </w:r>
    </w:p>
    <w:p>
      <w:pPr>
        <w:pageBreakBefore w:val="0"/>
        <w:kinsoku/>
        <w:wordWrap/>
        <w:bidi w:val="0"/>
        <w:adjustRightInd/>
        <w:snapToGrid/>
        <w:spacing w:line="288" w:lineRule="auto"/>
        <w:jc w:val="center"/>
        <w:rPr>
          <w:rFonts w:ascii="Times New Roman" w:hAnsi="Times New Roman" w:eastAsia="宋体"/>
          <w:caps w:val="0"/>
          <w:color w:val="000000" w:themeColor="text1"/>
          <w:sz w:val="36"/>
          <w:szCs w:val="36"/>
          <w:highlight w:val="none"/>
          <w14:textFill>
            <w14:solidFill>
              <w14:schemeClr w14:val="tx1"/>
            </w14:solidFill>
          </w14:textFill>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宋体"/>
          <w:b/>
          <w:caps w:val="0"/>
          <w:snapToGrid w:val="0"/>
          <w:color w:val="000000" w:themeColor="text1"/>
          <w:sz w:val="30"/>
          <w:szCs w:val="30"/>
          <w:highlight w:val="none"/>
          <w14:textFill>
            <w14:solidFill>
              <w14:schemeClr w14:val="tx1"/>
            </w14:solidFill>
          </w14:textFill>
        </w:rPr>
      </w:pPr>
      <w:bookmarkStart w:id="1" w:name="_Toc1431"/>
      <w:bookmarkStart w:id="2" w:name="_Toc1830"/>
      <w:r>
        <w:rPr>
          <w:rFonts w:ascii="Times New Roman" w:hAnsi="Times New Roman" w:eastAsia="宋体"/>
          <w:b/>
          <w:caps w:val="0"/>
          <w:snapToGrid w:val="0"/>
          <w:color w:val="000000" w:themeColor="text1"/>
          <w:sz w:val="30"/>
          <w:szCs w:val="30"/>
          <w:highlight w:val="none"/>
          <w14:textFill>
            <w14:solidFill>
              <w14:schemeClr w14:val="tx1"/>
            </w14:solidFill>
          </w14:textFill>
        </w:rPr>
        <w:t>一、建设项目基本情况</w:t>
      </w:r>
      <w:bookmarkEnd w:id="1"/>
      <w:bookmarkEnd w:id="2"/>
    </w:p>
    <w:tbl>
      <w:tblPr>
        <w:tblStyle w:val="48"/>
        <w:tblW w:w="5021"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1203"/>
        <w:gridCol w:w="2235"/>
        <w:gridCol w:w="1894"/>
        <w:gridCol w:w="359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建设项目名称</w:t>
            </w:r>
          </w:p>
        </w:tc>
        <w:tc>
          <w:tcPr>
            <w:tcW w:w="4325" w:type="pct"/>
            <w:gridSpan w:val="3"/>
            <w:tcBorders>
              <w:tl2br w:val="nil"/>
              <w:tr2bl w:val="nil"/>
            </w:tcBorders>
            <w:noWrap w:val="0"/>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新疆睿清能源科技有限公司钻井无害化固体废物（水基钻井岩屑）处理综合利用尉犁环保站（一）建设项目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项目代码</w:t>
            </w:r>
          </w:p>
        </w:tc>
        <w:tc>
          <w:tcPr>
            <w:tcW w:w="4325" w:type="pct"/>
            <w:gridSpan w:val="3"/>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bookmarkStart w:id="19" w:name="_GoBack"/>
            <w:bookmarkEnd w:id="19"/>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建设单位联系人</w:t>
            </w:r>
          </w:p>
        </w:tc>
        <w:tc>
          <w:tcPr>
            <w:tcW w:w="125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p>
        </w:tc>
        <w:tc>
          <w:tcPr>
            <w:tcW w:w="1061" w:type="pct"/>
            <w:tcBorders>
              <w:tl2br w:val="nil"/>
              <w:tr2bl w:val="nil"/>
            </w:tcBorders>
            <w:noWrap w:val="0"/>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p>
        </w:tc>
        <w:tc>
          <w:tcPr>
            <w:tcW w:w="201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43"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建设地点</w:t>
            </w:r>
          </w:p>
        </w:tc>
        <w:tc>
          <w:tcPr>
            <w:tcW w:w="4325" w:type="pct"/>
            <w:gridSpan w:val="3"/>
            <w:tcBorders>
              <w:tl2br w:val="nil"/>
              <w:tr2bl w:val="nil"/>
            </w:tcBorders>
            <w:noWrap w:val="0"/>
            <w:vAlign w:val="center"/>
          </w:tcPr>
          <w:p>
            <w:pPr>
              <w:pageBreakBefore w:val="0"/>
              <w:kinsoku/>
              <w:wordWrap/>
              <w:bidi w:val="0"/>
              <w:adjustRightInd/>
              <w:snapToGrid/>
              <w:jc w:val="center"/>
              <w:rPr>
                <w:rFonts w:hint="default"/>
                <w:color w:val="000000" w:themeColor="text1"/>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0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地理坐标</w:t>
            </w:r>
          </w:p>
        </w:tc>
        <w:tc>
          <w:tcPr>
            <w:tcW w:w="4325" w:type="pct"/>
            <w:gridSpan w:val="3"/>
            <w:tcBorders>
              <w:tl2br w:val="nil"/>
              <w:tr2bl w:val="nil"/>
            </w:tcBorders>
            <w:noWrap w:val="0"/>
            <w:vAlign w:val="center"/>
          </w:tcPr>
          <w:p>
            <w:pPr>
              <w:pageBreakBefore w:val="0"/>
              <w:kinsoku/>
              <w:wordWrap/>
              <w:bidi w:val="0"/>
              <w:adjustRightInd/>
              <w:snapToGrid/>
              <w:jc w:val="center"/>
              <w:rPr>
                <w:rFonts w:hint="eastAsia" w:ascii="Times New Roman" w:hAnsi="Times New Roman" w:eastAsia="宋体"/>
                <w:caps w:val="0"/>
                <w:color w:val="000000" w:themeColor="text1"/>
                <w:highlight w:val="none"/>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722"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国民经济</w:t>
            </w:r>
          </w:p>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行业类别</w:t>
            </w:r>
          </w:p>
        </w:tc>
        <w:tc>
          <w:tcPr>
            <w:tcW w:w="1252" w:type="pct"/>
            <w:tcBorders>
              <w:tl2br w:val="nil"/>
              <w:tr2bl w:val="nil"/>
            </w:tcBorders>
            <w:noWrap w:val="0"/>
            <w:vAlign w:val="center"/>
          </w:tcPr>
          <w:p>
            <w:pPr>
              <w:pageBreakBefore w:val="0"/>
              <w:kinsoku/>
              <w:wordWrap/>
              <w:bidi w:val="0"/>
              <w:adjustRightInd/>
              <w:snapToGrid/>
              <w:ind w:left="105" w:leftChars="50" w:right="105" w:rightChars="50"/>
              <w:jc w:val="center"/>
              <w:rPr>
                <w:rFonts w:hint="default" w:eastAsia="宋体"/>
                <w:color w:val="000000" w:themeColor="text1"/>
                <w:highlight w:val="none"/>
                <w:lang w:val="en-US" w:eastAsia="zh-CN"/>
                <w14:textFill>
                  <w14:solidFill>
                    <w14:schemeClr w14:val="tx1"/>
                  </w14:solidFill>
                </w14:textFill>
              </w:rPr>
            </w:pPr>
            <w:r>
              <w:rPr>
                <w:rFonts w:ascii="Times New Roman" w:hAnsi="Times New Roman" w:eastAsia="宋体" w:cs="Times New Roman"/>
                <w:caps w:val="0"/>
                <w:color w:val="000000" w:themeColor="text1"/>
                <w:sz w:val="24"/>
                <w:highlight w:val="none"/>
                <w14:textFill>
                  <w14:solidFill>
                    <w14:schemeClr w14:val="tx1"/>
                  </w14:solidFill>
                </w14:textFill>
              </w:rPr>
              <w:t>固体废物治理N7723</w:t>
            </w:r>
          </w:p>
        </w:tc>
        <w:tc>
          <w:tcPr>
            <w:tcW w:w="1061" w:type="pct"/>
            <w:tcBorders>
              <w:tl2br w:val="nil"/>
              <w:tr2bl w:val="nil"/>
            </w:tcBorders>
            <w:noWrap w:val="0"/>
            <w:vAlign w:val="center"/>
          </w:tcPr>
          <w:p>
            <w:pPr>
              <w:pageBreakBefore w:val="0"/>
              <w:kinsoku/>
              <w:wordWrap/>
              <w:bidi w:val="0"/>
              <w:adjustRightInd/>
              <w:snapToGrid/>
              <w:ind w:left="105" w:leftChars="50" w:right="105" w:rightChars="50"/>
              <w:jc w:val="center"/>
              <w:rPr>
                <w:rFonts w:ascii="Times New Roman" w:hAnsi="Times New Roman" w:eastAsia="宋体"/>
                <w:caps w:val="0"/>
                <w:color w:val="000000" w:themeColor="text1"/>
                <w:sz w:val="24"/>
                <w:highlight w:val="none"/>
                <w14:textFill>
                  <w14:solidFill>
                    <w14:schemeClr w14:val="tx1"/>
                  </w14:solidFill>
                </w14:textFill>
              </w:rPr>
            </w:pPr>
            <w:bookmarkStart w:id="3" w:name="_Hlk49843745"/>
            <w:r>
              <w:rPr>
                <w:rFonts w:ascii="Times New Roman" w:hAnsi="Times New Roman" w:eastAsia="宋体"/>
                <w:caps w:val="0"/>
                <w:color w:val="000000" w:themeColor="text1"/>
                <w:sz w:val="24"/>
                <w:highlight w:val="none"/>
                <w14:textFill>
                  <w14:solidFill>
                    <w14:schemeClr w14:val="tx1"/>
                  </w14:solidFill>
                </w14:textFill>
              </w:rPr>
              <w:t>建设项目</w:t>
            </w:r>
          </w:p>
          <w:p>
            <w:pPr>
              <w:pageBreakBefore w:val="0"/>
              <w:kinsoku/>
              <w:wordWrap/>
              <w:bidi w:val="0"/>
              <w:adjustRightInd/>
              <w:snapToGrid/>
              <w:ind w:left="105" w:leftChars="50" w:right="105" w:rightChars="50"/>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行业类别</w:t>
            </w:r>
            <w:bookmarkEnd w:id="3"/>
          </w:p>
        </w:tc>
        <w:tc>
          <w:tcPr>
            <w:tcW w:w="2012" w:type="pct"/>
            <w:tcBorders>
              <w:tl2br w:val="nil"/>
              <w:tr2bl w:val="nil"/>
            </w:tcBorders>
            <w:noWrap w:val="0"/>
            <w:vAlign w:val="center"/>
          </w:tcPr>
          <w:p>
            <w:pPr>
              <w:pageBreakBefore w:val="0"/>
              <w:kinsoku/>
              <w:wordWrap/>
              <w:bidi w:val="0"/>
              <w:adjustRightInd/>
              <w:snapToGrid/>
              <w:ind w:left="105" w:leftChars="50" w:right="105" w:rightChars="50"/>
              <w:jc w:val="both"/>
              <w:rPr>
                <w:rFonts w:hint="default" w:ascii="Times New Roman" w:hAnsi="Times New Roman" w:eastAsia="宋体"/>
                <w:cap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highlight w:val="none"/>
                <w:lang w:val="en-US" w:eastAsia="zh-CN"/>
                <w14:textFill>
                  <w14:solidFill>
                    <w14:schemeClr w14:val="tx1"/>
                  </w14:solidFill>
                </w14:textFill>
              </w:rPr>
              <w:t>四十七、生态保护和环境治理业</w:t>
            </w:r>
            <w:r>
              <w:rPr>
                <w:rFonts w:hint="eastAsia" w:ascii="Times New Roman" w:hAnsi="Times New Roman" w:eastAsia="宋体" w:cs="Times New Roman"/>
                <w:caps w:val="0"/>
                <w:color w:val="000000" w:themeColor="text1"/>
                <w:sz w:val="24"/>
                <w:highlight w:val="none"/>
                <w:lang w:val="en-US" w:eastAsia="zh-CN"/>
                <w14:textFill>
                  <w14:solidFill>
                    <w14:schemeClr w14:val="tx1"/>
                  </w14:solidFill>
                </w14:textFill>
              </w:rPr>
              <w:t>-103.一般工业固体废物（含污水处理污泥）、建筑施工废弃物处置及综合利用-其他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1386"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建设性质</w:t>
            </w:r>
          </w:p>
        </w:tc>
        <w:tc>
          <w:tcPr>
            <w:tcW w:w="1252" w:type="pct"/>
            <w:tcBorders>
              <w:tl2br w:val="nil"/>
              <w:tr2bl w:val="nil"/>
            </w:tcBorders>
            <w:noWrap w:val="0"/>
            <w:vAlign w:val="center"/>
          </w:tcPr>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sym w:font="Wingdings 2" w:char="0052"/>
            </w:r>
            <w:r>
              <w:rPr>
                <w:rFonts w:ascii="Times New Roman" w:hAnsi="Times New Roman" w:eastAsia="宋体"/>
                <w:caps w:val="0"/>
                <w:color w:val="000000" w:themeColor="text1"/>
                <w:sz w:val="24"/>
                <w:highlight w:val="none"/>
                <w14:textFill>
                  <w14:solidFill>
                    <w14:schemeClr w14:val="tx1"/>
                  </w14:solidFill>
                </w14:textFill>
              </w:rPr>
              <w:t>新建</w:t>
            </w:r>
          </w:p>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改建</w:t>
            </w:r>
          </w:p>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sym w:font="Wingdings 2" w:char="00A3"/>
            </w:r>
            <w:r>
              <w:rPr>
                <w:rFonts w:ascii="Times New Roman" w:hAnsi="Times New Roman" w:eastAsia="宋体"/>
                <w:caps w:val="0"/>
                <w:color w:val="000000" w:themeColor="text1"/>
                <w:sz w:val="24"/>
                <w:highlight w:val="none"/>
                <w14:textFill>
                  <w14:solidFill>
                    <w14:schemeClr w14:val="tx1"/>
                  </w14:solidFill>
                </w14:textFill>
              </w:rPr>
              <w:t>扩建</w:t>
            </w:r>
          </w:p>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技术改造</w:t>
            </w:r>
          </w:p>
        </w:tc>
        <w:tc>
          <w:tcPr>
            <w:tcW w:w="1061" w:type="pct"/>
            <w:tcBorders>
              <w:tl2br w:val="nil"/>
              <w:tr2bl w:val="nil"/>
            </w:tcBorders>
            <w:noWrap w:val="0"/>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建设项目</w:t>
            </w:r>
          </w:p>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申报情形</w:t>
            </w:r>
          </w:p>
        </w:tc>
        <w:tc>
          <w:tcPr>
            <w:tcW w:w="2012" w:type="pct"/>
            <w:tcBorders>
              <w:tl2br w:val="nil"/>
              <w:tr2bl w:val="nil"/>
            </w:tcBorders>
            <w:noWrap w:val="0"/>
            <w:vAlign w:val="center"/>
          </w:tcPr>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sym w:font="Wingdings 2" w:char="0052"/>
            </w:r>
            <w:r>
              <w:rPr>
                <w:rFonts w:ascii="Times New Roman" w:hAnsi="Times New Roman" w:eastAsia="宋体"/>
                <w:caps w:val="0"/>
                <w:color w:val="000000" w:themeColor="text1"/>
                <w:sz w:val="24"/>
                <w:highlight w:val="none"/>
                <w14:textFill>
                  <w14:solidFill>
                    <w14:schemeClr w14:val="tx1"/>
                  </w14:solidFill>
                </w14:textFill>
              </w:rPr>
              <w:t>首次申报项目</w:t>
            </w:r>
          </w:p>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不予批准后再次申报项目</w:t>
            </w:r>
          </w:p>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超五年重新审核项目</w:t>
            </w:r>
          </w:p>
          <w:p>
            <w:pPr>
              <w:pageBreakBefore w:val="0"/>
              <w:kinsoku/>
              <w:wordWrap/>
              <w:bidi w:val="0"/>
              <w:adjustRightInd/>
              <w:snapToGrid/>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s="宋体"/>
                <w:caps w:val="0"/>
                <w:color w:val="000000" w:themeColor="text1"/>
                <w:szCs w:val="21"/>
                <w:highlight w:val="none"/>
                <w14:textFill>
                  <w14:solidFill>
                    <w14:schemeClr w14:val="tx1"/>
                  </w14:solidFill>
                </w14:textFill>
              </w:rPr>
              <w:sym w:font="Wingdings 2" w:char="00A3"/>
            </w:r>
            <w:r>
              <w:rPr>
                <w:rFonts w:ascii="Times New Roman" w:hAnsi="Times New Roman" w:eastAsia="宋体"/>
                <w:caps w:val="0"/>
                <w:color w:val="000000" w:themeColor="text1"/>
                <w:sz w:val="24"/>
                <w:highlight w:val="none"/>
                <w14:textFill>
                  <w14:solidFill>
                    <w14:schemeClr w14:val="tx1"/>
                  </w14:solidFill>
                </w14:textFill>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793"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项目审批（核准/</w:t>
            </w:r>
          </w:p>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备案）部门（选填）</w:t>
            </w:r>
          </w:p>
        </w:tc>
        <w:tc>
          <w:tcPr>
            <w:tcW w:w="1252" w:type="pct"/>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尉犁县发展和改革委员会</w:t>
            </w:r>
          </w:p>
        </w:tc>
        <w:tc>
          <w:tcPr>
            <w:tcW w:w="1061" w:type="pct"/>
            <w:tcBorders>
              <w:tl2br w:val="nil"/>
              <w:tr2bl w:val="nil"/>
            </w:tcBorders>
            <w:noWrap w:val="0"/>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项目审批（核准/</w:t>
            </w:r>
          </w:p>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备案）文号（选填）</w:t>
            </w:r>
          </w:p>
        </w:tc>
        <w:tc>
          <w:tcPr>
            <w:tcW w:w="201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default" w:ascii="Times New Roman" w:hAnsi="Times New Roman" w:eastAsia="宋体"/>
                <w:caps w:val="0"/>
                <w:color w:val="000000" w:themeColor="text1"/>
                <w:sz w:val="24"/>
                <w:highlight w:val="none"/>
                <w:lang w:val="en-US" w:eastAsia="zh-CN"/>
                <w14:textFill>
                  <w14:solidFill>
                    <w14:schemeClr w14:val="tx1"/>
                  </w14:solidFill>
                </w14:textFill>
              </w:rPr>
              <w:t>2511211765652823000060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总投资（万元）</w:t>
            </w:r>
          </w:p>
        </w:tc>
        <w:tc>
          <w:tcPr>
            <w:tcW w:w="125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800</w:t>
            </w:r>
          </w:p>
        </w:tc>
        <w:tc>
          <w:tcPr>
            <w:tcW w:w="1061"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环保投资（万元）</w:t>
            </w:r>
          </w:p>
        </w:tc>
        <w:tc>
          <w:tcPr>
            <w:tcW w:w="201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70.2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环保投资占比（%）</w:t>
            </w:r>
          </w:p>
        </w:tc>
        <w:tc>
          <w:tcPr>
            <w:tcW w:w="125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8.78</w:t>
            </w:r>
          </w:p>
        </w:tc>
        <w:tc>
          <w:tcPr>
            <w:tcW w:w="1061"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施工工期</w:t>
            </w:r>
          </w:p>
        </w:tc>
        <w:tc>
          <w:tcPr>
            <w:tcW w:w="201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5个月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是否开工建设</w:t>
            </w:r>
          </w:p>
        </w:tc>
        <w:tc>
          <w:tcPr>
            <w:tcW w:w="1252" w:type="pct"/>
            <w:tcBorders>
              <w:tl2br w:val="nil"/>
              <w:tr2bl w:val="nil"/>
            </w:tcBorders>
            <w:noWrap w:val="0"/>
            <w:vAlign w:val="center"/>
          </w:tcPr>
          <w:p>
            <w:pPr>
              <w:pageBreakBefore w:val="0"/>
              <w:kinsoku/>
              <w:wordWrap/>
              <w:bidi w:val="0"/>
              <w:adjustRightInd/>
              <w:snapToGrid/>
              <w:ind w:firstLine="105"/>
              <w:jc w:val="left"/>
              <w:rPr>
                <w:rFonts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sym w:font="Wingdings 2" w:char="0052"/>
            </w:r>
            <w:r>
              <w:rPr>
                <w:rFonts w:ascii="Times New Roman" w:hAnsi="Times New Roman" w:eastAsia="宋体"/>
                <w:caps w:val="0"/>
                <w:color w:val="000000" w:themeColor="text1"/>
                <w:sz w:val="24"/>
                <w:highlight w:val="none"/>
                <w14:textFill>
                  <w14:solidFill>
                    <w14:schemeClr w14:val="tx1"/>
                  </w14:solidFill>
                </w14:textFill>
              </w:rPr>
              <w:t>否</w:t>
            </w:r>
          </w:p>
          <w:p>
            <w:pPr>
              <w:pageBreakBefore w:val="0"/>
              <w:kinsoku/>
              <w:wordWrap/>
              <w:bidi w:val="0"/>
              <w:adjustRightInd/>
              <w:snapToGrid/>
              <w:ind w:firstLine="92"/>
              <w:jc w:val="left"/>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sym w:font="Wingdings 2" w:char="00A3"/>
            </w:r>
            <w:r>
              <w:rPr>
                <w:rFonts w:ascii="Times New Roman" w:hAnsi="Times New Roman" w:eastAsia="宋体"/>
                <w:caps w:val="0"/>
                <w:color w:val="000000" w:themeColor="text1"/>
                <w:sz w:val="24"/>
                <w:highlight w:val="none"/>
                <w14:textFill>
                  <w14:solidFill>
                    <w14:schemeClr w14:val="tx1"/>
                  </w14:solidFill>
                </w14:textFill>
              </w:rPr>
              <w:t>是</w:t>
            </w:r>
            <w:r>
              <w:rPr>
                <w:rFonts w:hint="eastAsia" w:ascii="Times New Roman" w:hAnsi="Times New Roman" w:eastAsia="宋体"/>
                <w:caps w:val="0"/>
                <w:color w:val="000000" w:themeColor="text1"/>
                <w:sz w:val="24"/>
                <w:highlight w:val="none"/>
                <w:u w:val="single"/>
                <w:lang w:val="en-US" w:eastAsia="zh-CN"/>
                <w14:textFill>
                  <w14:solidFill>
                    <w14:schemeClr w14:val="tx1"/>
                  </w14:solidFill>
                </w14:textFill>
              </w:rPr>
              <w:t xml:space="preserve">       </w:t>
            </w:r>
          </w:p>
        </w:tc>
        <w:tc>
          <w:tcPr>
            <w:tcW w:w="1061" w:type="pct"/>
            <w:tcBorders>
              <w:tl2br w:val="nil"/>
              <w:tr2bl w:val="nil"/>
            </w:tcBorders>
            <w:noWrap w:val="0"/>
            <w:tcMar>
              <w:top w:w="16" w:type="dxa"/>
              <w:left w:w="16" w:type="dxa"/>
              <w:right w:w="16" w:type="dxa"/>
            </w:tcMar>
            <w:vAlign w:val="center"/>
          </w:tcPr>
          <w:p>
            <w:pPr>
              <w:pageBreakBefore w:val="0"/>
              <w:kinsoku/>
              <w:wordWrap/>
              <w:bidi w:val="0"/>
              <w:adjustRightInd/>
              <w:snapToGrid/>
              <w:jc w:val="center"/>
              <w:rPr>
                <w:rFonts w:ascii="Times New Roman" w:hAnsi="Times New Roman" w:eastAsia="宋体"/>
                <w:caps w:val="0"/>
                <w:color w:val="000000" w:themeColor="text1"/>
                <w:spacing w:val="-6"/>
                <w:sz w:val="24"/>
                <w:highlight w:val="none"/>
                <w14:textFill>
                  <w14:solidFill>
                    <w14:schemeClr w14:val="tx1"/>
                  </w14:solidFill>
                </w14:textFill>
              </w:rPr>
            </w:pPr>
            <w:r>
              <w:rPr>
                <w:rFonts w:ascii="Times New Roman" w:hAnsi="Times New Roman" w:eastAsia="宋体"/>
                <w:caps w:val="0"/>
                <w:color w:val="000000" w:themeColor="text1"/>
                <w:spacing w:val="-6"/>
                <w:sz w:val="24"/>
                <w:highlight w:val="none"/>
                <w14:textFill>
                  <w14:solidFill>
                    <w14:schemeClr w14:val="tx1"/>
                  </w14:solidFill>
                </w14:textFill>
              </w:rPr>
              <w:t>用地（用海）</w:t>
            </w:r>
          </w:p>
          <w:p>
            <w:pPr>
              <w:pageBreakBefore w:val="0"/>
              <w:kinsoku/>
              <w:wordWrap/>
              <w:bidi w:val="0"/>
              <w:adjustRightInd/>
              <w:snapToGrid/>
              <w:jc w:val="center"/>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pacing w:val="-6"/>
                <w:sz w:val="24"/>
                <w:highlight w:val="none"/>
                <w14:textFill>
                  <w14:solidFill>
                    <w14:schemeClr w14:val="tx1"/>
                  </w14:solidFill>
                </w14:textFill>
              </w:rPr>
              <w:t>面积（m</w:t>
            </w:r>
            <w:r>
              <w:rPr>
                <w:rFonts w:ascii="Times New Roman" w:hAnsi="Times New Roman" w:eastAsia="宋体"/>
                <w:caps w:val="0"/>
                <w:color w:val="000000" w:themeColor="text1"/>
                <w:spacing w:val="-6"/>
                <w:sz w:val="24"/>
                <w:highlight w:val="none"/>
                <w:vertAlign w:val="superscript"/>
                <w14:textFill>
                  <w14:solidFill>
                    <w14:schemeClr w14:val="tx1"/>
                  </w14:solidFill>
                </w14:textFill>
              </w:rPr>
              <w:t>2</w:t>
            </w:r>
            <w:r>
              <w:rPr>
                <w:rFonts w:ascii="Times New Roman" w:hAnsi="Times New Roman" w:eastAsia="宋体"/>
                <w:caps w:val="0"/>
                <w:color w:val="000000" w:themeColor="text1"/>
                <w:spacing w:val="-6"/>
                <w:sz w:val="24"/>
                <w:highlight w:val="none"/>
                <w14:textFill>
                  <w14:solidFill>
                    <w14:schemeClr w14:val="tx1"/>
                  </w14:solidFill>
                </w14:textFill>
              </w:rPr>
              <w:t>）</w:t>
            </w:r>
          </w:p>
        </w:tc>
        <w:tc>
          <w:tcPr>
            <w:tcW w:w="201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lang w:val="en-US" w:eastAsia="zh-CN"/>
                <w14:textFill>
                  <w14:solidFill>
                    <w14:schemeClr w14:val="tx1"/>
                  </w14:solidFill>
                </w14:textFill>
              </w:rPr>
              <w:t>16474.67</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67" w:hRule="atLeast"/>
          <w:jc w:val="center"/>
        </w:trPr>
        <w:tc>
          <w:tcPr>
            <w:tcW w:w="674" w:type="pct"/>
            <w:tcBorders>
              <w:tl2br w:val="nil"/>
              <w:tr2bl w:val="nil"/>
            </w:tcBorders>
            <w:noWrap w:val="0"/>
            <w:vAlign w:val="center"/>
          </w:tcPr>
          <w:p>
            <w:pPr>
              <w:pageBreakBefore w:val="0"/>
              <w:kinsoku/>
              <w:wordWrap/>
              <w:autoSpaceDE w:val="0"/>
              <w:autoSpaceDN w:val="0"/>
              <w:bidi w:val="0"/>
              <w:adjustRightInd/>
              <w:snapToGrid/>
              <w:jc w:val="center"/>
              <w:rPr>
                <w:rFonts w:ascii="Times New Roman" w:hAnsi="Times New Roman" w:eastAsia="宋体"/>
                <w:caps w:val="0"/>
                <w:color w:val="000000" w:themeColor="text1"/>
                <w:kern w:val="0"/>
                <w:sz w:val="24"/>
                <w:highlight w:val="none"/>
                <w14:textFill>
                  <w14:solidFill>
                    <w14:schemeClr w14:val="tx1"/>
                  </w14:solidFill>
                </w14:textFill>
              </w:rPr>
            </w:pPr>
            <w:r>
              <w:rPr>
                <w:rFonts w:ascii="Times New Roman" w:hAnsi="Times New Roman" w:eastAsia="宋体"/>
                <w:caps w:val="0"/>
                <w:color w:val="000000" w:themeColor="text1"/>
                <w:kern w:val="0"/>
                <w:sz w:val="24"/>
                <w:highlight w:val="none"/>
                <w14:textFill>
                  <w14:solidFill>
                    <w14:schemeClr w14:val="tx1"/>
                  </w14:solidFill>
                </w14:textFill>
              </w:rPr>
              <w:t>专项评价设置情况</w:t>
            </w:r>
          </w:p>
        </w:tc>
        <w:tc>
          <w:tcPr>
            <w:tcW w:w="4325" w:type="pct"/>
            <w:gridSpan w:val="3"/>
            <w:tcBorders>
              <w:tl2br w:val="nil"/>
              <w:tr2bl w:val="nil"/>
            </w:tcBorders>
            <w:noWrap w:val="0"/>
            <w:vAlign w:val="center"/>
          </w:tcPr>
          <w:p>
            <w:pPr>
              <w:pageBreakBefore w:val="0"/>
              <w:kinsoku/>
              <w:wordWrap/>
              <w:autoSpaceDE w:val="0"/>
              <w:autoSpaceDN w:val="0"/>
              <w:bidi w:val="0"/>
              <w:adjustRightInd/>
              <w:snapToGrid/>
              <w:jc w:val="cente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81" w:hRule="atLeast"/>
          <w:jc w:val="center"/>
        </w:trPr>
        <w:tc>
          <w:tcPr>
            <w:tcW w:w="674" w:type="pct"/>
            <w:tcBorders>
              <w:tl2br w:val="nil"/>
              <w:tr2bl w:val="nil"/>
            </w:tcBorders>
            <w:noWrap w:val="0"/>
            <w:vAlign w:val="center"/>
          </w:tcPr>
          <w:p>
            <w:pPr>
              <w:pageBreakBefore w:val="0"/>
              <w:kinsoku/>
              <w:wordWrap/>
              <w:autoSpaceDE w:val="0"/>
              <w:autoSpaceDN w:val="0"/>
              <w:bidi w:val="0"/>
              <w:adjustRightInd/>
              <w:snapToGrid/>
              <w:jc w:val="center"/>
              <w:rPr>
                <w:rFonts w:ascii="Times New Roman" w:hAnsi="Times New Roman" w:eastAsia="宋体"/>
                <w:caps w:val="0"/>
                <w:color w:val="000000" w:themeColor="text1"/>
                <w:kern w:val="0"/>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规划情况</w:t>
            </w:r>
          </w:p>
        </w:tc>
        <w:tc>
          <w:tcPr>
            <w:tcW w:w="4325" w:type="pct"/>
            <w:gridSpan w:val="3"/>
            <w:tcBorders>
              <w:tl2br w:val="nil"/>
              <w:tr2bl w:val="nil"/>
            </w:tcBorders>
            <w:noWrap w:val="0"/>
            <w:vAlign w:val="center"/>
          </w:tcPr>
          <w:p>
            <w:pPr>
              <w:pageBreakBefore w:val="0"/>
              <w:kinsoku/>
              <w:wordWrap/>
              <w:autoSpaceDE w:val="0"/>
              <w:autoSpaceDN w:val="0"/>
              <w:bidi w:val="0"/>
              <w:adjustRightInd/>
              <w:snapToGrid/>
              <w:jc w:val="cente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00" w:hRule="atLeast"/>
          <w:jc w:val="center"/>
        </w:trPr>
        <w:tc>
          <w:tcPr>
            <w:tcW w:w="674" w:type="pct"/>
            <w:tcBorders>
              <w:tl2br w:val="nil"/>
              <w:tr2bl w:val="nil"/>
            </w:tcBorders>
            <w:noWrap w:val="0"/>
            <w:vAlign w:val="center"/>
          </w:tcPr>
          <w:p>
            <w:pPr>
              <w:pageBreakBefore w:val="0"/>
              <w:kinsoku/>
              <w:wordWrap/>
              <w:bidi w:val="0"/>
              <w:adjustRightInd/>
              <w:snapToGrid/>
              <w:jc w:val="center"/>
              <w:rPr>
                <w:rFonts w:ascii="Times New Roman" w:hAnsi="Times New Roman" w:eastAsia="宋体"/>
                <w:caps w:val="0"/>
                <w:color w:val="000000" w:themeColor="text1"/>
                <w:kern w:val="0"/>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规划环境影响评价情况</w:t>
            </w:r>
          </w:p>
        </w:tc>
        <w:tc>
          <w:tcPr>
            <w:tcW w:w="4325" w:type="pct"/>
            <w:gridSpan w:val="3"/>
            <w:tcBorders>
              <w:tl2br w:val="nil"/>
              <w:tr2bl w:val="nil"/>
            </w:tcBorders>
            <w:noWrap w:val="0"/>
            <w:vAlign w:val="center"/>
          </w:tcPr>
          <w:p>
            <w:pPr>
              <w:pageBreakBefore w:val="0"/>
              <w:kinsoku/>
              <w:wordWrap/>
              <w:autoSpaceDE w:val="0"/>
              <w:autoSpaceDN w:val="0"/>
              <w:bidi w:val="0"/>
              <w:adjustRightInd/>
              <w:snapToGrid/>
              <w:jc w:val="cente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1021" w:hRule="atLeast"/>
          <w:jc w:val="center"/>
        </w:trPr>
        <w:tc>
          <w:tcPr>
            <w:tcW w:w="674" w:type="pct"/>
            <w:tcBorders>
              <w:tl2br w:val="nil"/>
              <w:tr2bl w:val="nil"/>
            </w:tcBorders>
            <w:noWrap w:val="0"/>
            <w:vAlign w:val="center"/>
          </w:tcPr>
          <w:p>
            <w:pPr>
              <w:pageBreakBefore w:val="0"/>
              <w:kinsoku/>
              <w:wordWrap/>
              <w:autoSpaceDE w:val="0"/>
              <w:autoSpaceDN w:val="0"/>
              <w:bidi w:val="0"/>
              <w:adjustRightInd/>
              <w:snapToGrid/>
              <w:jc w:val="center"/>
              <w:rPr>
                <w:rFonts w:ascii="Times New Roman" w:hAnsi="Times New Roman" w:eastAsia="宋体"/>
                <w:caps w:val="0"/>
                <w:color w:val="000000" w:themeColor="text1"/>
                <w:kern w:val="0"/>
                <w:sz w:val="24"/>
                <w:highlight w:val="none"/>
                <w14:textFill>
                  <w14:solidFill>
                    <w14:schemeClr w14:val="tx1"/>
                  </w14:solidFill>
                </w14:textFill>
              </w:rPr>
            </w:pPr>
            <w:r>
              <w:rPr>
                <w:rFonts w:ascii="Times New Roman" w:hAnsi="Times New Roman" w:eastAsia="宋体"/>
                <w:caps w:val="0"/>
                <w:color w:val="000000" w:themeColor="text1"/>
                <w:kern w:val="0"/>
                <w:sz w:val="24"/>
                <w:highlight w:val="none"/>
                <w14:textFill>
                  <w14:solidFill>
                    <w14:schemeClr w14:val="tx1"/>
                  </w14:solidFill>
                </w14:textFill>
              </w:rPr>
              <w:t>规划及规划环境影响评价符合性分析</w:t>
            </w:r>
          </w:p>
        </w:tc>
        <w:tc>
          <w:tcPr>
            <w:tcW w:w="4325" w:type="pct"/>
            <w:gridSpan w:val="3"/>
            <w:tcBorders>
              <w:tl2br w:val="nil"/>
              <w:tr2bl w:val="nil"/>
            </w:tcBorders>
            <w:noWrap w:val="0"/>
            <w:vAlign w:val="center"/>
          </w:tcPr>
          <w:p>
            <w:pPr>
              <w:pStyle w:val="35"/>
              <w:jc w:val="cente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0"/>
                <w:sz w:val="24"/>
                <w:szCs w:val="24"/>
                <w:highlight w:val="none"/>
                <w:lang w:val="en-US" w:eastAsia="zh-CN" w:bidi="ar-SA"/>
                <w14:textFill>
                  <w14:solidFill>
                    <w14:schemeClr w14:val="tx1"/>
                  </w14:solidFill>
                </w14:textFill>
              </w:rPr>
              <w:t>无</w:t>
            </w:r>
          </w:p>
        </w:tc>
      </w:tr>
    </w:tbl>
    <w:p>
      <w:pPr>
        <w:pageBreakBefore w:val="0"/>
        <w:kinsoku/>
        <w:wordWrap/>
        <w:bidi w:val="0"/>
        <w:adjustRightInd/>
        <w:snapToGrid/>
        <w:spacing w:line="360" w:lineRule="auto"/>
        <w:rPr>
          <w:rFonts w:ascii="Times New Roman" w:hAnsi="Times New Roman" w:eastAsia="宋体"/>
          <w:caps w:val="0"/>
          <w:color w:val="000000" w:themeColor="text1"/>
          <w:sz w:val="30"/>
          <w:highlight w:val="none"/>
          <w14:textFill>
            <w14:solidFill>
              <w14:schemeClr w14:val="tx1"/>
            </w14:solidFill>
          </w14:textFill>
        </w:rPr>
      </w:pPr>
    </w:p>
    <w:tbl>
      <w:tblPr>
        <w:tblStyle w:val="48"/>
        <w:tblW w:w="5009"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467"/>
        <w:gridCol w:w="844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13248" w:hRule="atLeast"/>
          <w:jc w:val="center"/>
        </w:trPr>
        <w:tc>
          <w:tcPr>
            <w:tcW w:w="262" w:type="pct"/>
            <w:tcBorders>
              <w:tl2br w:val="nil"/>
              <w:tr2bl w:val="nil"/>
            </w:tcBorders>
            <w:noWrap w:val="0"/>
            <w:vAlign w:val="center"/>
          </w:tcPr>
          <w:p>
            <w:pPr>
              <w:pageBreakBefore w:val="0"/>
              <w:kinsoku/>
              <w:wordWrap/>
              <w:autoSpaceDE w:val="0"/>
              <w:autoSpaceDN w:val="0"/>
              <w:bidi w:val="0"/>
              <w:adjustRightInd/>
              <w:snapToGrid/>
              <w:jc w:val="center"/>
              <w:rPr>
                <w:rFonts w:ascii="Times New Roman" w:hAnsi="Times New Roman" w:eastAsia="宋体"/>
                <w:caps w:val="0"/>
                <w:color w:val="000000" w:themeColor="text1"/>
                <w:kern w:val="0"/>
                <w:sz w:val="24"/>
                <w:highlight w:val="none"/>
                <w14:textFill>
                  <w14:solidFill>
                    <w14:schemeClr w14:val="tx1"/>
                  </w14:solidFill>
                </w14:textFill>
              </w:rPr>
            </w:pPr>
            <w:r>
              <w:rPr>
                <w:rFonts w:ascii="Times New Roman" w:hAnsi="Times New Roman" w:eastAsia="宋体"/>
                <w:caps w:val="0"/>
                <w:color w:val="000000" w:themeColor="text1"/>
                <w:kern w:val="0"/>
                <w:sz w:val="24"/>
                <w:highlight w:val="none"/>
                <w14:textFill>
                  <w14:solidFill>
                    <w14:schemeClr w14:val="tx1"/>
                  </w14:solidFill>
                </w14:textFill>
              </w:rPr>
              <w:t>其他符合性分析</w:t>
            </w:r>
          </w:p>
        </w:tc>
        <w:tc>
          <w:tcPr>
            <w:tcW w:w="473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1、生态环境分区管控要求的符合性分析</w:t>
            </w:r>
          </w:p>
          <w:p>
            <w:pPr>
              <w:pStyle w:val="293"/>
              <w:keepNext w:val="0"/>
              <w:keepLines w:val="0"/>
              <w:pageBreakBefore w:val="0"/>
              <w:widowControl w:val="0"/>
              <w:tabs>
                <w:tab w:val="left" w:pos="1054"/>
              </w:tabs>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b w:val="0"/>
                <w:bCs/>
                <w:snapToGrid w:val="0"/>
                <w:color w:val="000000" w:themeColor="text1"/>
                <w:kern w:val="0"/>
                <w:sz w:val="24"/>
                <w:szCs w:val="24"/>
                <w:highlight w:val="none"/>
                <w:lang w:val="en-US" w:eastAsia="zh-CN"/>
                <w14:textFill>
                  <w14:solidFill>
                    <w14:schemeClr w14:val="tx1"/>
                  </w14:solidFill>
                </w14:textFill>
              </w:rPr>
            </w:pPr>
            <w:r>
              <w:rPr>
                <w:color w:val="000000" w:themeColor="text1"/>
                <w:sz w:val="24"/>
                <w:szCs w:val="24"/>
                <w:highlight w:val="none"/>
                <w14:textFill>
                  <w14:solidFill>
                    <w14:schemeClr w14:val="tx1"/>
                  </w14:solidFill>
                </w14:textFill>
              </w:rPr>
              <w:t>本项目位于</w:t>
            </w:r>
            <w:r>
              <w:rPr>
                <w:rFonts w:hint="eastAsia" w:ascii="Times New Roman" w:hAnsi="Times New Roman" w:eastAsia="宋体" w:cs="Times New Roman"/>
                <w:caps w:val="0"/>
                <w:color w:val="000000" w:themeColor="text1"/>
                <w:sz w:val="24"/>
                <w:highlight w:val="none"/>
                <w:lang w:val="en-US" w:eastAsia="zh-CN"/>
                <w14:textFill>
                  <w14:solidFill>
                    <w14:schemeClr w14:val="tx1"/>
                  </w14:solidFill>
                </w14:textFill>
              </w:rPr>
              <w:t>尉犁县尉东矿产品加工园区以东</w:t>
            </w:r>
            <w:r>
              <w:rPr>
                <w:rFonts w:ascii="Times New Roman" w:hAnsi="Times New Roman" w:cs="Times New Roman"/>
                <w:color w:val="000000" w:themeColor="text1"/>
                <w:sz w:val="24"/>
                <w:szCs w:val="24"/>
                <w:highlight w:val="none"/>
                <w14:textFill>
                  <w14:solidFill>
                    <w14:schemeClr w14:val="tx1"/>
                  </w14:solidFill>
                </w14:textFill>
              </w:rPr>
              <w:t>，根据</w:t>
            </w:r>
            <w:r>
              <w:rPr>
                <w:rFonts w:hint="eastAsia" w:ascii="Times New Roman" w:hAnsi="Times New Roman" w:cs="Times New Roman"/>
                <w:color w:val="000000" w:themeColor="text1"/>
                <w:sz w:val="24"/>
                <w:szCs w:val="24"/>
                <w:highlight w:val="none"/>
                <w14:textFill>
                  <w14:solidFill>
                    <w14:schemeClr w14:val="tx1"/>
                  </w14:solidFill>
                </w14:textFill>
              </w:rPr>
              <w:t>《巴音郭楞蒙古自治州“三线一单”生态环境分区管控动态更新成果（2023年）》（巴政办发〔2024〕32号）</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及附件“巴音郭楞蒙古自治州生态环境准入清单”，本项目所在区域不在生态保护红线范围内，</w:t>
            </w:r>
            <w:r>
              <w:rPr>
                <w:rFonts w:hint="eastAsia" w:ascii="Times New Roman" w:hAnsi="Times New Roman" w:eastAsia="宋体" w:cs="Times New Roman"/>
                <w:b w:val="0"/>
                <w:bCs/>
                <w:snapToGrid w:val="0"/>
                <w:color w:val="000000" w:themeColor="text1"/>
                <w:kern w:val="0"/>
                <w:sz w:val="24"/>
                <w:szCs w:val="24"/>
                <w:highlight w:val="none"/>
                <w:lang w:eastAsia="zh-CN"/>
                <w14:textFill>
                  <w14:solidFill>
                    <w14:schemeClr w14:val="tx1"/>
                  </w14:solidFill>
                </w14:textFill>
              </w:rPr>
              <w:t>所在区域为一般管控单元</w:t>
            </w:r>
            <w:r>
              <w:rPr>
                <w:rFonts w:hint="eastAsia"/>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snapToGrid w:val="0"/>
                <w:color w:val="000000" w:themeColor="text1"/>
                <w:kern w:val="0"/>
                <w:sz w:val="24"/>
                <w:szCs w:val="24"/>
                <w:highlight w:val="none"/>
                <w:lang w:val="en-US" w:eastAsia="zh-CN"/>
                <w14:textFill>
                  <w14:solidFill>
                    <w14:schemeClr w14:val="tx1"/>
                  </w14:solidFill>
                </w14:textFill>
              </w:rPr>
              <w:t>管控单元编码：ZH65282330001。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snapToGrid w:val="0"/>
                <w:color w:val="000000" w:themeColor="text1"/>
                <w:kern w:val="0"/>
                <w:sz w:val="24"/>
                <w:szCs w:val="24"/>
                <w:highlight w:val="none"/>
                <w:lang w:val="en-US" w:eastAsia="zh-CN"/>
                <w14:textFill>
                  <w14:solidFill>
                    <w14:schemeClr w14:val="tx1"/>
                  </w14:solidFill>
                </w14:textFill>
              </w:rPr>
              <w:t>与《新疆维吾尔自治区生态环境分区管控动态更新成果》（新政发〔2024〕157号）的符合性分析见表1</w:t>
            </w:r>
            <w:r>
              <w:rPr>
                <w:rFonts w:hint="eastAsia" w:cs="Times New Roman"/>
                <w:b w:val="0"/>
                <w:bCs/>
                <w:snapToGrid w:val="0"/>
                <w:color w:val="000000" w:themeColor="text1"/>
                <w:kern w:val="0"/>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snapToGrid w:val="0"/>
                <w:color w:val="000000" w:themeColor="text1"/>
                <w:kern w:val="0"/>
                <w:sz w:val="24"/>
                <w:szCs w:val="24"/>
                <w:highlight w:val="no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与《巴音郭楞蒙古自治州“三线一单”生态环境分区管控动态更新成果（2023年）》（巴政办发〔2024〕32号）符合性分析见表1-2。</w:t>
            </w:r>
          </w:p>
          <w:p>
            <w:pPr>
              <w:pStyle w:val="6"/>
              <w:keepNext/>
              <w:keepLines/>
              <w:pageBreakBefore w:val="0"/>
              <w:widowControl w:val="0"/>
              <w:kinsoku/>
              <w:wordWrap/>
              <w:overflowPunct/>
              <w:topLinePunct w:val="0"/>
              <w:autoSpaceDE/>
              <w:autoSpaceDN/>
              <w:bidi w:val="0"/>
              <w:adjustRightInd w:val="0"/>
              <w:snapToGrid w:val="0"/>
              <w:spacing w:before="0" w:after="0" w:line="240" w:lineRule="auto"/>
              <w:ind w:firstLine="422" w:firstLineChars="20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与《新疆维吾尔自治区生态环境分区管控动态更新成果》符合性表</w:t>
            </w:r>
          </w:p>
          <w:tbl>
            <w:tblPr>
              <w:tblStyle w:val="291"/>
              <w:tblW w:w="49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42"/>
              <w:gridCol w:w="787"/>
              <w:gridCol w:w="3924"/>
              <w:gridCol w:w="30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7" w:type="pct"/>
                  <w:gridSpan w:val="2"/>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管控维度</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管控要求</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符合性分析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0" w:hRule="atLeast"/>
                <w:jc w:val="center"/>
              </w:trPr>
              <w:tc>
                <w:tcPr>
                  <w:tcW w:w="269" w:type="pct"/>
                  <w:vMerge w:val="restar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A1空间布局约束</w:t>
                  </w:r>
                </w:p>
              </w:tc>
              <w:tc>
                <w:tcPr>
                  <w:tcW w:w="47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A1.1禁止开发建设的活动</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〔A1.1-1〕禁止新建、扩建《产业结构调整指导目录（2024年本）》中淘汰类项目。禁止引入《市场准入负面清单（2022年版）》禁止准入类事项。</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en-US"/>
                      <w14:textFill>
                        <w14:solidFill>
                          <w14:schemeClr w14:val="tx1"/>
                        </w14:solidFill>
                      </w14:textFill>
                    </w:rPr>
                    <w:t>符合，本项目属于《产业结构调整指导目录（2024 年本）》</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鼓励</w:t>
                  </w:r>
                  <w:r>
                    <w:rPr>
                      <w:rFonts w:hint="default" w:ascii="Times New Roman" w:hAnsi="Times New Roman" w:eastAsia="宋体" w:cs="Times New Roman"/>
                      <w:color w:val="000000" w:themeColor="text1"/>
                      <w:sz w:val="21"/>
                      <w:szCs w:val="21"/>
                      <w:highlight w:val="none"/>
                      <w:lang w:val="en-US" w:eastAsia="en-US"/>
                      <w14:textFill>
                        <w14:solidFill>
                          <w14:schemeClr w14:val="tx1"/>
                        </w14:solidFill>
                      </w14:textFill>
                    </w:rPr>
                    <w:t>类项目，不属于《市场准入负面清单（2025年版）》禁止准入事项。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69" w:type="pct"/>
                  <w:vMerge w:val="continue"/>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47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A1.2限制开发建设的活动</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符合，用地为工业用地。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69" w:type="pct"/>
                  <w:vMerge w:val="continue"/>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47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A1.3不符合空间布局要求活动的退出要求</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〔A1.3-4〕城市建成区、重点流域内已建成投产化工企业和危险化学品生产企业应加快退城入园，搬入化工园区前企业不应实施改扩建工程扩大生产规模。</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选址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不位于</w:t>
                  </w:r>
                  <w:r>
                    <w:rPr>
                      <w:rFonts w:hint="default" w:ascii="Times New Roman" w:hAnsi="Times New Roman" w:eastAsia="宋体" w:cs="Times New Roman"/>
                      <w:color w:val="000000" w:themeColor="text1"/>
                      <w:sz w:val="21"/>
                      <w:szCs w:val="21"/>
                      <w:lang w:val="en-US"/>
                      <w14:textFill>
                        <w14:solidFill>
                          <w14:schemeClr w14:val="tx1"/>
                        </w14:solidFill>
                      </w14:textFill>
                    </w:rPr>
                    <w:t>城市建成区、重点流域内。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69" w:type="pct"/>
                  <w:vMerge w:val="continue"/>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47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A1.4其它布局要求</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t>尉犁县国土空间规划</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03" w:hRule="atLeast"/>
                <w:jc w:val="center"/>
              </w:trPr>
              <w:tc>
                <w:tcPr>
                  <w:tcW w:w="269"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A2污染物排放管控</w:t>
                  </w:r>
                </w:p>
              </w:tc>
              <w:tc>
                <w:tcPr>
                  <w:tcW w:w="47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A2.2污染控制措施要求</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生产废水处理后循环使用</w:t>
                  </w:r>
                  <w:r>
                    <w:rPr>
                      <w:rFonts w:hint="default" w:ascii="Times New Roman" w:hAnsi="Times New Roman" w:eastAsia="宋体" w:cs="Times New Roman"/>
                      <w:color w:val="000000" w:themeColor="text1"/>
                      <w:sz w:val="21"/>
                      <w:szCs w:val="21"/>
                      <w:lang w:val="en-US"/>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69"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A4资源利用要求</w:t>
                  </w:r>
                </w:p>
              </w:tc>
              <w:tc>
                <w:tcPr>
                  <w:tcW w:w="47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A4.5资源综合利用</w:t>
                  </w:r>
                </w:p>
              </w:tc>
              <w:tc>
                <w:tcPr>
                  <w:tcW w:w="238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867"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符合，</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本项目为固废处置项目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综上所述，本项目符合《新疆维吾尔自治区生态环境分区管控动态更新成果》（新政发〔2024〕157号）管控要求</w:t>
            </w:r>
            <w:r>
              <w:rPr>
                <w:rFonts w:hint="eastAsia"/>
                <w:color w:val="000000" w:themeColor="text1"/>
                <w:sz w:val="24"/>
                <w:szCs w:val="24"/>
                <w:lang w:eastAsia="zh-CN"/>
                <w14:textFill>
                  <w14:solidFill>
                    <w14:schemeClr w14:val="tx1"/>
                  </w14:solidFill>
                </w14:textFill>
              </w:rPr>
              <w:t>。</w:t>
            </w:r>
          </w:p>
          <w:p>
            <w:pPr>
              <w:pStyle w:val="6"/>
              <w:keepNext/>
              <w:keepLines/>
              <w:pageBreakBefore w:val="0"/>
              <w:widowControl w:val="0"/>
              <w:kinsoku/>
              <w:wordWrap/>
              <w:overflowPunct/>
              <w:topLinePunct w:val="0"/>
              <w:autoSpaceDE/>
              <w:autoSpaceDN/>
              <w:bidi w:val="0"/>
              <w:adjustRightInd w:val="0"/>
              <w:snapToGrid w:val="0"/>
              <w:spacing w:before="0" w:after="0" w:line="240" w:lineRule="auto"/>
              <w:ind w:firstLine="422" w:firstLineChars="200"/>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           与自治州“三线一单”生态环境分区管控方案</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符合分析</w:t>
            </w:r>
          </w:p>
          <w:tbl>
            <w:tblPr>
              <w:tblStyle w:val="48"/>
              <w:tblW w:w="48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0"/>
              <w:gridCol w:w="808"/>
              <w:gridCol w:w="4697"/>
              <w:gridCol w:w="1059"/>
              <w:gridCol w:w="5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3"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环境管控单元名称及编码</w:t>
                  </w:r>
                </w:p>
              </w:tc>
              <w:tc>
                <w:tcPr>
                  <w:tcW w:w="3347" w:type="pct"/>
                  <w:gridSpan w:val="2"/>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“三线一单”要求</w:t>
                  </w:r>
                </w:p>
              </w:tc>
              <w:tc>
                <w:tcPr>
                  <w:tcW w:w="644"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p>
              </w:tc>
              <w:tc>
                <w:tcPr>
                  <w:tcW w:w="31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尉犁县一般管控区</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ZH65282330001</w:t>
                  </w:r>
                  <w:r>
                    <w:rPr>
                      <w:rFonts w:hint="eastAsia" w:cs="Times New Roman"/>
                      <w:color w:val="000000" w:themeColor="text1"/>
                      <w:sz w:val="21"/>
                      <w:szCs w:val="21"/>
                      <w:lang w:val="en-US" w:eastAsia="zh-CN"/>
                      <w14:textFill>
                        <w14:solidFill>
                          <w14:schemeClr w14:val="tx1"/>
                        </w14:solidFill>
                      </w14:textFill>
                    </w:rPr>
                    <w:t>)</w:t>
                  </w:r>
                </w:p>
              </w:tc>
              <w:tc>
                <w:tcPr>
                  <w:tcW w:w="491"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空间管控约束</w:t>
                  </w:r>
                </w:p>
              </w:tc>
              <w:tc>
                <w:tcPr>
                  <w:tcW w:w="2856"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建设项目用地原则上不得占用基本农田，确需占用基本农田的建设项目须符合《中华人民共和国基本农田保护条例》中相关要求，占用耕地、林地或草地的建设项目须按照国家、自治区相关补偿要求进行补偿。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3.永久基本农田集中区域禁止规划新建可能造成土壤污染的建设项目。涉及有毒有害物质可能造成土壤污染的新</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改、扩</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项目，提出并落实土壤和地下水污染防治要求。4.严格执行畜禽养殖禁养区规定，根据区域用地和消纳水平，合理确定养殖规模。5.禁止向沙漠、滩涂、盐碱地、沼泽地等非法排污、倾倒有毒有害物质。6.禁止利用渗坑、裂隙、溶洞或者采用稀释等方法处置危险废物。</w:t>
                  </w:r>
                </w:p>
              </w:tc>
              <w:tc>
                <w:tcPr>
                  <w:tcW w:w="644"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1.不占用农田。</w:t>
                  </w:r>
                  <w:r>
                    <w:rPr>
                      <w:rFonts w:hint="default" w:ascii="Times New Roman" w:hAnsi="Times New Roman" w:eastAsia="宋体" w:cs="Times New Roman"/>
                      <w:color w:val="000000" w:themeColor="text1"/>
                      <w:lang w:val="en-US" w:eastAsia="zh-CN"/>
                      <w14:textFill>
                        <w14:solidFill>
                          <w14:schemeClr w14:val="tx1"/>
                        </w14:solidFill>
                      </w14:textFill>
                    </w:rPr>
                    <w:t>2.不涉及。3.不位于永久农田集中区域。4.不涉及。5.不会违法排污。6.危险废物委托有资质单位处置。</w:t>
                  </w:r>
                </w:p>
              </w:tc>
              <w:tc>
                <w:tcPr>
                  <w:tcW w:w="31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3" w:type="pct"/>
                  <w:vMerge w:val="continue"/>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91"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污染物排放管控</w:t>
                  </w:r>
                </w:p>
              </w:tc>
              <w:tc>
                <w:tcPr>
                  <w:tcW w:w="2856"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强化畜禽粪污资源化利用，改善养殖场通风环境，提高畜禽粪污综合利用率，减少氨挥发排放。鼓励和支持散养密集区实行畜禽粪污分户收集、集中处理。2.严格控制林地、草地、园地农药使用量，禁止使用高毒、高残留农药。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4.对化学品生产企业、工业集聚区、尾矿库、矿山开采区、危险废物处置场、垃圾填埋场等地下水污染源及周边区域，逐步开展地下水环境状况调查评估，加强风险管控。5.严控土壤重金属污染，加强油（气）田开发土壤污染防治，以历史遗留工业企业污染场地为重点，开展土壤污染风险管控与修复工程。</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644" w:type="pct"/>
                  <w:tcBorders>
                    <w:tl2br w:val="nil"/>
                    <w:tr2bl w:val="nil"/>
                  </w:tcBorders>
                  <w:noWrap w:val="0"/>
                  <w:vAlign w:val="center"/>
                </w:tcPr>
                <w:p>
                  <w:pPr>
                    <w:pStyle w:val="15"/>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6.</w:t>
                  </w:r>
                  <w:r>
                    <w:rPr>
                      <w:rFonts w:hint="default" w:ascii="Times New Roman" w:hAnsi="Times New Roman" w:eastAsia="宋体" w:cs="Times New Roman"/>
                      <w:color w:val="000000" w:themeColor="text1"/>
                      <w:lang w:val="en-US" w:eastAsia="zh-CN"/>
                      <w14:textFill>
                        <w14:solidFill>
                          <w14:schemeClr w14:val="tx1"/>
                        </w14:solidFill>
                      </w14:textFill>
                    </w:rPr>
                    <w:t>不涉及。</w:t>
                  </w:r>
                </w:p>
              </w:tc>
              <w:tc>
                <w:tcPr>
                  <w:tcW w:w="31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3" w:type="pct"/>
                  <w:vMerge w:val="continue"/>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91"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环境风险防控</w:t>
                  </w:r>
                </w:p>
              </w:tc>
              <w:tc>
                <w:tcPr>
                  <w:tcW w:w="2856"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加强对矿山、油田等矿产资源开采影响区域内未利用地的环境监管，发现土壤污染问题的，要坚决查处，并及时督促有关单位采取有效防治措施消除或减轻污染。2.对排查出的危库和病库以及风险评估有严重环境安全隐患的尾矿库，要求企业完善污染治理设施、进行治理和修复。全面整治历史遗留尾矿库，完善覆膜、压土、排洪、堤坝加固等隐患治理和闭库措施。3.依法推行农用地分类管理制度，强化受污染耕地安全利用和风险管控。因地制宜制定实施安全利用方案，鼓励采取种植结构调整等措施，确保受污染耕地全部实现安全利用。</w:t>
                  </w:r>
                </w:p>
              </w:tc>
              <w:tc>
                <w:tcPr>
                  <w:tcW w:w="644" w:type="pct"/>
                  <w:tcBorders>
                    <w:tl2br w:val="nil"/>
                    <w:tr2bl w:val="nil"/>
                  </w:tcBorders>
                  <w:noWrap w:val="0"/>
                  <w:vAlign w:val="center"/>
                </w:tcPr>
                <w:p>
                  <w:pPr>
                    <w:pStyle w:val="15"/>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不涉及农用地。</w:t>
                  </w:r>
                </w:p>
              </w:tc>
              <w:tc>
                <w:tcPr>
                  <w:tcW w:w="31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93" w:type="pct"/>
                  <w:vMerge w:val="continue"/>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91"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资源利用效率</w:t>
                  </w:r>
                </w:p>
              </w:tc>
              <w:tc>
                <w:tcPr>
                  <w:tcW w:w="2856"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全面推进秸秆综合利用，鼓励秸秆资源化、饲料化、肥料化利用，推动秸秆还田与离田收集。2.减少化肥农药使用量，增加有机肥使用量，实现化肥农药使用量负增长。3.推广渠道防渗、管道输水、喷灌、微灌等节水灌溉技术，完善灌溉用水计量设施。推进规模化高效节水灌溉，推广农作物节水抗旱技术。建立灌区墒情测报网络，提高农业用水效率，降低农业用水比重。</w:t>
                  </w:r>
                </w:p>
              </w:tc>
              <w:tc>
                <w:tcPr>
                  <w:tcW w:w="644" w:type="pct"/>
                  <w:tcBorders>
                    <w:tl2br w:val="nil"/>
                    <w:tr2bl w:val="nil"/>
                  </w:tcBorders>
                  <w:noWrap w:val="0"/>
                  <w:vAlign w:val="center"/>
                </w:tcPr>
                <w:p>
                  <w:pPr>
                    <w:pStyle w:val="15"/>
                    <w:keepNext w:val="0"/>
                    <w:keepLines w:val="0"/>
                    <w:pageBreakBefore w:val="0"/>
                    <w:widowControl/>
                    <w:numPr>
                      <w:ilvl w:val="0"/>
                      <w:numId w:val="0"/>
                    </w:numPr>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不涉及。</w:t>
                  </w:r>
                  <w:r>
                    <w:rPr>
                      <w:rFonts w:hint="default"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不涉及。</w:t>
                  </w:r>
                </w:p>
              </w:tc>
              <w:tc>
                <w:tcPr>
                  <w:tcW w:w="315" w:type="pct"/>
                  <w:tcBorders>
                    <w:tl2br w:val="nil"/>
                    <w:tr2bl w:val="nil"/>
                  </w:tcBorders>
                  <w:noWrap w:val="0"/>
                  <w:vAlign w:val="center"/>
                </w:tcPr>
                <w:p>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综合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所述</w:t>
            </w:r>
            <w:r>
              <w:rPr>
                <w:rFonts w:hint="default" w:ascii="Times New Roman" w:hAnsi="Times New Roman" w:eastAsia="宋体" w:cs="Times New Roman"/>
                <w:color w:val="000000" w:themeColor="text1"/>
                <w:sz w:val="24"/>
                <w:szCs w:val="24"/>
                <w14:textFill>
                  <w14:solidFill>
                    <w14:schemeClr w14:val="tx1"/>
                  </w14:solidFill>
                </w14:textFill>
              </w:rPr>
              <w:t>，本项目符合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《巴音郭楞蒙古自治州“三线一单”生态环境分区管控动态更新成果（2023年）》（巴政办发〔2024〕32号）</w:t>
            </w:r>
            <w:r>
              <w:rPr>
                <w:rFonts w:hint="default" w:ascii="Times New Roman" w:hAnsi="Times New Roman" w:eastAsia="宋体" w:cs="Times New Roman"/>
                <w:color w:val="000000" w:themeColor="text1"/>
                <w:sz w:val="24"/>
                <w:szCs w:val="24"/>
                <w14:textFill>
                  <w14:solidFill>
                    <w14:schemeClr w14:val="tx1"/>
                  </w14:solidFill>
                </w14:textFill>
              </w:rPr>
              <w:t>文件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管控</w:t>
            </w:r>
            <w:r>
              <w:rPr>
                <w:rFonts w:hint="default" w:ascii="Times New Roman" w:hAnsi="Times New Roman" w:eastAsia="宋体" w:cs="Times New Roman"/>
                <w:color w:val="000000" w:themeColor="text1"/>
                <w:sz w:val="24"/>
                <w:szCs w:val="24"/>
                <w14:textFill>
                  <w14:solidFill>
                    <w14:schemeClr w14:val="tx1"/>
                  </w14:solidFill>
                </w14:textFill>
              </w:rPr>
              <w:t>要求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与相关生态环境保护法律法规政策的符合性分析</w:t>
            </w: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2.1产业政策符合性分析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aps w:val="0"/>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根据国家发展和改革委员会发布的《产业结构调整指导目录（</w:t>
            </w:r>
            <w:r>
              <w:rPr>
                <w:rFonts w:hint="eastAsia" w:ascii="Times New Roman" w:hAnsi="Times New Roman" w:cs="Times New Roman"/>
                <w:color w:val="000000" w:themeColor="text1"/>
                <w:sz w:val="24"/>
                <w:highlight w:val="none"/>
                <w:lang w:val="en-US" w:eastAsia="zh-CN"/>
                <w14:textFill>
                  <w14:solidFill>
                    <w14:schemeClr w14:val="tx1"/>
                  </w14:solidFill>
                </w14:textFill>
              </w:rPr>
              <w:t>2024</w:t>
            </w:r>
            <w:r>
              <w:rPr>
                <w:rFonts w:hint="default" w:ascii="Times New Roman" w:hAnsi="Times New Roman" w:cs="Times New Roman"/>
                <w:color w:val="000000" w:themeColor="text1"/>
                <w:sz w:val="24"/>
                <w:highlight w:val="none"/>
                <w14:textFill>
                  <w14:solidFill>
                    <w14:schemeClr w14:val="tx1"/>
                  </w14:solidFill>
                </w14:textFill>
              </w:rPr>
              <w:t>年本）》</w:t>
            </w:r>
            <w:r>
              <w:rPr>
                <w:rFonts w:hint="eastAsia" w:ascii="Times New Roman" w:hAnsi="Times New Roman" w:cs="Times New Roman"/>
                <w:color w:val="000000" w:themeColor="text1"/>
                <w:sz w:val="24"/>
                <w:highlight w:val="none"/>
                <w:lang w:eastAsia="zh-CN"/>
                <w14:textFill>
                  <w14:solidFill>
                    <w14:schemeClr w14:val="tx1"/>
                  </w14:solidFill>
                </w14:textFill>
              </w:rPr>
              <w:t>：本项目属于“鼓励类</w:t>
            </w:r>
            <w:r>
              <w:rPr>
                <w:rFonts w:hint="eastAsia" w:ascii="Times New Roman" w:hAnsi="Times New Roman" w:cs="Times New Roman"/>
                <w:color w:val="000000" w:themeColor="text1"/>
                <w:sz w:val="24"/>
                <w:highlight w:val="none"/>
                <w:lang w:val="en-US" w:eastAsia="zh-CN"/>
                <w14:textFill>
                  <w14:solidFill>
                    <w14:schemeClr w14:val="tx1"/>
                  </w14:solidFill>
                </w14:textFill>
              </w:rPr>
              <w:t>-</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四十二、环境保护与资源节约综合利用-10．工业“三废”循环利用：“三废”综合利用与治理技术、装备和工程”。不属于《市场准入负面清单（2025年版）》禁止准入事项，因此本项目符合国家产业政策要求。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2" w:firstLineChars="200"/>
              <w:jc w:val="both"/>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2.2与《固体废物再生利用污染防治技术导则》（HJ1091-2020）的符合性分析</w:t>
            </w:r>
          </w:p>
          <w:p>
            <w:pPr>
              <w:pStyle w:val="35"/>
              <w:widowControl w:val="0"/>
              <w:numPr>
                <w:ilvl w:val="0"/>
                <w:numId w:val="0"/>
              </w:numPr>
              <w:spacing w:line="360" w:lineRule="auto"/>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项目与《固体废物再生利用污染防治技术导则》（HJ1091-2020）的符合性分析</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见表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p>
          <w:p>
            <w:pPr>
              <w:jc w:val="center"/>
              <w:rPr>
                <w:rFonts w:hint="eastAsia"/>
                <w:b/>
                <w:bCs/>
                <w:color w:val="000000" w:themeColor="text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表</w:t>
            </w:r>
            <w:r>
              <w:rPr>
                <w:rFonts w:hint="eastAsia"/>
                <w:b/>
                <w:bCs/>
                <w:color w:val="000000" w:themeColor="text1"/>
                <w:highlight w:val="none"/>
                <w:lang w:val="en-US" w:eastAsia="zh-CN"/>
                <w14:textFill>
                  <w14:solidFill>
                    <w14:schemeClr w14:val="tx1"/>
                  </w14:solidFill>
                </w14:textFill>
              </w:rPr>
              <w:t>1-3 与《固体废物再生利用污染防治技术导则》（HJ1091-2020）的符合性分析</w:t>
            </w:r>
          </w:p>
          <w:tbl>
            <w:tblPr>
              <w:tblStyle w:val="4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9"/>
              <w:gridCol w:w="3527"/>
              <w:gridCol w:w="3491"/>
              <w:gridCol w:w="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项目</w:t>
                  </w:r>
                </w:p>
              </w:tc>
              <w:tc>
                <w:tcPr>
                  <w:tcW w:w="3594"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zh-CN"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建设要求</w:t>
                  </w:r>
                </w:p>
              </w:tc>
              <w:tc>
                <w:tcPr>
                  <w:tcW w:w="3558"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zh-CN"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本工程具体情况</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总体要求</w:t>
                  </w:r>
                </w:p>
              </w:tc>
              <w:tc>
                <w:tcPr>
                  <w:tcW w:w="3594"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4.1固体废物再生利用应遵循环境安全优先的原则，保证固体废物再生利用全过程的环境安全与人体健康。4.2进行固体废物再生利用技术选择时，应在固体废物再生利用技术生命周期评价结果的基础上，结合相关法规及行业的产业政策要求。4.3固体废物再生利用建设项目的选址应符合区域性环境保护规划和当地的城乡总体规划。4.4固体废物再生利用建设项目的设计、施工、验收和运行应遵守国家现行的相关法规的规定，同时建立完善的环境管理制度，包括环境影响评价、环境管理计划、环境保护责任、排污许可、监测、信息公开、环境应急预案和环境保护档案管理等制度</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4.5应对固体废物再生利用各技术环节的环境污染因子进行识别，采取有效污染控制措施，配备污染物监测设备设施，避免污染物的无组织排放，防止发生二次污染，妥善处置产生的废物。4.6固体废物再生利用过程产生的各种污染物的排放应满足国家和地方的污染物排放（控制）标准与排污许可要求。4.7固体废物再生利用产物作为产品的，应符合GB 34330中要求的国家、地方制定或行业通行的产品质量标准，与国家相关污染控制标准或技术规范要求，包括该产物生产过程中排放到环境中的特征污染物含量标准和该产物中特征污染物的含量标准。</w:t>
                  </w:r>
                </w:p>
              </w:tc>
              <w:tc>
                <w:tcPr>
                  <w:tcW w:w="3558"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）本项目磺化泥浆无害化处置将</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遵循环境安全优先的原则，保证固体废物再生利用全过程的环境安全与人体健康。</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）本项目磺化泥浆无害化处置符合国家相关法规及产业政策要求。（</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）本项目将严格遵守</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国家现行的相关法规的规定，</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并</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建立完善的环境管理制度，包括环境影响评价、环境管理计划、环境保护责任、排污许可、监测、信息公开、环境应急预案和环境保护档案管理等制度</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（5）本项目对工艺各环节的环境污染因子进行了识别，并采用有效污染控制措施，还原土堆场采用苫盖措施，防止污染物的无组织排放，</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生产废水循环利用，固废得到妥善处置。（</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）本项目磺化泥浆无害化处置过程产生的各种污染物的排放满足国家和地方的污染物排放（控制）标准与排污许可要求。（</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）本项目磺化泥浆无害化处置所得产品为还原土，还原土中各项污染物同时满足《油气田钻井固体废物综合利用污染控制要求》（DB65/T 3997-2017）中综合利用污染物限值要求和《土壤环境质量建设用地土壤污染风险管控标准（试行）》（GB36600-2018）第二类用地土壤污染风险筛选值要求。</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vMerge w:val="restart"/>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主要工艺单元污染防治技术要求</w:t>
                  </w:r>
                </w:p>
              </w:tc>
              <w:tc>
                <w:tcPr>
                  <w:tcW w:w="3594"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5.1一般规定5.1.1进行再生利用作业前，应明确固体废物的理化特性，并采取相应的安全防护措施，以防止固体废物在清洗、破碎、中和反应等过程中引起有毒有害物质的释放。5.1.2具有物理化学危险特性的固体废物，应首先进行稳定化处理。5.1.3应根据固体废物的特性设置必要的防扬撒、防渗漏、防腐蚀设施，配备废气处理、废水处理、噪声控制等污染防治设施，按要求对主要环境影响指标进行在线监测。5.1.5应采取大气污染控制措施，大气污染物排放应满足特定行业排放（控制）标准的要求。没有特定行业污染排放（控制）标准的，应满足GB 16297的要求，特征污染物排放（控制）应满足环境影响评价要求</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5.1.7产生的冷凝液、浓缩液、渗滤液等废液应进行有效收集后集中处理。处理后产生的废水应优先考虑循环利用；排放时应满足特定行业排放（控制）标准的要求；没有特定行业污染排放（控制）标准的，应满足GB 8978的要求，特征污染物排放（控制）应满足环境影响评价要求。5.1.8应防止噪声污染。设备运转时厂界噪声应符合GB12348的要求，作业车间噪声应符合GBZ 2.2的要求。5.1.9产生的污泥、底渣、废油类等固体废物应按照其管理属性分别处置。不能自行综合利用或处置的，应交给有相应资质和处理能力的企业进行综合利用或处置。</w:t>
                  </w:r>
                </w:p>
              </w:tc>
              <w:tc>
                <w:tcPr>
                  <w:tcW w:w="3558"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）本项目已明确磺化水基泥浆的理性质。</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（2）本项目磺化水基泥浆不</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具有物理化学危险特性</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）本项目磺化泥浆无害化处置所得产品还原土堆至还原土堆场采用苫盖措施，废水处理后循环利用。（</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）还原土堆场采用苫盖措施，粉尘满足</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GB 16297的要求</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）废水处理后循环利用。（</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）采用低噪声设备，并采取隔声、减振措施，设备运转时厂界噪声符合GB12348的要求。（</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kern w:val="0"/>
                      <w:sz w:val="21"/>
                      <w:szCs w:val="21"/>
                      <w:highlight w:val="none"/>
                      <w:lang w:eastAsia="zh-CN"/>
                      <w14:textFill>
                        <w14:solidFill>
                          <w14:schemeClr w14:val="tx1"/>
                        </w14:solidFill>
                      </w14:textFill>
                    </w:rPr>
                    <w:t>建设单位对水处理装置产生的污泥应按照国家规定的危险废物鉴别标准和鉴别方法进行鉴定，若经鉴定属于危险废物，则应当按照危险废物进行收集、运输、处置；若经鉴定属于一般工业固废，则应当按照一般工业固废进行收集、处置。</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vMerge w:val="continue"/>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p>
              </w:tc>
              <w:tc>
                <w:tcPr>
                  <w:tcW w:w="3594"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5.7絮凝沉淀技术要求5.7.1絮凝是将悬浮于液态介质中的微小、不沉降的微粒凝聚成较大、易沉降的颗粒的过程。沉淀是将原液中的一种或几种成分通过化学反应转变为固相物质的过程。絮凝和沉淀过程通常在同一装置内进行。5.7.2固体废物的絮凝沉淀类型包括氢氧化物沉淀、硫化物沉淀、硅酸盐沉淀、碳酸盐沉淀、无机或有机配合物沉淀等。5.7.3固体废物絮凝沉淀前应对其进行必要的预处理，以保证固体废物的均匀性，提高絮凝沉淀过程的提取效率。5.7.4絮凝设备、连接管道、投配机和搅拌机等应采用防腐蚀材料或进行防腐处理。5.7.5絮凝沉淀过程应严格控制pH值。有条件时应设置pH值自动控制仪，并与加药计量泵耦合，以保证最佳的絮凝沉淀效果。</w:t>
                  </w:r>
                </w:p>
              </w:tc>
              <w:tc>
                <w:tcPr>
                  <w:tcW w:w="3558"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絮凝和沉淀过程</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均在岩屑处理池</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内进行。</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絮凝沉淀</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主要为</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无机或有机配合物沉淀</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）本项目磺化泥头絮凝沉淀前先搅拌，</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以保证固体废物的均匀性，提高絮凝沉淀过程的提取效率</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）本项目岩屑处理池内絮凝，岩屑处理池采取重点防渗处理。（</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絮凝沉淀过程</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将</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严格控制pH值，并与加药计量泵耦合，以保证最佳的絮凝沉淀效果。</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7固体废物土地利用污染防治技术要求</w:t>
                  </w:r>
                </w:p>
              </w:tc>
              <w:tc>
                <w:tcPr>
                  <w:tcW w:w="3594"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7.1固体废物土地利用的前处理设施应具备必要的废水处理、废气处理、防止或降低噪声、粉尘处理等污染防治设施。废水排放应符合GB 8978的要求，废气排放应符合GB 18484、GB16297、GB 14554的要求，周界恶臭污染物浓度应符合GB 14554的规定，厂界噪声应达到GB12348的要求，作业区粉尘和有毒有害气体的允许浓度应符合GBZ 2.1的规定。7.4固体废物土地利用过程中的再生利用工艺单元的污染控制应分别满足本标准中相应再生利用工艺单元的要求。</w:t>
                  </w:r>
                </w:p>
              </w:tc>
              <w:tc>
                <w:tcPr>
                  <w:tcW w:w="3558"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）本项目磺化泥浆处置项目废水处理后循环利用；粉尘采取苫盖措施无组织排放，满足</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GB16297</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的要求；厂界噪声达到</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GB12348中声环境功能区2类要求。（2）</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本项目磺化泥浆处置项目各工艺单元的污染控制满足HJ1091-2020中一般规定要求和</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絮凝沉淀技术要求</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8监测</w:t>
                  </w:r>
                </w:p>
              </w:tc>
              <w:tc>
                <w:tcPr>
                  <w:tcW w:w="3594"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8.1固体废物再生利用企业应定期对固体废物再生利用产品进行采样监测，监测频次应满足以下要求：（2）当首次再生利用除危险废物外的某种固体废物时，针对再生利用产品中的特征污染物监测频次不低于每周3次；连续二周监测结果均不超出环境风险评价结果时，在该废物来源及投加量稳定的前提下，频次可减为每月1次；连续三个月监测结果均不超出环境风险评价结果时，频次可减为每年1次；若在此期间监测结果出现异常或固体废物来源发生变化或再生利用中断超过半年以上，则监测频次重新调整为不低于每周3次，依次重复。8.2固体废物再生利用企业应在固体废物再生利用过程中，按照相关要求，定期对场所和设施周边的大气、土壤、地表水和地下水等进行采样监测，以判断固体废物再生利用过程是否对大气、土壤、地表水和地下水造成二次污染。</w:t>
                  </w:r>
                </w:p>
              </w:tc>
              <w:tc>
                <w:tcPr>
                  <w:tcW w:w="3558"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本项目为磺化泥浆废弃物处理工程，所得产品为还原土，企业将</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定期对固体废物再生利用产品</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还原土</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进行采样监测，监测频次应满足以下要求：</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还原土首次利用时，应对其特征污染物</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TSP进行监测且频次不低于每周3次；</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连续二周监测结果均不超出环境风险评价结果时，在该废物来源及投加量稳定的前提下，频次可减为每月1次；连续三个月监测结果均不超出环境风险评价结果时，频次可减为每年1次；若在此期间监测结果出现异常或固体废物来源发生变化或再生利用中断超过半年以上，则监测频次重新调整为不低于每周3次，依次重复。</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（2）企业将按照相关要求，</w:t>
                  </w: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定期对场所和设施周边的大气、土壤、地表水和地下水等进行采样监测，以判断固体废物再生利用过程是否对大气、土壤、地表水和地下水造成二次污染</w:t>
                  </w:r>
                  <w:r>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2.3</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与《一般工业固体废物贮存和填埋污染控制标准》（GB 18599-2020）符合性分析</w:t>
            </w:r>
          </w:p>
          <w:p>
            <w:pPr>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本项目属</w:t>
            </w:r>
            <w:r>
              <w:rPr>
                <w:rFonts w:hint="eastAsia" w:ascii="Times New Roman" w:hAnsi="Times New Roman" w:eastAsia="宋体" w:cs="Times New Roman"/>
                <w:caps w:val="0"/>
                <w:color w:val="000000" w:themeColor="text1"/>
                <w:sz w:val="24"/>
                <w:highlight w:val="none"/>
                <w:lang w:val="en-US" w:eastAsia="zh-CN"/>
                <w14:textFill>
                  <w14:solidFill>
                    <w14:schemeClr w14:val="tx1"/>
                  </w14:solidFill>
                </w14:textFill>
              </w:rPr>
              <w:t>一般工业固体废物（含污水处理污泥）处置及综合利用</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，与《一般工业固体废物贮存和填埋污染控制标准》（GB 18599-2020）的符合性分析见表</w:t>
            </w:r>
            <w:r>
              <w:rPr>
                <w:rFonts w:hint="eastAsia" w:cs="Times New Roman"/>
                <w:b w:val="0"/>
                <w:bCs w:val="0"/>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 w:val="24"/>
                <w:highlight w:val="none"/>
                <w:lang w:eastAsia="zh-CN"/>
                <w14:textFill>
                  <w14:solidFill>
                    <w14:schemeClr w14:val="tx1"/>
                  </w14:solidFill>
                </w14:textFill>
              </w:rPr>
              <w:t>。</w:t>
            </w:r>
          </w:p>
          <w:p>
            <w:pPr>
              <w:pStyle w:val="7"/>
              <w:keepNext/>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p>
            <w:pPr>
              <w:pStyle w:val="7"/>
              <w:keepNext/>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p>
          <w:p>
            <w:pPr>
              <w:pStyle w:val="7"/>
              <w:keepNext/>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表</w:t>
            </w:r>
            <w:r>
              <w:rPr>
                <w:rFonts w:hint="eastAsia" w:ascii="宋体" w:hAnsi="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       与《一般工业固体废物贮存和填埋污染控制标准》符合性分析</w:t>
            </w:r>
          </w:p>
          <w:tbl>
            <w:tblPr>
              <w:tblStyle w:val="4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9"/>
              <w:gridCol w:w="3760"/>
              <w:gridCol w:w="3258"/>
              <w:gridCol w:w="6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项目</w:t>
                  </w:r>
                </w:p>
              </w:tc>
              <w:tc>
                <w:tcPr>
                  <w:tcW w:w="3832"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zh-CN"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建设要求</w:t>
                  </w:r>
                </w:p>
              </w:tc>
              <w:tc>
                <w:tcPr>
                  <w:tcW w:w="3320"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zh-CN"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14:textFill>
                        <w14:solidFill>
                          <w14:schemeClr w14:val="tx1"/>
                        </w14:solidFill>
                      </w14:textFill>
                    </w:rPr>
                    <w:t>本工程具体情况</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选址要求</w:t>
                  </w:r>
                </w:p>
              </w:tc>
              <w:tc>
                <w:tcPr>
                  <w:tcW w:w="3832"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4.1一般工业固体废物贮存场、填埋场的选址应符合环境保护法律法规及相关法定规划要求。</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4.2贮存场、填埋场的位置与周围居民区的距离应依据环境影响评价文件及审批意见确定。</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4.3贮存场、填埋场不得选在生态保护红线区域、永久基本农田集中区域和其他需要特别保护的区域内。</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4.4贮存场、填埋场应避开活动断层、溶洞区、天然滑坡或泥石流影响区以及湿地等区域。</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4.5贮存场、填埋场不得选在江河、湖泊、运河、渠道、水库最高水位线以下的滩地和岸坡，以及国家和地方长远规划中的水库等人工蓄水设施的淹没区和保护区之内。</w:t>
                  </w:r>
                </w:p>
              </w:tc>
              <w:tc>
                <w:tcPr>
                  <w:tcW w:w="3320" w:type="dxa"/>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（1）项目的选址符合环境保护法律法规及相关法定规划要求。</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（2）项目周围5km范围内无居民区。</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（3）项目不生态保护红线区域。</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（4）项目周围无活动断层、溶洞区、天然滑坡或泥石流影响区以及湿地等区域。</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（5）项目周围5km范围内无江河、湖泊、运河、渠道、水库等。</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技术要求</w:t>
                  </w:r>
                </w:p>
              </w:tc>
              <w:tc>
                <w:tcPr>
                  <w:tcW w:w="3832"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5.3Ⅱ类场技术要求</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5.3.1Ⅱ类场应采用单人工复合衬层作为防渗衬层，并符合以下技术要求：</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人工合成材料应采用高密度聚乙烯膜，厚度不小于1.5mm</w:t>
                  </w: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并满足GB/T17643规定的技术指标要求。采用其他人工合成材料的，其防渗性能至少相当于1.5mm高密度聚乙烯膜的防渗性能。</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粘土衬层厚度应不小于0.75m</w:t>
                  </w: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且经压实、人工改性等措施处理后的饱和渗透系数不应大于1.0×10</w:t>
                  </w:r>
                  <w:r>
                    <w:rPr>
                      <w:rFonts w:hint="eastAsia" w:ascii="Times New Roman" w:hAnsi="Times New Roman" w:eastAsia="宋体" w:cs="Times New Roman"/>
                      <w:color w:val="000000" w:themeColor="text1"/>
                      <w:spacing w:val="0"/>
                      <w:kern w:val="0"/>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cm/s。使用其他粘土类防渗衬层材料时，应具有同等以上隔水效力。</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5.3.2Ⅱ类场基础层表面应与地下水年最高水位保持1.5m以上的距离。当场区基础层表面与地下水年最高水位距离不足1.5 m时，应建设地下水导排系统。地下水导排系统应确保Ⅱ类场运行期地下水水位维持在基础层表面1.5m以下。</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5.3.3 Ⅱ类场应设置渗漏监控系统，监控防渗衬层的完整性。渗漏监控系统的构成包括但不限于防渗衬层渗漏监测设备、地下水监测井。</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5.3.4人工合成材料衬层、渗滤液收集和导排系统的施工不应对粘土衬层造成破坏。</w:t>
                  </w:r>
                </w:p>
              </w:tc>
              <w:tc>
                <w:tcPr>
                  <w:tcW w:w="3320" w:type="dxa"/>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项目收集的磺化泥浆存放在岩屑处理池内，因此岩屑处理池按</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Ⅱ类场</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设计，符合</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Ⅱ类场</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技术要求</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8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运行要求</w:t>
                  </w:r>
                </w:p>
              </w:tc>
              <w:tc>
                <w:tcPr>
                  <w:tcW w:w="3832"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7.1贮存场、填埋场投入运行之前，企业应制定突发环境事件应急预案或在突发事件应急预案中制定环境应急预案专章，说明各种可能发生的突发环境事件情景及应急处置措施。</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7.2贮存场、填埋场应制定运行计划，运行管理人员应定期参加企业的岗位培训。</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7.3贮存场、填埋场运行企业应建立档案管理制度，并按照国家档案管理等法律法规进行整理与归档，永久保存。档案资料主要包括但不限于以下内容：</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场址选择、勘察、征地、设计、施工、环评、验收资料；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废物的来源、种类、污染特性、数量、贮存或填埋位置等资料；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c）</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各种污染防治设施的检查维护资料；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d）</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渗滤液、工艺水总量以及渗滤液、工艺水处理设备工艺参数及处理效果记录资料；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e）</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封场及封场后管理资料；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hAnsi="Times New Roman" w:cs="Times New Roman"/>
                      <w:color w:val="000000" w:themeColor="text1"/>
                      <w:spacing w:val="0"/>
                      <w:kern w:val="0"/>
                      <w:sz w:val="21"/>
                      <w:szCs w:val="21"/>
                      <w:highlight w:val="none"/>
                      <w:lang w:val="en-US" w:eastAsia="zh-CN"/>
                      <w14:textFill>
                        <w14:solidFill>
                          <w14:schemeClr w14:val="tx1"/>
                        </w14:solidFill>
                      </w14:textFill>
                    </w:rPr>
                    <w:t>f）</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环境监测及应急处置资料。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7.4贮存场、填埋场的环境保护图形标志应符合GB15562.2的规定，并应定期检查和维护。</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7.5易产生扬尘的贮存或填埋场应采取分区作业、覆盖、洒水等有效抑尘措施防止扬尘污染。尾矿库应采取均匀放矿、洒水抑尘等措施防止干滩扬尘污染。</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7.6污染物排放控制要求</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7.6.2贮存场、填埋场产生的无组织气体排放应符合GB 16297规定的无组织排放限值的相关要求。</w:t>
                  </w:r>
                </w:p>
              </w:tc>
              <w:tc>
                <w:tcPr>
                  <w:tcW w:w="3320" w:type="dxa"/>
                  <w:tcBorders>
                    <w:tl2br w:val="nil"/>
                    <w:tr2bl w:val="nil"/>
                  </w:tcBorders>
                  <w:noWrap w:val="0"/>
                  <w:vAlign w:val="center"/>
                </w:tcPr>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（1）项目投入运行前，</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企业</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制定突发环境事件应急预案，说明各种可能发生的突发环境事件情景及应急处置措施。</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（2）项目将</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制定运行计划，运行管理人员应定期参加企业的岗位培训</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企业</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将</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建立档案管理制度，并按照国家档案管理等法律法规进行整理与归档，永久保存。档案资料</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主要包括以下内容</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场址选择、勘察、征地、设计、施工、环评、验收资料；</w:t>
                  </w:r>
                </w:p>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废物的来源、种类、污染特性、数量、贮存或填埋位置等资料；</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各种污染防治设施的检查维护资料</w:t>
                  </w: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④环境监测及应急处置资料等。</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（4）项目将严格按要求张贴环境保护图形标识标志。</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（5）项目还原土场采取苫盖等抑尘措施防止扬尘污染。</w:t>
                  </w:r>
                </w:p>
                <w:p>
                  <w:pPr>
                    <w:pStyle w:val="1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（6）项目还原土堆放场产生的无组织颗粒物符合</w:t>
                  </w:r>
                  <w:r>
                    <w:rPr>
                      <w:rFonts w:hint="default"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t>GB 16297规定的无组织排放限值的相关要求。</w:t>
                  </w:r>
                </w:p>
              </w:tc>
              <w:tc>
                <w:tcPr>
                  <w:tcW w:w="639" w:type="dxa"/>
                  <w:tcBorders>
                    <w:tl2br w:val="nil"/>
                    <w:tr2bl w:val="nil"/>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pacing w:val="0"/>
                      <w:kern w:val="0"/>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auto"/>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2.4</w:t>
            </w:r>
            <w:r>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t>与《自治州大气污染防治三年攻坚行动方案（2023－2025年）》符合性分析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eastAsia="zh-CN"/>
                <w14:textFill>
                  <w14:solidFill>
                    <w14:schemeClr w14:val="tx1"/>
                  </w14:solidFill>
                </w14:textFill>
              </w:rPr>
              <w:t>《自治州大气污染防治三年攻坚行动方案（2023－2025年）》</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要求：“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强化社会面堆场扬尘治理，充分发挥基层组织作用，以村（社区）为单位，排查各类非企业土堆、煤堆、灰堆、料堆、渣堆，逐一限时清理或落实抑尘措施。（2）强化企业各类堆场扬尘治理，落实企业运输场区湿法作业、物料仓库密闭。大型煤炭、矿石等物料堆场完成围挡、苫盖、自动喷淋等抑尘设施建设和物料输送系统封闭改造。库尔勒市集中整治上库高新技术产业开发区、个体私营经济试验区等区域扬尘污染源。</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本项目为一般固废（磺化泥浆）处置项目，还原土堆场采用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苫盖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等抑尘措施，符合</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《自治州大气污染防治三年攻坚行动方案（2023－2025年）》中的要求。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2.5与《新疆维吾尔自治区大气污染防治条例》符合性分析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《新疆维吾尔自治区大气污染防治条例》中第二节工业污染防治第二十九条第四节 扬尘污染防治第四十三条贮存易产生扬尘的煤炭、煤矸石、煤渣、煤灰、水泥、石灰、石膏、砂土等物料的堆场应当密闭；不能密闭的，贮存单位或者个人应当采取下列防尘措施：（一）堆场的场坪、路面应当进行硬化处理，并保持路面整洁；（二）堆场周边应当配备高于堆存物料的围挡、防风抑尘网等设施；（三）按照物料类别采取相应的覆盖、喷淋和围挡等防风抑尘措施。露天装卸物料应当采取密闭或者喷淋等抑尘措施；输送的物料应当在装料、卸料处配备吸尘、喷淋等防尘设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本项目位于尉犁县尉东矿产品加工园区以东，还原土堆场设置不低于堆放高度的严密围挡，并采取篷布覆盖、洒水降尘等</w:t>
            </w:r>
            <w:r>
              <w:rPr>
                <w:rFonts w:hint="eastAsia" w:cs="Times New Roman"/>
                <w:color w:val="000000" w:themeColor="text1"/>
                <w:sz w:val="24"/>
                <w:highlight w:val="none"/>
                <w:lang w:val="en-US" w:eastAsia="zh-CN"/>
                <w14:textFill>
                  <w14:solidFill>
                    <w14:schemeClr w14:val="tx1"/>
                  </w14:solidFill>
                </w14:textFill>
              </w:rPr>
              <w:t>措施</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，符合《新疆维吾尔自治区大气污染防治条例》中相关要求。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2.6与《工业料堆场扬尘整治规范》（DB 65/T 4061-2017）的符合性分析</w:t>
            </w:r>
          </w:p>
          <w:p>
            <w:pPr>
              <w:keepNext w:val="0"/>
              <w:keepLines w:val="0"/>
              <w:pageBreakBefore w:val="0"/>
              <w:widowControl w:val="0"/>
              <w:shd w:val="clear" w:color="auto" w:fill="auto"/>
              <w:kinsoku/>
              <w:wordWrap/>
              <w:overflowPunct/>
              <w:topLinePunct w:val="0"/>
              <w:autoSpaceDE w:val="0"/>
              <w:autoSpaceDN w:val="0"/>
              <w:bidi w:val="0"/>
              <w:adjustRightInd/>
              <w:snapToGrid/>
              <w:spacing w:line="360" w:lineRule="auto"/>
              <w:ind w:firstLine="456" w:firstLineChars="200"/>
              <w:jc w:val="both"/>
              <w:textAlignment w:val="auto"/>
              <w:rPr>
                <w:rFonts w:hint="default" w:ascii="Times New Roman" w:hAnsi="Times New Roman" w:eastAsia="宋体" w:cs="Times New Roman"/>
                <w:color w:val="000000" w:themeColor="text1"/>
                <w:spacing w:val="-6"/>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本项目与《工业料堆场扬尘整治规范》（DB 65/T 4061-2017）的符合性见表</w:t>
            </w:r>
            <w:r>
              <w:rPr>
                <w:rFonts w:hint="eastAsia" w:cs="Times New Roman"/>
                <w:color w:val="000000" w:themeColor="text1"/>
                <w:spacing w:val="-6"/>
                <w:sz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pacing w:val="-6"/>
                <w:sz w:val="24"/>
                <w:highlight w:val="none"/>
                <w:lang w:val="en-US" w:eastAsia="zh-CN"/>
                <w14:textFill>
                  <w14:solidFill>
                    <w14:schemeClr w14:val="tx1"/>
                  </w14:solidFill>
                </w14:textFill>
              </w:rPr>
              <w:t>5。</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表</w:t>
            </w:r>
            <w:r>
              <w:rPr>
                <w:rFonts w:hint="eastAsia" w:cs="Times New Roman"/>
                <w:b/>
                <w:bCs/>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5    与</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《工业料堆场扬尘整治规范》（DB65/T4061-2017）符合性分析</w:t>
            </w:r>
          </w:p>
          <w:tbl>
            <w:tblPr>
              <w:tblStyle w:val="4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3"/>
              <w:gridCol w:w="3962"/>
              <w:gridCol w:w="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3" w:type="dxa"/>
                  <w:tcBorders>
                    <w:tl2br w:val="nil"/>
                    <w:tr2bl w:val="nil"/>
                  </w:tcBorders>
                  <w:noWrap w:val="0"/>
                  <w:vAlign w:val="center"/>
                </w:tcPr>
                <w:p>
                  <w:pPr>
                    <w:pStyle w:val="47"/>
                    <w:keepNext w:val="0"/>
                    <w:keepLines w:val="0"/>
                    <w:pageBreakBefore w:val="0"/>
                    <w:widowControl w:val="0"/>
                    <w:shd w:val="clear" w:color="auto" w:fill="auto"/>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《工业料堆场扬尘整治规范》</w:t>
                  </w:r>
                </w:p>
              </w:tc>
              <w:tc>
                <w:tcPr>
                  <w:tcW w:w="3962" w:type="dxa"/>
                  <w:tcBorders>
                    <w:tl2br w:val="nil"/>
                    <w:tr2bl w:val="nil"/>
                  </w:tcBorders>
                  <w:noWrap w:val="0"/>
                  <w:vAlign w:val="center"/>
                </w:tcPr>
                <w:p>
                  <w:pPr>
                    <w:pStyle w:val="47"/>
                    <w:keepNext w:val="0"/>
                    <w:keepLines w:val="0"/>
                    <w:pageBreakBefore w:val="0"/>
                    <w:widowControl w:val="0"/>
                    <w:shd w:val="clear" w:color="auto" w:fill="auto"/>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本项目情况</w:t>
                  </w:r>
                </w:p>
              </w:tc>
              <w:tc>
                <w:tcPr>
                  <w:tcW w:w="510" w:type="dxa"/>
                  <w:tcBorders>
                    <w:tl2br w:val="nil"/>
                    <w:tr2bl w:val="nil"/>
                  </w:tcBorders>
                  <w:noWrap w:val="0"/>
                  <w:vAlign w:val="center"/>
                </w:tcPr>
                <w:p>
                  <w:pPr>
                    <w:pStyle w:val="47"/>
                    <w:keepNext w:val="0"/>
                    <w:keepLines w:val="0"/>
                    <w:pageBreakBefore w:val="0"/>
                    <w:widowControl w:val="0"/>
                    <w:shd w:val="clear" w:color="auto" w:fill="auto"/>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符合</w:t>
                  </w: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各企业应建立工业料堆场扬尘污染控制管理制度和工业料堆场作业相关操作规程，落实专人负责本单位的工业料堆场扬尘污染控制工作。</w:t>
                  </w:r>
                </w:p>
              </w:tc>
              <w:tc>
                <w:tcPr>
                  <w:tcW w:w="396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贯彻“安全第一，预防为主”的安全生产方针。相关作业人员进行专业培训，持证上岗。</w:t>
                  </w:r>
                </w:p>
              </w:tc>
              <w:tc>
                <w:tcPr>
                  <w:tcW w:w="51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工业料堆场与生产车间布置，应根据HJ/T55的要求，作业程序合理设置。原、燃料堆场及全厂性仓库（棚）宜集中布置在原、燃料进厂处或靠近主要用户的一个区域内。</w:t>
                  </w:r>
                </w:p>
              </w:tc>
              <w:tc>
                <w:tcPr>
                  <w:tcW w:w="396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本项目原料存放在库房和物资堆棚，其设置靠近厂区出入口减少转运，岩屑进厂暂存于岩屑池，经处理后堆放在还原土堆场。还原土堆场靠近岩屑池。</w:t>
                  </w:r>
                </w:p>
              </w:tc>
              <w:tc>
                <w:tcPr>
                  <w:tcW w:w="51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工业料堆场应布置在厂区的最小风频方向上，其上边应平行于厂区的主导风向。</w:t>
                  </w:r>
                </w:p>
              </w:tc>
              <w:tc>
                <w:tcPr>
                  <w:tcW w:w="396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还原土堆场的长边平行于主导风向。</w:t>
                  </w:r>
                </w:p>
              </w:tc>
              <w:tc>
                <w:tcPr>
                  <w:tcW w:w="51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cs="Times New Roman"/>
                      <w:color w:val="000000" w:themeColor="text1"/>
                      <w:spacing w:val="-2"/>
                      <w:kern w:val="2"/>
                      <w:sz w:val="21"/>
                      <w:szCs w:val="21"/>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工业料堆场的污染防治应从源头控制，减少堆存量，通过优化生产原料配置、厂区布置，提高管理水平、改善污染防治技术工艺、加强综合利用等措施减少环境污染。</w:t>
                  </w:r>
                </w:p>
              </w:tc>
              <w:tc>
                <w:tcPr>
                  <w:tcW w:w="396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本项目按照</w:t>
                  </w:r>
                  <w:r>
                    <w:rPr>
                      <w:rFonts w:hint="eastAsia"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岩屑处理池、污水池、还原</w:t>
                  </w:r>
                  <w:r>
                    <w:rPr>
                      <w:color w:val="000000" w:themeColor="text1"/>
                      <w:highlight w:val="none"/>
                      <w14:textFill>
                        <w14:solidFill>
                          <w14:schemeClr w14:val="tx1"/>
                        </w14:solidFill>
                      </w14:textFill>
                    </w:rPr>
                    <w:t>土堆场</w:t>
                  </w:r>
                  <w:r>
                    <w:rPr>
                      <w:rFonts w:hint="default" w:ascii="Times New Roman" w:hAnsi="Times New Roman" w:eastAsia="宋体" w:cs="Times New Roman"/>
                      <w:color w:val="000000" w:themeColor="text1"/>
                      <w:highlight w:val="none"/>
                      <w14:textFill>
                        <w14:solidFill>
                          <w14:schemeClr w14:val="tx1"/>
                        </w14:solidFill>
                      </w14:textFill>
                    </w:rPr>
                    <w:t>、办公生活区</w:t>
                  </w: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进行分区，</w:t>
                  </w:r>
                  <w:r>
                    <w:rPr>
                      <w:rFonts w:hint="eastAsia"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企业</w:t>
                  </w: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制定管理制度，管理比较规范。</w:t>
                  </w:r>
                </w:p>
              </w:tc>
              <w:tc>
                <w:tcPr>
                  <w:tcW w:w="51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3"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对工业料堆场内装卸、运输等作业过程中，易产生扬尘污染的物料必须采取封闭、遮盖、洒水降尘措施，密闭输送物料必须在装料、卸料处配备吸尘、喷淋防尘措施。</w:t>
                  </w:r>
                </w:p>
              </w:tc>
              <w:tc>
                <w:tcPr>
                  <w:tcW w:w="3962"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left"/>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本项目厂区内</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运输道路路面应尽量硬化，并安排专人每天对运输过程中洒落的粉尘进行清扫和收集，</w:t>
                  </w: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还原土含水率</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60%，并采取苫盖等措施，</w:t>
                  </w: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运输车辆</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加盖篷布运输</w:t>
                  </w: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w:t>
                  </w:r>
                </w:p>
              </w:tc>
              <w:tc>
                <w:tcPr>
                  <w:tcW w:w="510"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ind w:right="0"/>
                    <w:jc w:val="center"/>
                    <w:textAlignment w:val="auto"/>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kern w:val="2"/>
                      <w:sz w:val="21"/>
                      <w:szCs w:val="21"/>
                      <w:highlight w:val="none"/>
                      <w:lang w:val="en-US" w:eastAsia="zh-CN" w:bidi="ar-SA"/>
                      <w14:textFill>
                        <w14:solidFill>
                          <w14:schemeClr w14:val="tx1"/>
                        </w14:solidFill>
                      </w14:textFill>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2.7与挥发性有机物防治要求的符合性分析</w:t>
            </w:r>
          </w:p>
          <w:p>
            <w:pPr>
              <w:pStyle w:val="302"/>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本项目与《挥发性有机物</w:t>
            </w:r>
            <w:r>
              <w:rPr>
                <w:rFonts w:hint="eastAsia"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VOCs</w:t>
            </w:r>
            <w:r>
              <w:rPr>
                <w:rFonts w:hint="eastAsia"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污染防治技术政策》符合性见表1-</w:t>
            </w:r>
            <w:r>
              <w:rPr>
                <w:rFonts w:hint="eastAsia"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both"/>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line="240" w:lineRule="auto"/>
              <w:ind w:firstLine="422" w:firstLineChars="200"/>
              <w:jc w:val="both"/>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表</w:t>
            </w:r>
            <w:r>
              <w:rPr>
                <w:rFonts w:hint="eastAsia" w:cs="Times New Roman"/>
                <w:b/>
                <w:bCs/>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6  与《挥发性有机物</w:t>
            </w:r>
            <w:r>
              <w:rPr>
                <w:rFonts w:hint="eastAsia"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VOCs</w:t>
            </w:r>
            <w:r>
              <w:rPr>
                <w:rFonts w:hint="eastAsia" w:cs="Times New Roman"/>
                <w:b/>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污染防治技术政策》符合性</w:t>
            </w:r>
          </w:p>
          <w:tbl>
            <w:tblPr>
              <w:tblStyle w:val="291"/>
              <w:tblW w:w="49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4645"/>
              <w:gridCol w:w="2601"/>
              <w:gridCol w:w="97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541" w:hRule="atLeast"/>
                <w:jc w:val="center"/>
              </w:trPr>
              <w:tc>
                <w:tcPr>
                  <w:tcW w:w="2823"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000000" w:themeColor="text1"/>
                      <w:sz w:val="21"/>
                      <w:szCs w:val="21"/>
                      <w:highlight w:val="none"/>
                      <w14:textFill>
                        <w14:solidFill>
                          <w14:schemeClr w14:val="tx1"/>
                        </w14:solidFill>
                      </w14:textFill>
                    </w:rPr>
                  </w:pPr>
                  <w:r>
                    <w:rPr>
                      <w:b/>
                      <w:bCs/>
                      <w:color w:val="000000" w:themeColor="text1"/>
                      <w:spacing w:val="-4"/>
                      <w:sz w:val="21"/>
                      <w:szCs w:val="21"/>
                      <w:highlight w:val="none"/>
                      <w14:textFill>
                        <w14:solidFill>
                          <w14:schemeClr w14:val="tx1"/>
                        </w14:solidFill>
                      </w14:textFill>
                    </w:rPr>
                    <w:t>规划要求</w:t>
                  </w:r>
                </w:p>
              </w:tc>
              <w:tc>
                <w:tcPr>
                  <w:tcW w:w="1581"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000000" w:themeColor="text1"/>
                      <w:sz w:val="21"/>
                      <w:szCs w:val="21"/>
                      <w:highlight w:val="none"/>
                      <w14:textFill>
                        <w14:solidFill>
                          <w14:schemeClr w14:val="tx1"/>
                        </w14:solidFill>
                      </w14:textFill>
                    </w:rPr>
                  </w:pPr>
                  <w:r>
                    <w:rPr>
                      <w:b/>
                      <w:bCs/>
                      <w:color w:val="000000" w:themeColor="text1"/>
                      <w:spacing w:val="-3"/>
                      <w:sz w:val="21"/>
                      <w:szCs w:val="21"/>
                      <w:highlight w:val="none"/>
                      <w14:textFill>
                        <w14:solidFill>
                          <w14:schemeClr w14:val="tx1"/>
                        </w14:solidFill>
                      </w14:textFill>
                    </w:rPr>
                    <w:t>本项目基本情况</w:t>
                  </w:r>
                </w:p>
              </w:tc>
              <w:tc>
                <w:tcPr>
                  <w:tcW w:w="595"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color w:val="000000" w:themeColor="text1"/>
                      <w:sz w:val="21"/>
                      <w:szCs w:val="21"/>
                      <w:highlight w:val="none"/>
                      <w14:textFill>
                        <w14:solidFill>
                          <w14:schemeClr w14:val="tx1"/>
                        </w14:solidFill>
                      </w14:textFill>
                    </w:rPr>
                  </w:pPr>
                  <w:r>
                    <w:rPr>
                      <w:b/>
                      <w:bCs/>
                      <w:color w:val="000000" w:themeColor="text1"/>
                      <w:spacing w:val="-5"/>
                      <w:sz w:val="21"/>
                      <w:szCs w:val="21"/>
                      <w:highlight w:val="none"/>
                      <w14:textFill>
                        <w14:solidFill>
                          <w14:schemeClr w14:val="tx1"/>
                        </w14:solidFill>
                      </w14:textFill>
                    </w:rPr>
                    <w:t>符合</w:t>
                  </w:r>
                  <w:r>
                    <w:rPr>
                      <w:b/>
                      <w:bCs/>
                      <w:color w:val="000000" w:themeColor="text1"/>
                      <w:spacing w:val="-3"/>
                      <w:sz w:val="21"/>
                      <w:szCs w:val="21"/>
                      <w:highlight w:val="none"/>
                      <w14:textFill>
                        <w14:solidFill>
                          <w14:schemeClr w14:val="tx1"/>
                        </w14:solidFill>
                      </w14:textFill>
                    </w:rPr>
                    <w:t>性</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827" w:hRule="atLeast"/>
                <w:jc w:val="center"/>
              </w:trPr>
              <w:tc>
                <w:tcPr>
                  <w:tcW w:w="2823"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color w:val="000000" w:themeColor="text1"/>
                      <w:sz w:val="21"/>
                      <w:szCs w:val="21"/>
                      <w:highlight w:val="none"/>
                      <w14:textFill>
                        <w14:solidFill>
                          <w14:schemeClr w14:val="tx1"/>
                        </w14:solidFill>
                      </w14:textFill>
                    </w:rPr>
                  </w:pPr>
                  <w:r>
                    <w:rPr>
                      <w:color w:val="000000" w:themeColor="text1"/>
                      <w:spacing w:val="4"/>
                      <w:sz w:val="21"/>
                      <w:szCs w:val="21"/>
                      <w:highlight w:val="none"/>
                      <w14:textFill>
                        <w14:solidFill>
                          <w14:schemeClr w14:val="tx1"/>
                        </w14:solidFill>
                      </w14:textFill>
                    </w:rPr>
                    <w:t>根据《挥发性有机物（</w:t>
                  </w:r>
                  <w:r>
                    <w:rPr>
                      <w:rFonts w:ascii="Times New Roman" w:hAnsi="Times New Roman" w:eastAsia="Times New Roman" w:cs="Times New Roman"/>
                      <w:color w:val="000000" w:themeColor="text1"/>
                      <w:sz w:val="21"/>
                      <w:szCs w:val="21"/>
                      <w:highlight w:val="none"/>
                      <w14:textFill>
                        <w14:solidFill>
                          <w14:schemeClr w14:val="tx1"/>
                        </w14:solidFill>
                      </w14:textFill>
                    </w:rPr>
                    <w:t>VOCs</w:t>
                  </w:r>
                  <w:r>
                    <w:rPr>
                      <w:color w:val="000000" w:themeColor="text1"/>
                      <w:spacing w:val="4"/>
                      <w:sz w:val="21"/>
                      <w:szCs w:val="21"/>
                      <w:highlight w:val="none"/>
                      <w14:textFill>
                        <w14:solidFill>
                          <w14:schemeClr w14:val="tx1"/>
                        </w14:solidFill>
                      </w14:textFill>
                    </w:rPr>
                    <w:t>）污染防治技</w:t>
                  </w:r>
                  <w:r>
                    <w:rPr>
                      <w:color w:val="000000" w:themeColor="text1"/>
                      <w:spacing w:val="-2"/>
                      <w:sz w:val="21"/>
                      <w:szCs w:val="21"/>
                      <w:highlight w:val="none"/>
                      <w14:textFill>
                        <w14:solidFill>
                          <w14:schemeClr w14:val="tx1"/>
                        </w14:solidFill>
                      </w14:textFill>
                    </w:rPr>
                    <w:t>术政策》，</w:t>
                  </w:r>
                  <w:r>
                    <w:rPr>
                      <w:rFonts w:ascii="Times New Roman" w:hAnsi="Times New Roman" w:eastAsia="Times New Roman" w:cs="Times New Roman"/>
                      <w:color w:val="000000" w:themeColor="text1"/>
                      <w:spacing w:val="-2"/>
                      <w:sz w:val="21"/>
                      <w:szCs w:val="21"/>
                      <w:highlight w:val="none"/>
                      <w14:textFill>
                        <w14:solidFill>
                          <w14:schemeClr w14:val="tx1"/>
                        </w14:solidFill>
                      </w14:textFill>
                    </w:rPr>
                    <w:t>VOCs</w:t>
                  </w:r>
                  <w:r>
                    <w:rPr>
                      <w:color w:val="000000" w:themeColor="text1"/>
                      <w:spacing w:val="-2"/>
                      <w:sz w:val="21"/>
                      <w:szCs w:val="21"/>
                      <w:highlight w:val="none"/>
                      <w14:textFill>
                        <w14:solidFill>
                          <w14:schemeClr w14:val="tx1"/>
                        </w14:solidFill>
                      </w14:textFill>
                    </w:rPr>
                    <w:t>污染防治应遵循源头和过</w:t>
                  </w:r>
                  <w:r>
                    <w:rPr>
                      <w:color w:val="000000" w:themeColor="text1"/>
                      <w:spacing w:val="17"/>
                      <w:sz w:val="21"/>
                      <w:szCs w:val="21"/>
                      <w:highlight w:val="none"/>
                      <w14:textFill>
                        <w14:solidFill>
                          <w14:schemeClr w14:val="tx1"/>
                        </w14:solidFill>
                      </w14:textFill>
                    </w:rPr>
                    <w:t>程控制与末端治理相结合的综合防治原</w:t>
                  </w:r>
                  <w:r>
                    <w:rPr>
                      <w:color w:val="000000" w:themeColor="text1"/>
                      <w:sz w:val="21"/>
                      <w:szCs w:val="21"/>
                      <w:highlight w:val="none"/>
                      <w14:textFill>
                        <w14:solidFill>
                          <w14:schemeClr w14:val="tx1"/>
                        </w14:solidFill>
                      </w14:textFill>
                    </w:rPr>
                    <w:t>则。在工业生产中采用清洁生产技术，严</w:t>
                  </w:r>
                  <w:r>
                    <w:rPr>
                      <w:color w:val="000000" w:themeColor="text1"/>
                      <w:spacing w:val="4"/>
                      <w:sz w:val="21"/>
                      <w:szCs w:val="21"/>
                      <w:highlight w:val="none"/>
                      <w14:textFill>
                        <w14:solidFill>
                          <w14:schemeClr w14:val="tx1"/>
                        </w14:solidFill>
                      </w14:textFill>
                    </w:rPr>
                    <w:t>格控制含</w:t>
                  </w:r>
                  <w:r>
                    <w:rPr>
                      <w:rFonts w:ascii="Times New Roman" w:hAnsi="Times New Roman" w:eastAsia="Times New Roman" w:cs="Times New Roman"/>
                      <w:color w:val="000000" w:themeColor="text1"/>
                      <w:sz w:val="21"/>
                      <w:szCs w:val="21"/>
                      <w:highlight w:val="none"/>
                      <w14:textFill>
                        <w14:solidFill>
                          <w14:schemeClr w14:val="tx1"/>
                        </w14:solidFill>
                      </w14:textFill>
                    </w:rPr>
                    <w:t>VOCs</w:t>
                  </w:r>
                  <w:r>
                    <w:rPr>
                      <w:color w:val="000000" w:themeColor="text1"/>
                      <w:spacing w:val="4"/>
                      <w:sz w:val="21"/>
                      <w:szCs w:val="21"/>
                      <w:highlight w:val="none"/>
                      <w14:textFill>
                        <w14:solidFill>
                          <w14:schemeClr w14:val="tx1"/>
                        </w14:solidFill>
                      </w14:textFill>
                    </w:rPr>
                    <w:t>原料与产品在生产和储运</w:t>
                  </w:r>
                  <w:r>
                    <w:rPr>
                      <w:color w:val="000000" w:themeColor="text1"/>
                      <w:spacing w:val="5"/>
                      <w:sz w:val="21"/>
                      <w:szCs w:val="21"/>
                      <w:highlight w:val="none"/>
                      <w14:textFill>
                        <w14:solidFill>
                          <w14:schemeClr w14:val="tx1"/>
                        </w14:solidFill>
                      </w14:textFill>
                    </w:rPr>
                    <w:t>销过程中的</w:t>
                  </w:r>
                  <w:r>
                    <w:rPr>
                      <w:rFonts w:ascii="Times New Roman" w:hAnsi="Times New Roman" w:eastAsia="Times New Roman" w:cs="Times New Roman"/>
                      <w:color w:val="000000" w:themeColor="text1"/>
                      <w:sz w:val="21"/>
                      <w:szCs w:val="21"/>
                      <w:highlight w:val="none"/>
                      <w14:textFill>
                        <w14:solidFill>
                          <w14:schemeClr w14:val="tx1"/>
                        </w14:solidFill>
                      </w14:textFill>
                    </w:rPr>
                    <w:t>VOCs</w:t>
                  </w:r>
                  <w:r>
                    <w:rPr>
                      <w:color w:val="000000" w:themeColor="text1"/>
                      <w:spacing w:val="5"/>
                      <w:sz w:val="21"/>
                      <w:szCs w:val="21"/>
                      <w:highlight w:val="none"/>
                      <w14:textFill>
                        <w14:solidFill>
                          <w14:schemeClr w14:val="tx1"/>
                        </w14:solidFill>
                      </w14:textFill>
                    </w:rPr>
                    <w:t>排放，鼓励对资源和能</w:t>
                  </w:r>
                  <w:r>
                    <w:rPr>
                      <w:color w:val="000000" w:themeColor="text1"/>
                      <w:spacing w:val="6"/>
                      <w:sz w:val="21"/>
                      <w:szCs w:val="21"/>
                      <w:highlight w:val="none"/>
                      <w14:textFill>
                        <w14:solidFill>
                          <w14:schemeClr w14:val="tx1"/>
                        </w14:solidFill>
                      </w14:textFill>
                    </w:rPr>
                    <w:t>源的回收利用</w:t>
                  </w:r>
                  <w:r>
                    <w:rPr>
                      <w:rFonts w:hint="eastAsia"/>
                      <w:color w:val="000000" w:themeColor="text1"/>
                      <w:spacing w:val="6"/>
                      <w:sz w:val="21"/>
                      <w:szCs w:val="21"/>
                      <w:highlight w:val="none"/>
                      <w:lang w:eastAsia="zh-CN"/>
                      <w14:textFill>
                        <w14:solidFill>
                          <w14:schemeClr w14:val="tx1"/>
                        </w14:solidFill>
                      </w14:textFill>
                    </w:rPr>
                    <w:t>；</w:t>
                  </w:r>
                  <w:r>
                    <w:rPr>
                      <w:color w:val="000000" w:themeColor="text1"/>
                      <w:spacing w:val="6"/>
                      <w:sz w:val="21"/>
                      <w:szCs w:val="21"/>
                      <w:highlight w:val="none"/>
                      <w14:textFill>
                        <w14:solidFill>
                          <w14:schemeClr w14:val="tx1"/>
                        </w14:solidFill>
                      </w14:textFill>
                    </w:rPr>
                    <w:t>鼓励在生产和生活中使用不</w:t>
                  </w:r>
                  <w:r>
                    <w:rPr>
                      <w:color w:val="000000" w:themeColor="text1"/>
                      <w:spacing w:val="-1"/>
                      <w:sz w:val="21"/>
                      <w:szCs w:val="21"/>
                      <w:highlight w:val="none"/>
                      <w14:textFill>
                        <w14:solidFill>
                          <w14:schemeClr w14:val="tx1"/>
                        </w14:solidFill>
                      </w14:textFill>
                    </w:rPr>
                    <w:t>含</w:t>
                  </w: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VOCs</w:t>
                  </w:r>
                  <w:r>
                    <w:rPr>
                      <w:color w:val="000000" w:themeColor="text1"/>
                      <w:spacing w:val="-1"/>
                      <w:sz w:val="21"/>
                      <w:szCs w:val="21"/>
                      <w:highlight w:val="none"/>
                      <w14:textFill>
                        <w14:solidFill>
                          <w14:schemeClr w14:val="tx1"/>
                        </w14:solidFill>
                      </w14:textFill>
                    </w:rPr>
                    <w:t>的替代产品或低</w:t>
                  </w: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VOCs</w:t>
                  </w:r>
                  <w:r>
                    <w:rPr>
                      <w:color w:val="000000" w:themeColor="text1"/>
                      <w:spacing w:val="-1"/>
                      <w:sz w:val="21"/>
                      <w:szCs w:val="21"/>
                      <w:highlight w:val="none"/>
                      <w14:textFill>
                        <w14:solidFill>
                          <w14:schemeClr w14:val="tx1"/>
                        </w14:solidFill>
                      </w14:textFill>
                    </w:rPr>
                    <w:t>含量的产</w:t>
                  </w:r>
                  <w:r>
                    <w:rPr>
                      <w:color w:val="000000" w:themeColor="text1"/>
                      <w:spacing w:val="-10"/>
                      <w:sz w:val="21"/>
                      <w:szCs w:val="21"/>
                      <w:highlight w:val="none"/>
                      <w14:textFill>
                        <w14:solidFill>
                          <w14:schemeClr w14:val="tx1"/>
                        </w14:solidFill>
                      </w14:textFill>
                    </w:rPr>
                    <w:t>品。</w:t>
                  </w:r>
                </w:p>
              </w:tc>
              <w:tc>
                <w:tcPr>
                  <w:tcW w:w="1581"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240" w:lineRule="auto"/>
                    <w:ind w:left="0" w:right="0" w:hanging="1"/>
                    <w:jc w:val="both"/>
                    <w:textAlignment w:val="auto"/>
                    <w:rPr>
                      <w:color w:val="000000" w:themeColor="text1"/>
                      <w:sz w:val="21"/>
                      <w:szCs w:val="21"/>
                      <w:highlight w:val="none"/>
                      <w14:textFill>
                        <w14:solidFill>
                          <w14:schemeClr w14:val="tx1"/>
                        </w14:solidFill>
                      </w14:textFill>
                    </w:rPr>
                  </w:pPr>
                  <w:r>
                    <w:rPr>
                      <w:color w:val="000000" w:themeColor="text1"/>
                      <w:spacing w:val="0"/>
                      <w:sz w:val="21"/>
                      <w:szCs w:val="21"/>
                      <w:highlight w:val="none"/>
                      <w14:textFill>
                        <w14:solidFill>
                          <w14:schemeClr w14:val="tx1"/>
                        </w14:solidFill>
                      </w14:textFill>
                    </w:rPr>
                    <w:t>项目对磺化泥浆进行处理，处理后的还原土可进行综合利用，磺化泥浆产生的少量非甲烷总烃无组织排放，对环境的影响</w:t>
                  </w:r>
                  <w:r>
                    <w:rPr>
                      <w:rFonts w:hint="eastAsia"/>
                      <w:color w:val="000000" w:themeColor="text1"/>
                      <w:spacing w:val="0"/>
                      <w:sz w:val="21"/>
                      <w:szCs w:val="21"/>
                      <w:highlight w:val="none"/>
                      <w:lang w:eastAsia="zh-CN"/>
                      <w14:textFill>
                        <w14:solidFill>
                          <w14:schemeClr w14:val="tx1"/>
                        </w14:solidFill>
                      </w14:textFill>
                    </w:rPr>
                    <w:t>较小</w:t>
                  </w:r>
                  <w:r>
                    <w:rPr>
                      <w:color w:val="000000" w:themeColor="text1"/>
                      <w:spacing w:val="0"/>
                      <w:sz w:val="21"/>
                      <w:szCs w:val="21"/>
                      <w:highlight w:val="none"/>
                      <w14:textFill>
                        <w14:solidFill>
                          <w14:schemeClr w14:val="tx1"/>
                        </w14:solidFill>
                      </w14:textFill>
                    </w:rPr>
                    <w:t>。</w:t>
                  </w:r>
                </w:p>
              </w:tc>
              <w:tc>
                <w:tcPr>
                  <w:tcW w:w="595"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240" w:lineRule="auto"/>
                    <w:ind w:left="0" w:right="0"/>
                    <w:jc w:val="both"/>
                    <w:textAlignment w:val="auto"/>
                    <w:rPr>
                      <w:color w:val="000000" w:themeColor="text1"/>
                      <w:sz w:val="21"/>
                      <w:szCs w:val="21"/>
                      <w:highlight w:val="none"/>
                      <w14:textFill>
                        <w14:solidFill>
                          <w14:schemeClr w14:val="tx1"/>
                        </w14:solidFill>
                      </w14:textFill>
                    </w:rPr>
                  </w:pPr>
                  <w:r>
                    <w:rPr>
                      <w:color w:val="000000" w:themeColor="text1"/>
                      <w:spacing w:val="-4"/>
                      <w:sz w:val="21"/>
                      <w:szCs w:val="21"/>
                      <w:highlight w:val="none"/>
                      <w14:textFill>
                        <w14:solidFill>
                          <w14:schemeClr w14:val="tx1"/>
                        </w14:solidFill>
                      </w14:textFill>
                    </w:rPr>
                    <w:t>符合要求</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2" w:firstLineChars="200"/>
              <w:jc w:val="both"/>
              <w:textAlignment w:val="auto"/>
              <w:rPr>
                <w:rFonts w:hint="eastAsia" w:cs="Times New Roman"/>
                <w:b/>
                <w:bCs/>
                <w:caps w:val="0"/>
                <w:color w:val="000000" w:themeColor="text1"/>
                <w:sz w:val="24"/>
                <w:highlight w:val="none"/>
                <w:lang w:val="en-US" w:eastAsia="zh-CN"/>
                <w14:textFill>
                  <w14:solidFill>
                    <w14:schemeClr w14:val="tx1"/>
                  </w14:solidFill>
                </w14:textFill>
              </w:rPr>
            </w:pPr>
            <w:r>
              <w:rPr>
                <w:rFonts w:hint="eastAsia" w:cs="Times New Roman"/>
                <w:b/>
                <w:bCs/>
                <w:caps w:val="0"/>
                <w:color w:val="000000" w:themeColor="text1"/>
                <w:sz w:val="24"/>
                <w:highlight w:val="none"/>
                <w:lang w:val="en-US" w:eastAsia="zh-CN"/>
                <w14:textFill>
                  <w14:solidFill>
                    <w14:schemeClr w14:val="tx1"/>
                  </w14:solidFill>
                </w14:textFill>
              </w:rPr>
              <w:t>2.8与《关于深入打好污染防治攻坚战的实施方案》符合性分析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6" w:firstLineChars="200"/>
              <w:jc w:val="both"/>
              <w:textAlignment w:val="auto"/>
              <w:rPr>
                <w:rFonts w:hint="default" w:ascii="Times New Roman" w:hAnsi="Times New Roman" w:eastAsia="宋体" w:cs="Times New Roman"/>
                <w:b w:val="0"/>
                <w:bCs w:val="0"/>
                <w:color w:val="000000" w:themeColor="text1"/>
                <w:spacing w:val="-6"/>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6"/>
                <w:kern w:val="0"/>
                <w:sz w:val="24"/>
                <w:szCs w:val="24"/>
                <w:lang w:val="en-US" w:eastAsia="zh-CN" w:bidi="ar"/>
                <w14:textFill>
                  <w14:solidFill>
                    <w14:schemeClr w14:val="tx1"/>
                  </w14:solidFill>
                </w14:textFill>
              </w:rPr>
              <w:t>《实施方案》主要目标。.......城镇生活污水处理率达到97%以上、城镇生活垃圾无害化处理率保持在98%以上，农村生活污水治理率达到30%左右，土壤污染风险得到有效管控，</w:t>
            </w:r>
            <w:r>
              <w:rPr>
                <w:rFonts w:hint="default" w:ascii="Times New Roman" w:hAnsi="Times New Roman" w:eastAsia="宋体" w:cs="Times New Roman"/>
                <w:b/>
                <w:bCs/>
                <w:color w:val="000000" w:themeColor="text1"/>
                <w:spacing w:val="-6"/>
                <w:kern w:val="0"/>
                <w:sz w:val="24"/>
                <w:szCs w:val="24"/>
                <w:lang w:val="en-US" w:eastAsia="zh-CN" w:bidi="ar"/>
                <w14:textFill>
                  <w14:solidFill>
                    <w14:schemeClr w14:val="tx1"/>
                  </w14:solidFill>
                </w14:textFill>
              </w:rPr>
              <w:t>固体废物和新污染物治理能力明显增强</w:t>
            </w:r>
            <w:r>
              <w:rPr>
                <w:rFonts w:hint="default" w:ascii="Times New Roman" w:hAnsi="Times New Roman" w:eastAsia="宋体" w:cs="Times New Roman"/>
                <w:color w:val="000000" w:themeColor="text1"/>
                <w:spacing w:val="-6"/>
                <w:kern w:val="0"/>
                <w:sz w:val="24"/>
                <w:szCs w:val="24"/>
                <w:lang w:val="en-US" w:eastAsia="zh-CN" w:bidi="ar"/>
                <w14:textFill>
                  <w14:solidFill>
                    <w14:schemeClr w14:val="tx1"/>
                  </w14:solidFill>
                </w14:textFill>
              </w:rPr>
              <w:t>，生态系统质量和稳定性持续提升，生态环境治理体系更加完善，生态文明建设实现新进步。到2035年，生态环境根本好转，广泛形成绿色生产生活方式，美丽新疆建设目标基本实现。</w:t>
            </w:r>
          </w:p>
          <w:p>
            <w:pPr>
              <w:pStyle w:val="2"/>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本项目属于一般固废的处置项目，符合</w:t>
            </w:r>
            <w:r>
              <w:rPr>
                <w:rFonts w:hint="default" w:ascii="Times New Roman" w:hAnsi="Times New Roman" w:eastAsia="宋体" w:cs="Times New Roman"/>
                <w:b w:val="0"/>
                <w:bCs w:val="0"/>
                <w:caps w:val="0"/>
                <w:color w:val="000000" w:themeColor="text1"/>
                <w:sz w:val="24"/>
                <w:szCs w:val="24"/>
                <w:highlight w:val="none"/>
                <w:lang w:val="en-US" w:eastAsia="zh-CN"/>
                <w14:textFill>
                  <w14:solidFill>
                    <w14:schemeClr w14:val="tx1"/>
                  </w14:solidFill>
                </w14:textFill>
              </w:rPr>
              <w:t>《关于深入打好污染防治攻坚战的实施方案》主要目标要求。</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both"/>
              <w:textAlignment w:val="auto"/>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3、</w:t>
            </w:r>
            <w:r>
              <w:rPr>
                <w:rFonts w:hint="eastAsia" w:cs="Times New Roman"/>
                <w:b/>
                <w:bCs/>
                <w:caps w:val="0"/>
                <w:color w:val="000000" w:themeColor="text1"/>
                <w:sz w:val="24"/>
                <w:highlight w:val="none"/>
                <w:lang w:val="en-US" w:eastAsia="zh-CN"/>
                <w14:textFill>
                  <w14:solidFill>
                    <w14:schemeClr w14:val="tx1"/>
                  </w14:solidFill>
                </w14:textFill>
              </w:rPr>
              <w:t>相关</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规划符合性</w:t>
            </w:r>
          </w:p>
          <w:p>
            <w:pPr>
              <w:overflowPunct w:val="0"/>
              <w:spacing w:line="360" w:lineRule="auto"/>
              <w:ind w:firstLine="482" w:firstLineChars="200"/>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3.1与</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《新疆</w:t>
            </w: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生态环境保护“十四五”规划</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w:t>
            </w: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符合性分析</w:t>
            </w:r>
          </w:p>
          <w:p>
            <w:pPr>
              <w:pStyle w:val="35"/>
              <w:spacing w:line="360" w:lineRule="auto"/>
              <w:ind w:left="0" w:leftChars="0" w:firstLine="480" w:firstLineChars="200"/>
              <w:rPr>
                <w:rFonts w:hint="eastAsia" w:ascii="Times New Roman" w:hAnsi="Times New Roman" w:eastAsia="宋体"/>
                <w:caps w:val="0"/>
                <w:color w:val="000000" w:themeColor="text1"/>
                <w:sz w:val="24"/>
                <w:highlight w:val="none"/>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《新疆生态环境保护“十四五”规划》第十章第</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三</w:t>
            </w:r>
            <w:r>
              <w:rPr>
                <w:rFonts w:hint="eastAsia" w:ascii="Times New Roman" w:hAnsi="Times New Roman" w:eastAsia="宋体"/>
                <w:caps w:val="0"/>
                <w:color w:val="000000" w:themeColor="text1"/>
                <w:sz w:val="24"/>
                <w:highlight w:val="none"/>
                <w14:textFill>
                  <w14:solidFill>
                    <w14:schemeClr w14:val="tx1"/>
                  </w14:solidFill>
                </w14:textFill>
              </w:rPr>
              <w:t>节以“无废城市”建设推动固体废物减量化资源化</w:t>
            </w:r>
            <w:r>
              <w:rPr>
                <w:rFonts w:hint="eastAsia" w:ascii="Times New Roman" w:hAnsi="Times New Roman" w:eastAsia="宋体"/>
                <w:caps w:val="0"/>
                <w:color w:val="000000" w:themeColor="text1"/>
                <w:sz w:val="24"/>
                <w:highlight w:val="none"/>
                <w:lang w:eastAsia="zh-CN"/>
                <w14:textFill>
                  <w14:solidFill>
                    <w14:schemeClr w14:val="tx1"/>
                  </w14:solidFill>
                </w14:textFill>
              </w:rPr>
              <w:t>：</w:t>
            </w:r>
            <w:r>
              <w:rPr>
                <w:rFonts w:hint="eastAsia" w:ascii="Times New Roman" w:hAnsi="Times New Roman" w:eastAsia="宋体"/>
                <w:caps w:val="0"/>
                <w:color w:val="000000" w:themeColor="text1"/>
                <w:sz w:val="24"/>
                <w:highlight w:val="none"/>
                <w14:textFill>
                  <w14:solidFill>
                    <w14:schemeClr w14:val="tx1"/>
                  </w14:solidFill>
                </w14:textFill>
              </w:rPr>
              <w:t>推进固体废物源头减量和资源化利用。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持续开展固体废物非法转移和倾倒排查整治，持续保持打击洋垃圾走私高压态势。推行生活垃圾分类，加快建设县（市）生活垃圾处理设施，到2025年，全疆城市生活垃圾无害化处理率达到99%以上。</w:t>
            </w:r>
          </w:p>
          <w:p>
            <w:pPr>
              <w:pStyle w:val="35"/>
              <w:spacing w:line="360" w:lineRule="auto"/>
              <w:ind w:left="0" w:leftChars="0" w:firstLine="480" w:firstLineChars="200"/>
              <w:rPr>
                <w:rFonts w:hint="default" w:ascii="Times New Roman" w:hAnsi="Times New Roman" w:eastAsia="宋体"/>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本项目为一般固废（磺化泥浆）</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处置</w:t>
            </w:r>
            <w:r>
              <w:rPr>
                <w:rFonts w:hint="eastAsia" w:ascii="Times New Roman" w:hAnsi="Times New Roman" w:eastAsia="宋体"/>
                <w:caps w:val="0"/>
                <w:color w:val="000000" w:themeColor="text1"/>
                <w:sz w:val="24"/>
                <w:highlight w:val="none"/>
                <w14:textFill>
                  <w14:solidFill>
                    <w14:schemeClr w14:val="tx1"/>
                  </w14:solidFill>
                </w14:textFill>
              </w:rPr>
              <w:t>项目，</w:t>
            </w:r>
            <w:r>
              <w:rPr>
                <w:rFonts w:hint="eastAsia" w:ascii="Times New Roman" w:hAnsi="Times New Roman" w:eastAsia="宋体"/>
                <w:caps w:val="0"/>
                <w:color w:val="000000" w:themeColor="text1"/>
                <w:sz w:val="24"/>
                <w:highlight w:val="none"/>
                <w:lang w:eastAsia="zh-CN"/>
                <w14:textFill>
                  <w14:solidFill>
                    <w14:schemeClr w14:val="tx1"/>
                  </w14:solidFill>
                </w14:textFill>
              </w:rPr>
              <w:t>主要对</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尉犁区块范围内的油气井钻采过程产生的</w:t>
            </w:r>
            <w:r>
              <w:rPr>
                <w:rFonts w:hint="eastAsia" w:ascii="Times New Roman" w:hAnsi="Times New Roman" w:eastAsia="宋体"/>
                <w:caps w:val="0"/>
                <w:color w:val="000000" w:themeColor="text1"/>
                <w:sz w:val="24"/>
                <w:highlight w:val="none"/>
                <w14:textFill>
                  <w14:solidFill>
                    <w14:schemeClr w14:val="tx1"/>
                  </w14:solidFill>
                </w14:textFill>
              </w:rPr>
              <w:t>一般固废（磺化泥浆）</w:t>
            </w:r>
            <w:r>
              <w:rPr>
                <w:rFonts w:hint="eastAsia" w:ascii="Times New Roman" w:hAnsi="Times New Roman" w:eastAsia="宋体"/>
                <w:caps w:val="0"/>
                <w:color w:val="000000" w:themeColor="text1"/>
                <w:sz w:val="24"/>
                <w:highlight w:val="none"/>
                <w:lang w:eastAsia="zh-CN"/>
                <w14:textFill>
                  <w14:solidFill>
                    <w14:schemeClr w14:val="tx1"/>
                  </w14:solidFill>
                </w14:textFill>
              </w:rPr>
              <w:t>进行处置，可实现固废“减量化、资源化、无害化”，符合《新疆生态环境保护“十四五”规划》相关要求。</w:t>
            </w:r>
          </w:p>
          <w:p>
            <w:pPr>
              <w:overflowPunct w:val="0"/>
              <w:spacing w:line="360" w:lineRule="auto"/>
              <w:ind w:firstLine="482" w:firstLineChars="200"/>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3.2</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与《巴音郭楞蒙古自治州生态环境“十四五”规划》的符合性</w:t>
            </w:r>
          </w:p>
          <w:p>
            <w:pPr>
              <w:pStyle w:val="35"/>
              <w:spacing w:line="360" w:lineRule="auto"/>
              <w:ind w:left="0" w:leftChars="0" w:firstLine="456" w:firstLineChars="200"/>
              <w:rPr>
                <w:rFonts w:hint="eastAsia" w:ascii="Times New Roman" w:hAnsi="Times New Roman" w:eastAsia="宋体" w:cs="Times New Roman"/>
                <w:caps w:val="0"/>
                <w:color w:val="000000" w:themeColor="text1"/>
                <w:spacing w:val="-6"/>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6"/>
                <w:sz w:val="24"/>
                <w:highlight w:val="none"/>
                <w:lang w:val="en-US" w:eastAsia="zh-CN"/>
                <w14:textFill>
                  <w14:solidFill>
                    <w14:schemeClr w14:val="tx1"/>
                  </w14:solidFill>
                </w14:textFill>
              </w:rPr>
              <w:t>《巴音郭楞蒙古自治州生态环境“十四五”规划》第十章</w:t>
            </w:r>
            <w:r>
              <w:rPr>
                <w:rFonts w:hint="eastAsia" w:ascii="Times New Roman" w:hAnsi="Times New Roman" w:eastAsia="宋体" w:cs="Times New Roman"/>
                <w:caps w:val="0"/>
                <w:color w:val="000000" w:themeColor="text1"/>
                <w:spacing w:val="-6"/>
                <w:sz w:val="24"/>
                <w:highlight w:val="none"/>
                <w:lang w:val="en-US" w:eastAsia="zh-CN"/>
                <w14:textFill>
                  <w14:solidFill>
                    <w14:schemeClr w14:val="tx1"/>
                  </w14:solidFill>
                </w14:textFill>
              </w:rPr>
              <w:t>第二节 推进“无废城市”建设：</w:t>
            </w:r>
            <w:r>
              <w:rPr>
                <w:rFonts w:hint="eastAsia" w:ascii="Times New Roman" w:hAnsi="Times New Roman" w:eastAsia="宋体" w:cs="Times New Roman"/>
                <w:caps w:val="0"/>
                <w:color w:val="000000" w:themeColor="text1"/>
                <w:spacing w:val="-6"/>
                <w:kern w:val="2"/>
                <w:sz w:val="24"/>
                <w:szCs w:val="24"/>
                <w:highlight w:val="none"/>
                <w:lang w:val="en-US" w:eastAsia="zh-CN" w:bidi="ar-SA"/>
                <w14:textFill>
                  <w14:solidFill>
                    <w14:schemeClr w14:val="tx1"/>
                  </w14:solidFill>
                </w14:textFill>
              </w:rPr>
              <w:t>加强固体废物处置。加强固体废物源头减量和资源化利用，最大限度减少填埋量。持续开展固体废物非法转移和倾倒排查整治，推动开展塑料行业专项清理，持续推进废塑料加工利用行业整治，加强废塑料回收、利用、处置等环节的环境监管，降低污染风险。加强工业固体废物堆存场所环境整治。持续推进工业固体废物综合利用和环境整治，不断提高大宗工业固体废物资源化利用水平。</w:t>
            </w:r>
          </w:p>
          <w:p>
            <w:pPr>
              <w:pStyle w:val="35"/>
              <w:spacing w:line="360" w:lineRule="auto"/>
              <w:ind w:left="0" w:leftChars="0" w:firstLine="480" w:firstLineChars="200"/>
              <w:rPr>
                <w:rFonts w:hint="eastAsia" w:ascii="Times New Roman" w:hAnsi="Times New Roman" w:eastAsia="宋体"/>
                <w:caps w:val="0"/>
                <w:color w:val="000000" w:themeColor="text1"/>
                <w:sz w:val="24"/>
                <w:highlight w:val="none"/>
                <w:lang w:eastAsia="zh-CN"/>
                <w14:textFill>
                  <w14:solidFill>
                    <w14:schemeClr w14:val="tx1"/>
                  </w14:solidFill>
                </w14:textFill>
              </w:rPr>
            </w:pPr>
            <w:r>
              <w:rPr>
                <w:rFonts w:hint="eastAsia" w:ascii="Times New Roman" w:hAnsi="Times New Roman" w:eastAsia="宋体"/>
                <w:caps w:val="0"/>
                <w:color w:val="000000" w:themeColor="text1"/>
                <w:sz w:val="24"/>
                <w:highlight w:val="none"/>
                <w14:textFill>
                  <w14:solidFill>
                    <w14:schemeClr w14:val="tx1"/>
                  </w14:solidFill>
                </w14:textFill>
              </w:rPr>
              <w:t>本项目为一般固废（磺化泥浆）</w:t>
            </w:r>
            <w:r>
              <w:rPr>
                <w:rFonts w:hint="eastAsia"/>
                <w:caps w:val="0"/>
                <w:color w:val="000000" w:themeColor="text1"/>
                <w:sz w:val="24"/>
                <w:highlight w:val="none"/>
                <w:lang w:val="en-US" w:eastAsia="zh-CN"/>
                <w14:textFill>
                  <w14:solidFill>
                    <w14:schemeClr w14:val="tx1"/>
                  </w14:solidFill>
                </w14:textFill>
              </w:rPr>
              <w:t>处置</w:t>
            </w:r>
            <w:r>
              <w:rPr>
                <w:rFonts w:hint="eastAsia" w:ascii="Times New Roman" w:hAnsi="Times New Roman" w:eastAsia="宋体"/>
                <w:caps w:val="0"/>
                <w:color w:val="000000" w:themeColor="text1"/>
                <w:sz w:val="24"/>
                <w:highlight w:val="none"/>
                <w14:textFill>
                  <w14:solidFill>
                    <w14:schemeClr w14:val="tx1"/>
                  </w14:solidFill>
                </w14:textFill>
              </w:rPr>
              <w:t>项目，</w:t>
            </w:r>
            <w:r>
              <w:rPr>
                <w:rFonts w:hint="eastAsia" w:ascii="Times New Roman" w:hAnsi="Times New Roman" w:eastAsia="宋体"/>
                <w:caps w:val="0"/>
                <w:color w:val="000000" w:themeColor="text1"/>
                <w:sz w:val="24"/>
                <w:highlight w:val="none"/>
                <w:lang w:eastAsia="zh-CN"/>
                <w14:textFill>
                  <w14:solidFill>
                    <w14:schemeClr w14:val="tx1"/>
                  </w14:solidFill>
                </w14:textFill>
              </w:rPr>
              <w:t>主要对</w:t>
            </w:r>
            <w:r>
              <w:rPr>
                <w:rFonts w:hint="eastAsia" w:ascii="Times New Roman" w:hAnsi="Times New Roman" w:eastAsia="宋体"/>
                <w:caps w:val="0"/>
                <w:color w:val="000000" w:themeColor="text1"/>
                <w:sz w:val="24"/>
                <w:highlight w:val="none"/>
                <w:lang w:val="en-US" w:eastAsia="zh-CN"/>
                <w14:textFill>
                  <w14:solidFill>
                    <w14:schemeClr w14:val="tx1"/>
                  </w14:solidFill>
                </w14:textFill>
              </w:rPr>
              <w:t>尉犁区块范围内的油气井钻采过程产生的</w:t>
            </w:r>
            <w:r>
              <w:rPr>
                <w:rFonts w:hint="eastAsia" w:ascii="Times New Roman" w:hAnsi="Times New Roman" w:eastAsia="宋体"/>
                <w:caps w:val="0"/>
                <w:color w:val="000000" w:themeColor="text1"/>
                <w:sz w:val="24"/>
                <w:highlight w:val="none"/>
                <w14:textFill>
                  <w14:solidFill>
                    <w14:schemeClr w14:val="tx1"/>
                  </w14:solidFill>
                </w14:textFill>
              </w:rPr>
              <w:t>一般固废（磺化泥浆）</w:t>
            </w:r>
            <w:r>
              <w:rPr>
                <w:rFonts w:hint="eastAsia" w:ascii="Times New Roman" w:hAnsi="Times New Roman" w:eastAsia="宋体"/>
                <w:caps w:val="0"/>
                <w:color w:val="000000" w:themeColor="text1"/>
                <w:sz w:val="24"/>
                <w:highlight w:val="none"/>
                <w:lang w:eastAsia="zh-CN"/>
                <w14:textFill>
                  <w14:solidFill>
                    <w14:schemeClr w14:val="tx1"/>
                  </w14:solidFill>
                </w14:textFill>
              </w:rPr>
              <w:t>进行处置，可实现固废“减量化、资源化、无害化”，符合《巴音郭楞蒙古自治州生态环境“十四五”规划》相关要求。</w:t>
            </w:r>
          </w:p>
          <w:p>
            <w:pPr>
              <w:overflowPunct w:val="0"/>
              <w:spacing w:line="360" w:lineRule="auto"/>
              <w:ind w:firstLine="482" w:firstLineChars="200"/>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3.3与《巴音郭楞蒙古自治州国民经济和社会发展第十四个五年规划和二〇三五年远景目标纲要》的符合性</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《纲要》</w:t>
            </w:r>
            <w:r>
              <w:rPr>
                <w:rFonts w:hint="default"/>
                <w:color w:val="000000" w:themeColor="text1"/>
                <w:sz w:val="24"/>
                <w:szCs w:val="24"/>
                <w:lang w:val="en-US" w:eastAsia="zh-CN"/>
                <w14:textFill>
                  <w14:solidFill>
                    <w14:schemeClr w14:val="tx1"/>
                  </w14:solidFill>
                </w14:textFill>
              </w:rPr>
              <w:t>第三章 推动绿色低碳发展</w:t>
            </w:r>
            <w:r>
              <w:rPr>
                <w:rFonts w:hint="eastAsia"/>
                <w:color w:val="000000" w:themeColor="text1"/>
                <w:sz w:val="24"/>
                <w:szCs w:val="24"/>
                <w:lang w:val="en-US" w:eastAsia="zh-CN"/>
                <w14:textFill>
                  <w14:solidFill>
                    <w14:schemeClr w14:val="tx1"/>
                  </w14:solidFill>
                </w14:textFill>
              </w:rPr>
              <w:t>：调整优化产业结构。大力发展绿色低碳循环产业，积极推进石油石化、钢铁、建材等传统产业绿色、循环、低碳发展，加大落后产能淘汰力度，</w:t>
            </w:r>
            <w:r>
              <w:rPr>
                <w:rFonts w:hint="eastAsia"/>
                <w:b/>
                <w:bCs/>
                <w:color w:val="000000" w:themeColor="text1"/>
                <w:sz w:val="24"/>
                <w:szCs w:val="24"/>
                <w:lang w:val="en-US" w:eastAsia="zh-CN"/>
                <w14:textFill>
                  <w14:solidFill>
                    <w14:schemeClr w14:val="tx1"/>
                  </w14:solidFill>
                </w14:textFill>
              </w:rPr>
              <w:t>推进资源循环利用基地建设和园区循环化改造</w:t>
            </w:r>
            <w:r>
              <w:rPr>
                <w:rFonts w:hint="eastAsia"/>
                <w:color w:val="000000" w:themeColor="text1"/>
                <w:sz w:val="24"/>
                <w:szCs w:val="24"/>
                <w:lang w:val="en-US" w:eastAsia="zh-CN"/>
                <w14:textFill>
                  <w14:solidFill>
                    <w14:schemeClr w14:val="tx1"/>
                  </w14:solidFill>
                </w14:textFill>
              </w:rPr>
              <w:t>，推动企业清洁化升级转型和绿色工厂建设，大力发展节能环保产业。加强矿产资源循环利用，大力推进绿色矿山和绿色矿区发展示范区建设。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本项目属于一般固废处置项目，钻井过程产生的磺化泥浆经处置后的还原土可进行综合利用，符合《巴音郭楞蒙古自治州国民经济和社会发展第十四个五年规划和二〇三五年远景目标纲要》的要求。</w:t>
            </w:r>
          </w:p>
          <w:p>
            <w:pPr>
              <w:overflowPunct w:val="0"/>
              <w:spacing w:line="360" w:lineRule="auto"/>
              <w:ind w:firstLine="482" w:firstLineChars="200"/>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pPr>
          </w:p>
          <w:p>
            <w:pPr>
              <w:overflowPunct w:val="0"/>
              <w:spacing w:line="360" w:lineRule="auto"/>
              <w:ind w:firstLine="482" w:firstLineChars="200"/>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3.4与《尉犁县国土空间总体规划（2021-2035年）》的符合性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尉犁县国土空间总体规划（2021-2035年）》第50条产业发展方向：推动工业强县，落实融入自治区“八大产业集群”，巴州“七大战场”，突出“两翼齐飞”，保障县域重点产业空间，支撑县域经济高质量发展。全县规划构建“373”产业集群体系聚焦优质原棉、罗布羊、设施农业三个主战场，突出石油勘探开发、新能源、罗布麻全产业链、航空航天、装备制造、纺织服装、农副产品深加工七大重点，瞄准全域旅游及医药康养、商贸物流、电子商务三大主攻方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本项目主要服务于尉犁县境内的勘探井，处置勘探井产生的磺化泥浆，符合《尉犁县国土空间总体规划（2021-2035年）》中产业发展方向的要求。</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both"/>
              <w:textAlignment w:val="auto"/>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4、选址合理性分析</w:t>
            </w:r>
          </w:p>
          <w:p>
            <w:pPr>
              <w:pStyle w:val="302"/>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aps w:val="0"/>
                <w:color w:val="000000" w:themeColor="text1"/>
                <w:kern w:val="2"/>
                <w:sz w:val="24"/>
                <w:szCs w:val="24"/>
                <w:highlight w:val="yellow"/>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本项目用地土地利用类型为未利用地（</w:t>
            </w:r>
            <w:r>
              <w:rPr>
                <w:rFonts w:hint="eastAsia"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盐碱地</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），土地权属为国有。项目用地不属于《限制用地项目目录（2012年本）》和《禁止用地项目目录（2012年本）》中限制类与禁止类项目</w:t>
            </w:r>
            <w:r>
              <w:rPr>
                <w:rFonts w:hint="eastAsia"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项目已取得</w:t>
            </w:r>
            <w:r>
              <w:rPr>
                <w:rFonts w:hint="eastAsia"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尉犁县自然资源局出具的</w:t>
            </w:r>
            <w:r>
              <w:rPr>
                <w:rFonts w:hint="default"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临时用地的批复（尉自然资字</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〔2025〕183号</w:t>
            </w:r>
            <w:r>
              <w:rPr>
                <w:rFonts w:hint="default" w:ascii="Times New Roman" w:hAnsi="Times New Roman" w:cs="Times New Roman"/>
                <w:caps w:val="0"/>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本项目所在区域不涉及自然保护区、风景名胜区和饮用水水源保护区</w:t>
            </w:r>
            <w:r>
              <w:rPr>
                <w:rFonts w:hint="eastAsia" w:cs="Times New Roman"/>
                <w:caps w:val="0"/>
                <w:color w:val="000000" w:themeColor="text1"/>
                <w:kern w:val="2"/>
                <w:sz w:val="24"/>
                <w:szCs w:val="24"/>
                <w:highlight w:val="none"/>
                <w:lang w:val="en-US" w:eastAsia="zh-CN" w:bidi="ar-SA"/>
                <w14:textFill>
                  <w14:solidFill>
                    <w14:schemeClr w14:val="tx1"/>
                  </w14:solidFill>
                </w14:textFill>
              </w:rPr>
              <w:t>、永久基本农田、基本草原、自然公园</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等生态敏感区，也不涉及</w:t>
            </w:r>
            <w:r>
              <w:rPr>
                <w:rFonts w:hint="eastAsia" w:cs="Times New Roman"/>
                <w:caps w:val="0"/>
                <w:color w:val="000000" w:themeColor="text1"/>
                <w:kern w:val="2"/>
                <w:sz w:val="24"/>
                <w:szCs w:val="24"/>
                <w:highlight w:val="none"/>
                <w:lang w:val="en-US" w:eastAsia="zh-CN" w:bidi="ar-SA"/>
                <w14:textFill>
                  <w14:solidFill>
                    <w14:schemeClr w14:val="tx1"/>
                  </w14:solidFill>
                </w14:textFill>
              </w:rPr>
              <w:t>居住区、医疗卫生、文化教育、科研、行政办公为主要功能的区域</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w:t>
            </w:r>
            <w:r>
              <w:rPr>
                <w:rFonts w:hint="eastAsia" w:cs="Times New Roman"/>
                <w:caps w:val="0"/>
                <w:color w:val="000000" w:themeColor="text1"/>
                <w:kern w:val="2"/>
                <w:sz w:val="24"/>
                <w:szCs w:val="24"/>
                <w:highlight w:val="none"/>
                <w:lang w:val="en-US" w:eastAsia="zh-CN" w:bidi="ar-SA"/>
                <w14:textFill>
                  <w14:solidFill>
                    <w14:schemeClr w14:val="tx1"/>
                  </w14:solidFill>
                </w14:textFill>
              </w:rPr>
              <w:t>项目选址满足《一般工业固体废物贮存和填埋污染控制标准》（GB 18599-2020）中选址的要求。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eastAsia" w:cs="Times New Roman"/>
                <w:caps w:val="0"/>
                <w:color w:val="000000" w:themeColor="text1"/>
                <w:kern w:val="2"/>
                <w:sz w:val="24"/>
                <w:szCs w:val="24"/>
                <w:highlight w:val="none"/>
                <w:lang w:val="en-US" w:eastAsia="zh-CN" w:bidi="ar-SA"/>
                <w14:textFill>
                  <w14:solidFill>
                    <w14:schemeClr w14:val="tx1"/>
                  </w14:solidFill>
                </w14:textFill>
              </w:rPr>
              <w:t>尉犁县范围目前正在开发的区块有尉犁18区块及尉犁3区块等，本项目</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主要服务尉犁县范围内</w:t>
            </w:r>
            <w:r>
              <w:rPr>
                <w:rFonts w:hint="eastAsia" w:cs="Times New Roman"/>
                <w:caps w:val="0"/>
                <w:color w:val="000000" w:themeColor="text1"/>
                <w:kern w:val="2"/>
                <w:sz w:val="24"/>
                <w:szCs w:val="24"/>
                <w:highlight w:val="none"/>
                <w:lang w:val="en-US" w:eastAsia="zh-CN" w:bidi="ar-SA"/>
                <w14:textFill>
                  <w14:solidFill>
                    <w14:schemeClr w14:val="tx1"/>
                  </w14:solidFill>
                </w14:textFill>
              </w:rPr>
              <w:t>勘探井</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产生的</w:t>
            </w:r>
            <w:r>
              <w:rPr>
                <w:rFonts w:hint="eastAsia" w:cs="Times New Roman"/>
                <w:caps w:val="0"/>
                <w:color w:val="000000" w:themeColor="text1"/>
                <w:kern w:val="2"/>
                <w:sz w:val="24"/>
                <w:szCs w:val="24"/>
                <w:highlight w:val="none"/>
                <w:lang w:val="en-US" w:eastAsia="zh-CN" w:bidi="ar-SA"/>
                <w14:textFill>
                  <w14:solidFill>
                    <w14:schemeClr w14:val="tx1"/>
                  </w14:solidFill>
                </w14:textFill>
              </w:rPr>
              <w:t>磺化泥浆</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，对新实施钻井作业时收集的</w:t>
            </w:r>
            <w:r>
              <w:rPr>
                <w:rFonts w:hint="eastAsia" w:cs="Times New Roman"/>
                <w:caps w:val="0"/>
                <w:color w:val="000000" w:themeColor="text1"/>
                <w:kern w:val="2"/>
                <w:sz w:val="24"/>
                <w:szCs w:val="24"/>
                <w:highlight w:val="none"/>
                <w:lang w:val="en-US" w:eastAsia="zh-CN" w:bidi="ar-SA"/>
                <w14:textFill>
                  <w14:solidFill>
                    <w14:schemeClr w14:val="tx1"/>
                  </w14:solidFill>
                </w14:textFill>
              </w:rPr>
              <w:t>岩屑</w:t>
            </w: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“减量化、无害化、资源化”，消除废弃物的污染风险。</w:t>
            </w:r>
            <w:r>
              <w:rPr>
                <w:rFonts w:hint="eastAsia" w:cs="Times New Roman"/>
                <w:caps w:val="0"/>
                <w:color w:val="000000" w:themeColor="text1"/>
                <w:kern w:val="2"/>
                <w:sz w:val="24"/>
                <w:szCs w:val="24"/>
                <w:highlight w:val="none"/>
                <w:lang w:val="en-US" w:eastAsia="zh-CN" w:bidi="ar-SA"/>
                <w14:textFill>
                  <w14:solidFill>
                    <w14:schemeClr w14:val="tx1"/>
                  </w14:solidFill>
                </w14:textFill>
              </w:rPr>
              <w:t>项目运营期废气、噪声均能满足相应的排放标准，生产废水循环使用不外排，危险废物委托有资质单位处理。</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综上所述，本项目选址较为合理。</w:t>
            </w:r>
          </w:p>
          <w:p>
            <w:pPr>
              <w:pStyle w:val="3"/>
              <w:rPr>
                <w:rFonts w:hint="eastAsia"/>
                <w:color w:val="000000" w:themeColor="text1"/>
                <w:highlight w:val="none"/>
                <w:lang w:eastAsia="zh-CN"/>
                <w14:textFill>
                  <w14:solidFill>
                    <w14:schemeClr w14:val="tx1"/>
                  </w14:solidFill>
                </w14:textFill>
              </w:rPr>
            </w:pPr>
          </w:p>
          <w:p>
            <w:pPr>
              <w:rPr>
                <w:rFonts w:hint="eastAsia"/>
                <w:color w:val="000000" w:themeColor="text1"/>
                <w:highlight w:val="none"/>
                <w:lang w:eastAsia="zh-CN"/>
                <w14:textFill>
                  <w14:solidFill>
                    <w14:schemeClr w14:val="tx1"/>
                  </w14:solidFill>
                </w14:textFill>
              </w:rPr>
            </w:pPr>
          </w:p>
          <w:p>
            <w:pPr>
              <w:rPr>
                <w:rFonts w:hint="eastAsia"/>
                <w:color w:val="000000" w:themeColor="text1"/>
                <w:highlight w:val="none"/>
                <w:lang w:eastAsia="zh-CN"/>
                <w14:textFill>
                  <w14:solidFill>
                    <w14:schemeClr w14:val="tx1"/>
                  </w14:solidFill>
                </w14:textFill>
              </w:rPr>
            </w:pPr>
          </w:p>
          <w:p>
            <w:pPr>
              <w:pStyle w:val="16"/>
              <w:rPr>
                <w:rFonts w:hint="eastAsia"/>
                <w:color w:val="000000" w:themeColor="text1"/>
                <w:highlight w:val="none"/>
                <w:lang w:eastAsia="zh-CN"/>
                <w14:textFill>
                  <w14:solidFill>
                    <w14:schemeClr w14:val="tx1"/>
                  </w14:solidFill>
                </w14:textFill>
              </w:rPr>
            </w:pPr>
          </w:p>
          <w:p>
            <w:pPr>
              <w:pStyle w:val="16"/>
              <w:rPr>
                <w:rFonts w:hint="eastAsia"/>
                <w:color w:val="000000" w:themeColor="text1"/>
                <w:highlight w:val="none"/>
                <w:lang w:eastAsia="zh-CN"/>
                <w14:textFill>
                  <w14:solidFill>
                    <w14:schemeClr w14:val="tx1"/>
                  </w14:solidFill>
                </w14:textFill>
              </w:rPr>
            </w:pPr>
          </w:p>
          <w:p>
            <w:pPr>
              <w:rPr>
                <w:rFonts w:hint="eastAsia"/>
                <w:color w:val="000000" w:themeColor="text1"/>
                <w:highlight w:val="none"/>
                <w:lang w:eastAsia="zh-CN"/>
                <w14:textFill>
                  <w14:solidFill>
                    <w14:schemeClr w14:val="tx1"/>
                  </w14:solidFill>
                </w14:textFill>
              </w:rPr>
            </w:pPr>
          </w:p>
        </w:tc>
      </w:tr>
    </w:tbl>
    <w:p>
      <w:pPr>
        <w:pStyle w:val="67"/>
        <w:rPr>
          <w:color w:val="000000" w:themeColor="text1"/>
          <w:highlight w:val="none"/>
          <w14:textFill>
            <w14:solidFill>
              <w14:schemeClr w14:val="tx1"/>
            </w14:solidFill>
          </w14:textFill>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宋体"/>
          <w:b/>
          <w:caps w:val="0"/>
          <w:snapToGrid w:val="0"/>
          <w:color w:val="000000" w:themeColor="text1"/>
          <w:sz w:val="30"/>
          <w:szCs w:val="30"/>
          <w:highlight w:val="none"/>
          <w14:textFill>
            <w14:solidFill>
              <w14:schemeClr w14:val="tx1"/>
            </w14:solidFill>
          </w14:textFill>
        </w:rPr>
      </w:pPr>
      <w:bookmarkStart w:id="4" w:name="_Toc10880"/>
      <w:bookmarkStart w:id="5" w:name="_Toc25753"/>
      <w:r>
        <w:rPr>
          <w:rFonts w:ascii="Times New Roman" w:hAnsi="Times New Roman" w:eastAsia="宋体"/>
          <w:b/>
          <w:caps w:val="0"/>
          <w:snapToGrid w:val="0"/>
          <w:color w:val="000000" w:themeColor="text1"/>
          <w:sz w:val="30"/>
          <w:szCs w:val="30"/>
          <w:highlight w:val="none"/>
          <w14:textFill>
            <w14:solidFill>
              <w14:schemeClr w14:val="tx1"/>
            </w14:solidFill>
          </w14:textFill>
        </w:rPr>
        <w:t>二、建设项目工程分析</w:t>
      </w:r>
      <w:bookmarkEnd w:id="4"/>
      <w:bookmarkEnd w:id="5"/>
    </w:p>
    <w:tbl>
      <w:tblPr>
        <w:tblStyle w:val="48"/>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451"/>
        <w:gridCol w:w="860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aps w:val="0"/>
                <w:color w:val="000000" w:themeColor="text1"/>
                <w:spacing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4"/>
                <w:highlight w:val="none"/>
                <w14:textFill>
                  <w14:solidFill>
                    <w14:schemeClr w14:val="tx1"/>
                  </w14:solidFill>
                </w14:textFill>
              </w:rPr>
              <w:t>建设内容</w:t>
            </w:r>
          </w:p>
        </w:tc>
        <w:tc>
          <w:tcPr>
            <w:tcW w:w="8513"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cente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pPr>
            <w:r>
              <w:rPr>
                <w:rFonts w:hint="eastAsia" w:cs="Times New Roman"/>
                <w:b/>
                <w:bCs/>
                <w:color w:val="000000" w:themeColor="text1"/>
                <w:spacing w:val="0"/>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sz w:val="24"/>
                <w:highlight w:val="none"/>
                <w:lang w:val="en-US" w:eastAsia="zh-CN"/>
                <w14:textFill>
                  <w14:solidFill>
                    <w14:schemeClr w14:val="tx1"/>
                  </w14:solidFill>
                </w14:textFill>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（1）项目名称：</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新疆睿清能源科技有限公司钻井无害化固体废物（水基钻井岩屑）处理综合利用尉犁环保站（一）建设项目</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（2）建设单位：新疆睿清能源科技有限公司</w:t>
            </w:r>
            <w:r>
              <w:rPr>
                <w:rFonts w:hint="eastAsia" w:cs="Times New Roman"/>
                <w:color w:val="000000" w:themeColor="text1"/>
                <w:spacing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（3）建设性质：新建；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eastAsia" w:hAnsi="Times New Roman" w:cs="Times New Roman"/>
                <w:color w:val="000000" w:themeColor="text1"/>
                <w:spacing w:val="0"/>
                <w:sz w:val="24"/>
                <w:highlight w:val="none"/>
                <w:lang w:val="en-US" w:eastAsia="zh-CN"/>
                <w14:textFill>
                  <w14:solidFill>
                    <w14:schemeClr w14:val="tx1"/>
                  </w14:solidFill>
                </w14:textFill>
              </w:rPr>
              <w:t>（4）</w:t>
            </w:r>
            <w:r>
              <w:rPr>
                <w:rFonts w:hint="eastAsia" w:cs="Times New Roman"/>
                <w:color w:val="000000" w:themeColor="text1"/>
                <w:spacing w:val="0"/>
                <w:sz w:val="24"/>
                <w:highlight w:val="none"/>
                <w:lang w:val="en-US" w:eastAsia="zh-CN"/>
                <w14:textFill>
                  <w14:solidFill>
                    <w14:schemeClr w14:val="tx1"/>
                  </w14:solidFill>
                </w14:textFill>
              </w:rPr>
              <w:t>建设地点及周边关系：</w:t>
            </w:r>
            <w:r>
              <w:rPr>
                <w:rFonts w:hint="default" w:ascii="Times New Roman" w:hAnsi="Times New Roman" w:eastAsia="宋体" w:cs="Times New Roman"/>
                <w:color w:val="000000" w:themeColor="text1"/>
                <w:spacing w:val="0"/>
                <w:sz w:val="24"/>
                <w:highlight w:val="none"/>
                <w14:textFill>
                  <w14:solidFill>
                    <w14:schemeClr w14:val="tx1"/>
                  </w14:solidFill>
                </w14:textFill>
              </w:rPr>
              <w:t>本项目</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位于</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尉犁县尉东矿产品加工园区以东，</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中心地理坐标为</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东经</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86</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30</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54.217</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″，北纬</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41</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18</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35.247</w:t>
            </w:r>
            <w:r>
              <w:rPr>
                <w:rFonts w:hint="default" w:ascii="Times New Roman" w:hAnsi="Times New Roman" w:eastAsia="宋体" w:cs="Times New Roman"/>
                <w:caps w:val="0"/>
                <w:small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pacing w:val="0"/>
                <w:kern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项目区</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西北侧为园区道路，其余均为戈壁空地</w:t>
            </w:r>
            <w:r>
              <w:rPr>
                <w:rFonts w:hint="default" w:ascii="Times New Roman" w:hAnsi="Times New Roman" w:eastAsia="宋体" w:cs="Times New Roman"/>
                <w:color w:val="000000" w:themeColor="text1"/>
                <w:spacing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项目地理位置及周边关系情况详见附图</w:t>
            </w:r>
            <w:r>
              <w:rPr>
                <w:rFonts w:hint="eastAsia" w:cs="Times New Roman"/>
                <w:color w:val="000000" w:themeColor="text1"/>
                <w:spacing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及附图</w:t>
            </w:r>
            <w:r>
              <w:rPr>
                <w:rFonts w:hint="eastAsia" w:cs="Times New Roman"/>
                <w:color w:val="000000" w:themeColor="text1"/>
                <w:spacing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）总投资及环保投资：</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本项目总</w:t>
            </w:r>
            <w:r>
              <w:rPr>
                <w:rFonts w:hint="eastAsia" w:cs="Times New Roman"/>
                <w:color w:val="000000" w:themeColor="text1"/>
                <w:spacing w:val="0"/>
                <w:sz w:val="24"/>
                <w:szCs w:val="24"/>
                <w:highlight w:val="none"/>
                <w:lang w:eastAsia="zh-CN"/>
                <w14:textFill>
                  <w14:solidFill>
                    <w14:schemeClr w14:val="tx1"/>
                  </w14:solidFill>
                </w14:textFill>
              </w:rPr>
              <w:t>投资</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800</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万元，环保投资</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70.2</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万元，占总投资的</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8.78</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）服务范围：尉犁县范围内油田区块油井钻采过程产生</w:t>
            </w:r>
            <w:r>
              <w:rPr>
                <w:rFonts w:hint="eastAsia" w:cs="Times New Roman"/>
                <w:color w:val="000000" w:themeColor="text1"/>
                <w:spacing w:val="0"/>
                <w:sz w:val="24"/>
                <w:highlight w:val="none"/>
                <w:lang w:val="en-US" w:eastAsia="zh-CN"/>
                <w14:textFill>
                  <w14:solidFill>
                    <w14:schemeClr w14:val="tx1"/>
                  </w14:solidFill>
                </w14:textFill>
              </w:rPr>
              <w:t>磺化泥浆废弃物</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w:t>
            </w:r>
            <w:r>
              <w:rPr>
                <w:rFonts w:hint="eastAsia" w:cs="Times New Roman"/>
                <w:color w:val="000000" w:themeColor="text1"/>
                <w:spacing w:val="0"/>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）劳动定员及工作制度：本项目劳动定员共计10人，年工作300天，采用</w:t>
            </w:r>
            <w:r>
              <w:rPr>
                <w:rFonts w:hint="eastAsia" w:ascii="Times New Roman" w:hAnsi="Times New Roman" w:eastAsia="宋体" w:cs="Times New Roman"/>
                <w:color w:val="000000" w:themeColor="text1"/>
                <w:spacing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4"/>
                <w:highlight w:val="none"/>
                <w:lang w:val="en-US" w:eastAsia="zh-CN"/>
                <w14:textFill>
                  <w14:solidFill>
                    <w14:schemeClr w14:val="tx1"/>
                  </w14:solidFill>
                </w14:textFill>
              </w:rPr>
              <w:t>班制，每班12h。</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center"/>
              <w:rPr>
                <w:rFonts w:hint="default" w:ascii="Times New Roman" w:hAnsi="Times New Roman" w:eastAsia="宋体" w:cs="Times New Roman"/>
                <w:b/>
                <w:bCs/>
                <w:caps w:val="0"/>
                <w:color w:val="000000" w:themeColor="text1"/>
                <w:spacing w:val="0"/>
                <w:sz w:val="24"/>
                <w:highlight w:val="none"/>
                <w14:textFill>
                  <w14:solidFill>
                    <w14:schemeClr w14:val="tx1"/>
                  </w14:solidFill>
                </w14:textFill>
              </w:rPr>
            </w:pPr>
            <w:r>
              <w:rPr>
                <w:rFonts w:hint="eastAsia" w:cs="Times New Roman"/>
                <w:b/>
                <w:bCs/>
                <w:caps w:val="0"/>
                <w:color w:val="000000" w:themeColor="text1"/>
                <w:spacing w:val="0"/>
                <w:sz w:val="24"/>
                <w:highlight w:val="none"/>
                <w:lang w:val="en-US" w:eastAsia="zh-CN"/>
                <w14:textFill>
                  <w14:solidFill>
                    <w14:schemeClr w14:val="tx1"/>
                  </w14:solidFill>
                </w14:textFill>
              </w:rPr>
              <w:t>2</w:t>
            </w:r>
            <w:r>
              <w:rPr>
                <w:rFonts w:hint="default" w:ascii="Times New Roman" w:hAnsi="Times New Roman" w:eastAsia="宋体" w:cs="Times New Roman"/>
                <w:b/>
                <w:bCs/>
                <w:caps w:val="0"/>
                <w:color w:val="000000" w:themeColor="text1"/>
                <w:spacing w:val="0"/>
                <w:sz w:val="24"/>
                <w:highlight w:val="none"/>
                <w:lang w:val="en-US" w:eastAsia="zh-CN"/>
                <w14:textFill>
                  <w14:solidFill>
                    <w14:schemeClr w14:val="tx1"/>
                  </w14:solidFill>
                </w14:textFill>
              </w:rPr>
              <w:t>、</w:t>
            </w:r>
            <w:r>
              <w:rPr>
                <w:rFonts w:hint="default" w:ascii="Times New Roman" w:hAnsi="Times New Roman" w:eastAsia="宋体" w:cs="Times New Roman"/>
                <w:b/>
                <w:bCs/>
                <w:caps w:val="0"/>
                <w:color w:val="000000" w:themeColor="text1"/>
                <w:spacing w:val="0"/>
                <w:sz w:val="24"/>
                <w:highlight w:val="none"/>
                <w14:textFill>
                  <w14:solidFill>
                    <w14:schemeClr w14:val="tx1"/>
                  </w14:solidFill>
                </w14:textFill>
              </w:rPr>
              <w:t>建设内容及规模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cente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pP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本项目总占地面积</w:t>
            </w:r>
            <w:r>
              <w:rPr>
                <w:rFonts w:hint="default" w:ascii="Times New Roman" w:hAnsi="Times New Roman" w:eastAsia="宋体" w:cs="Times New Roman"/>
                <w:caps w:val="0"/>
                <w:color w:val="000000" w:themeColor="text1"/>
                <w:spacing w:val="0"/>
                <w:sz w:val="24"/>
                <w:highlight w:val="none"/>
                <w:lang w:val="en-US" w:eastAsia="zh-CN"/>
                <w14:textFill>
                  <w14:solidFill>
                    <w14:schemeClr w14:val="tx1"/>
                  </w14:solidFill>
                </w14:textFill>
              </w:rPr>
              <w:t>16474.67</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m</w:t>
            </w:r>
            <w:r>
              <w:rPr>
                <w:rFonts w:hint="default" w:ascii="Times New Roman" w:hAnsi="Times New Roman" w:eastAsia="宋体" w:cs="Times New Roman"/>
                <w:b w:val="0"/>
                <w:bCs/>
                <w:caps w:val="0"/>
                <w:color w:val="000000" w:themeColor="text1"/>
                <w:spacing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caps w:val="0"/>
                <w:color w:val="000000" w:themeColor="text1"/>
                <w:spacing w:val="0"/>
                <w:sz w:val="24"/>
                <w:highlight w:val="none"/>
                <w:vertAlign w:val="baseline"/>
                <w:lang w:val="en-US" w:eastAsia="zh-CN"/>
                <w14:textFill>
                  <w14:solidFill>
                    <w14:schemeClr w14:val="tx1"/>
                  </w14:solidFill>
                </w14:textFill>
              </w:rPr>
              <w:t>，全部为临时占地。</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总建筑构筑物面积9281m</w:t>
            </w:r>
            <w:r>
              <w:rPr>
                <w:rFonts w:hint="default" w:ascii="Times New Roman" w:hAnsi="Times New Roman" w:eastAsia="宋体" w:cs="Times New Roman"/>
                <w:b w:val="0"/>
                <w:bCs/>
                <w:caps w:val="0"/>
                <w:color w:val="000000" w:themeColor="text1"/>
                <w:spacing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caps w:val="0"/>
                <w:color w:val="000000" w:themeColor="text1"/>
                <w:spacing w:val="0"/>
                <w:sz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本项目拟</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建一套</w:t>
            </w:r>
            <w:r>
              <w:rPr>
                <w:rFonts w:hint="eastAsia" w:cs="Times New Roman"/>
                <w:color w:val="000000" w:themeColor="text1"/>
                <w:spacing w:val="0"/>
                <w:kern w:val="2"/>
                <w:sz w:val="24"/>
                <w:szCs w:val="24"/>
                <w:highlight w:val="none"/>
                <w:lang w:val="en-US" w:eastAsia="zh-CN" w:bidi="ar-SA"/>
                <w14:textFill>
                  <w14:solidFill>
                    <w14:schemeClr w14:val="tx1"/>
                  </w14:solidFill>
                </w14:textFill>
              </w:rPr>
              <w:t>磺化泥浆</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处置装置，项目</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建成后年处理</w:t>
            </w:r>
            <w:r>
              <w:rPr>
                <w:rFonts w:hint="eastAsia" w:cs="Times New Roman"/>
                <w:b w:val="0"/>
                <w:bCs/>
                <w:caps w:val="0"/>
                <w:color w:val="000000" w:themeColor="text1"/>
                <w:spacing w:val="0"/>
                <w:sz w:val="24"/>
                <w:highlight w:val="none"/>
                <w:lang w:val="en-US" w:eastAsia="zh-CN"/>
                <w14:textFill>
                  <w14:solidFill>
                    <w14:schemeClr w14:val="tx1"/>
                  </w14:solidFill>
                </w14:textFill>
              </w:rPr>
              <w:t>磺化泥浆</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21万吨。</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主要建设内容包括：</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还原土堆场、岩屑处理池、物资堆棚、污水处理</w:t>
            </w:r>
            <w:r>
              <w:rPr>
                <w:rFonts w:hint="eastAsia" w:cs="Times New Roman"/>
                <w:b w:val="0"/>
                <w:bCs/>
                <w:caps w:val="0"/>
                <w:color w:val="000000" w:themeColor="text1"/>
                <w:spacing w:val="0"/>
                <w:sz w:val="24"/>
                <w:highlight w:val="none"/>
                <w:lang w:val="en-US" w:eastAsia="zh-CN"/>
                <w14:textFill>
                  <w14:solidFill>
                    <w14:schemeClr w14:val="tx1"/>
                  </w14:solidFill>
                </w14:textFill>
              </w:rPr>
              <w:t>池</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及库房等。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00" w:firstLineChars="250"/>
              <w:textAlignment w:val="center"/>
              <w:rPr>
                <w:rFonts w:hint="default" w:ascii="Times New Roman" w:hAnsi="Times New Roman" w:eastAsia="宋体" w:cs="Times New Roman"/>
                <w:bCs/>
                <w:caps w:val="0"/>
                <w:color w:val="000000" w:themeColor="text1"/>
                <w:spacing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本项目具体</w:t>
            </w:r>
            <w:r>
              <w:rPr>
                <w:rFonts w:hint="default" w:ascii="Times New Roman" w:hAnsi="Times New Roman" w:eastAsia="宋体" w:cs="Times New Roman"/>
                <w:b w:val="0"/>
                <w:bCs/>
                <w:caps w:val="0"/>
                <w:color w:val="000000" w:themeColor="text1"/>
                <w:spacing w:val="0"/>
                <w:sz w:val="24"/>
                <w:highlight w:val="none"/>
                <w14:textFill>
                  <w14:solidFill>
                    <w14:schemeClr w14:val="tx1"/>
                  </w14:solidFill>
                </w14:textFill>
              </w:rPr>
              <w:t>工程组成见表</w:t>
            </w:r>
            <w:r>
              <w:rPr>
                <w:rFonts w:hint="default" w:ascii="Times New Roman" w:hAnsi="Times New Roman" w:eastAsia="宋体" w:cs="Times New Roman"/>
                <w:b w:val="0"/>
                <w:bCs/>
                <w:caps w:val="0"/>
                <w:color w:val="000000" w:themeColor="text1"/>
                <w:spacing w:val="0"/>
                <w:sz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表</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2-1</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 xml:space="preserve">   </w:t>
            </w:r>
            <w:r>
              <w:rPr>
                <w:rFonts w:hint="eastAsia"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eastAsia="zh-CN"/>
                <w14:textFill>
                  <w14:solidFill>
                    <w14:schemeClr w14:val="tx1"/>
                  </w14:solidFill>
                </w14:textFill>
              </w:rPr>
              <w:t>本</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项目</w:t>
            </w:r>
            <w:r>
              <w:rPr>
                <w:rFonts w:hint="default" w:ascii="Times New Roman" w:hAnsi="Times New Roman" w:eastAsia="宋体" w:cs="Times New Roman"/>
                <w:b/>
                <w:caps w:val="0"/>
                <w:color w:val="000000" w:themeColor="text1"/>
                <w:spacing w:val="0"/>
                <w:kern w:val="0"/>
                <w:highlight w:val="none"/>
                <w:lang w:eastAsia="zh-CN"/>
                <w14:textFill>
                  <w14:solidFill>
                    <w14:schemeClr w14:val="tx1"/>
                  </w14:solidFill>
                </w14:textFill>
              </w:rPr>
              <w:t>具体</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工程组成一览表</w:t>
            </w:r>
          </w:p>
          <w:tbl>
            <w:tblPr>
              <w:tblStyle w:val="48"/>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81"/>
              <w:gridCol w:w="1573"/>
              <w:gridCol w:w="613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项目</w:t>
                  </w: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工程内容</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工程规模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主体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工程</w:t>
                  </w: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岩屑处理池</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占地面积2415m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，混凝土结构，建筑物高-3m</w:t>
                  </w:r>
                  <w:r>
                    <w:rPr>
                      <w:rFonts w:hint="eastAsia" w:cs="Times New Roman"/>
                      <w:caps w:val="0"/>
                      <w:color w:val="000000" w:themeColor="text1"/>
                      <w:spacing w:val="0"/>
                      <w:sz w:val="21"/>
                      <w:szCs w:val="21"/>
                      <w:highlight w:val="none"/>
                      <w:lang w:val="en-US" w:eastAsia="zh-CN"/>
                      <w14:textFill>
                        <w14:solidFill>
                          <w14:schemeClr w14:val="tx1"/>
                        </w14:solidFill>
                      </w14:textFill>
                    </w:rPr>
                    <w:t>，设</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计容积7245m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3</w:t>
                  </w:r>
                  <w:r>
                    <w:rPr>
                      <w:rFonts w:hint="eastAsia" w:cs="Times New Roman"/>
                      <w:caps w:val="0"/>
                      <w:color w:val="000000" w:themeColor="text1"/>
                      <w:spacing w:val="0"/>
                      <w:sz w:val="21"/>
                      <w:szCs w:val="21"/>
                      <w:highlight w:val="none"/>
                      <w:vertAlign w:val="baseline"/>
                      <w:lang w:val="en-US" w:eastAsia="zh-CN"/>
                      <w14:textFill>
                        <w14:solidFill>
                          <w14:schemeClr w14:val="tx1"/>
                        </w14:solidFill>
                      </w14:textFill>
                    </w:rPr>
                    <w:t>，用于暂存进场需要处置的磺化泥浆。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泥浆回收利用池</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占地面积400m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，混凝土结构，建筑物高-3m，计容积1200m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3</w:t>
                  </w:r>
                  <w:r>
                    <w:rPr>
                      <w:rFonts w:hint="eastAsia" w:cs="Times New Roman"/>
                      <w:caps w:val="0"/>
                      <w:color w:val="000000" w:themeColor="text1"/>
                      <w:spacing w:val="0"/>
                      <w:sz w:val="21"/>
                      <w:szCs w:val="21"/>
                      <w:highlight w:val="none"/>
                      <w:vertAlign w:val="baseline"/>
                      <w:lang w:val="en-US" w:eastAsia="zh-CN"/>
                      <w14:textFill>
                        <w14:solidFill>
                          <w14:schemeClr w14:val="tx1"/>
                        </w14:solidFill>
                      </w14:textFill>
                    </w:rPr>
                    <w:t>，用于暂存井场的钻井泥浆。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污水处理池</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占地面积1100m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，混凝土结构，建筑物高-3m，计容积3300m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3</w:t>
                  </w:r>
                  <w:r>
                    <w:rPr>
                      <w:rFonts w:hint="eastAsia" w:cs="Times New Roman"/>
                      <w:caps w:val="0"/>
                      <w:color w:val="000000" w:themeColor="text1"/>
                      <w:spacing w:val="0"/>
                      <w:sz w:val="21"/>
                      <w:szCs w:val="21"/>
                      <w:highlight w:val="none"/>
                      <w:vertAlign w:val="baseline"/>
                      <w:lang w:val="en-US" w:eastAsia="zh-CN"/>
                      <w14:textFill>
                        <w14:solidFill>
                          <w14:schemeClr w14:val="tx1"/>
                        </w14:solidFill>
                      </w14:textFill>
                    </w:rPr>
                    <w:t>，包括污水暂存池、污水处理池和清水池三部分。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t>辅助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工程</w:t>
                  </w: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t>生活区</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占地面积675m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，建设有办公室及宿舍528m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t>储运工程</w:t>
                  </w: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t>还原土堆场</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占地面积</w:t>
                  </w:r>
                  <w:r>
                    <w:rPr>
                      <w:rFonts w:hint="eastAsia"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90</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00m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，混凝土结构，</w:t>
                  </w:r>
                  <w:r>
                    <w:rPr>
                      <w:rFonts w:hint="eastAsia" w:cs="Times New Roman"/>
                      <w:caps w:val="0"/>
                      <w:color w:val="000000" w:themeColor="text1"/>
                      <w:spacing w:val="0"/>
                      <w:sz w:val="21"/>
                      <w:szCs w:val="21"/>
                      <w:highlight w:val="none"/>
                      <w:lang w:val="en-US" w:eastAsia="zh-CN"/>
                      <w14:textFill>
                        <w14:solidFill>
                          <w14:schemeClr w14:val="tx1"/>
                        </w14:solidFill>
                      </w14:textFill>
                    </w:rPr>
                    <w:t>用于堆存还原土，内部设置分区，每批次还原土经检测满足标准要求后方可资源化利用。</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周边设置</w:t>
                  </w:r>
                  <w:r>
                    <w:rPr>
                      <w:rFonts w:hint="eastAsia" w:cs="Times New Roman"/>
                      <w:caps w:val="0"/>
                      <w:color w:val="000000" w:themeColor="text1"/>
                      <w:spacing w:val="0"/>
                      <w:sz w:val="21"/>
                      <w:szCs w:val="21"/>
                      <w:highlight w:val="none"/>
                      <w:lang w:val="en-US" w:eastAsia="zh-CN"/>
                      <w14:textFill>
                        <w14:solidFill>
                          <w14:schemeClr w14:val="tx1"/>
                        </w14:solidFill>
                      </w14:textFill>
                    </w:rPr>
                    <w:t>不低于堆土高度的严密</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围挡。</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pP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t>物资堆棚</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占地面积2346m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，钢结构，用于堆放生产用的辅料。</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pP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kern w:val="0"/>
                      <w:sz w:val="21"/>
                      <w:szCs w:val="21"/>
                      <w:highlight w:val="none"/>
                      <w:lang w:val="en-US" w:eastAsia="zh-CN" w:bidi="ar-SA"/>
                      <w14:textFill>
                        <w14:solidFill>
                          <w14:schemeClr w14:val="tx1"/>
                        </w14:solidFill>
                      </w14:textFill>
                    </w:rPr>
                    <w:t>库房</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建筑面积1500m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，钢结构。</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公用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工程</w:t>
                  </w: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供水</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生活用水采用拉运；生产用水采用净化后的生产废水。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排水</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30"/>
                      <w:highlight w:val="none"/>
                      <w:lang w:val="en-US" w:eastAsia="zh-CN" w:bidi="ar-SA"/>
                      <w14:textFill>
                        <w14:solidFill>
                          <w14:schemeClr w14:val="tx1"/>
                        </w14:solidFill>
                      </w14:textFill>
                    </w:rPr>
                    <w:t>生产废水循环利用，无外排；少量生活污水</w:t>
                  </w:r>
                  <w:r>
                    <w:rPr>
                      <w:rFonts w:hint="default" w:ascii="Times New Roman" w:hAnsi="Times New Roman" w:eastAsia="宋体" w:cs="Times New Roman"/>
                      <w:b w:val="0"/>
                      <w:color w:val="000000" w:themeColor="text1"/>
                      <w:spacing w:val="0"/>
                      <w:kern w:val="0"/>
                      <w:sz w:val="21"/>
                      <w:szCs w:val="21"/>
                      <w:highlight w:val="none"/>
                      <w:lang w:val="en-US" w:eastAsia="zh-CN" w:bidi="ar"/>
                      <w14:textFill>
                        <w14:solidFill>
                          <w14:schemeClr w14:val="tx1"/>
                        </w14:solidFill>
                      </w14:textFill>
                    </w:rPr>
                    <w:t>拉运至</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尉犁县生活污水处理厂统一处理。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p>
              </w:tc>
              <w:tc>
                <w:tcPr>
                  <w:tcW w:w="937"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供电</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项目区内设变压器室1间，电源由所在区域10KV线路引入</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p>
              </w:tc>
              <w:tc>
                <w:tcPr>
                  <w:tcW w:w="93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供热</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生产过程无需供热，冬季生活供暖采用电取暖</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环保</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t>工程</w:t>
                  </w:r>
                </w:p>
              </w:tc>
              <w:tc>
                <w:tcPr>
                  <w:tcW w:w="937" w:type="pct"/>
                  <w:noWrap w:val="0"/>
                  <w:vAlign w:val="center"/>
                </w:tcPr>
                <w:p>
                  <w:pPr>
                    <w:pStyle w:val="107"/>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废气治理</w:t>
                  </w:r>
                </w:p>
              </w:tc>
              <w:tc>
                <w:tcPr>
                  <w:tcW w:w="36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还原土堆场</w:t>
                  </w:r>
                  <w:r>
                    <w:rPr>
                      <w:rFonts w:hint="eastAsia" w:cs="Times New Roman"/>
                      <w:color w:val="000000" w:themeColor="text1"/>
                      <w:spacing w:val="0"/>
                      <w:highlight w:val="none"/>
                      <w:lang w:val="en-US" w:eastAsia="zh-CN"/>
                      <w14:textFill>
                        <w14:solidFill>
                          <w14:schemeClr w14:val="tx1"/>
                        </w14:solidFill>
                      </w14:textFill>
                    </w:rPr>
                    <w:t>周围设置不低于堆土高度的严密围挡，并</w:t>
                  </w:r>
                  <w:r>
                    <w:rPr>
                      <w:rFonts w:hint="default" w:ascii="Times New Roman" w:hAnsi="Times New Roman" w:eastAsia="宋体" w:cs="Times New Roman"/>
                      <w:color w:val="000000" w:themeColor="text1"/>
                      <w:spacing w:val="0"/>
                      <w:highlight w:val="none"/>
                      <w14:textFill>
                        <w14:solidFill>
                          <w14:schemeClr w14:val="tx1"/>
                        </w14:solidFill>
                      </w14:textFill>
                    </w:rPr>
                    <w:t>采取</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苫盖</w:t>
                  </w:r>
                  <w:r>
                    <w:rPr>
                      <w:rFonts w:hint="default" w:ascii="Times New Roman" w:hAnsi="Times New Roman" w:eastAsia="宋体" w:cs="Times New Roman"/>
                      <w:color w:val="000000" w:themeColor="text1"/>
                      <w:spacing w:val="0"/>
                      <w:highlight w:val="none"/>
                      <w14:textFill>
                        <w14:solidFill>
                          <w14:schemeClr w14:val="tx1"/>
                        </w14:solidFill>
                      </w14:textFill>
                    </w:rPr>
                    <w:t>、</w:t>
                  </w:r>
                  <w:r>
                    <w:rPr>
                      <w:rFonts w:hint="eastAsia" w:cs="Times New Roman"/>
                      <w:color w:val="000000" w:themeColor="text1"/>
                      <w:spacing w:val="0"/>
                      <w:highlight w:val="none"/>
                      <w:lang w:val="en-US" w:eastAsia="zh-CN"/>
                      <w14:textFill>
                        <w14:solidFill>
                          <w14:schemeClr w14:val="tx1"/>
                        </w14:solidFill>
                      </w14:textFill>
                    </w:rPr>
                    <w:t>洒水</w:t>
                  </w:r>
                  <w:r>
                    <w:rPr>
                      <w:rFonts w:hint="default" w:ascii="Times New Roman" w:hAnsi="Times New Roman" w:eastAsia="宋体" w:cs="Times New Roman"/>
                      <w:color w:val="000000" w:themeColor="text1"/>
                      <w:spacing w:val="0"/>
                      <w:highlight w:val="none"/>
                      <w14:textFill>
                        <w14:solidFill>
                          <w14:schemeClr w14:val="tx1"/>
                        </w14:solidFill>
                      </w14:textFill>
                    </w:rPr>
                    <w:t>抑尘等措施</w:t>
                  </w:r>
                  <w:r>
                    <w:rPr>
                      <w:rFonts w:hint="eastAsia" w:cs="Times New Roman"/>
                      <w:color w:val="000000" w:themeColor="text1"/>
                      <w:spacing w:val="0"/>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p>
              </w:tc>
              <w:tc>
                <w:tcPr>
                  <w:tcW w:w="937"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废水治理</w:t>
                  </w:r>
                </w:p>
              </w:tc>
              <w:tc>
                <w:tcPr>
                  <w:tcW w:w="3656"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3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30"/>
                      <w:highlight w:val="none"/>
                      <w:lang w:val="en-US" w:eastAsia="zh-CN" w:bidi="ar-SA"/>
                      <w14:textFill>
                        <w14:solidFill>
                          <w14:schemeClr w14:val="tx1"/>
                        </w14:solidFill>
                      </w14:textFill>
                    </w:rPr>
                    <w:t>生产废水</w:t>
                  </w:r>
                  <w:r>
                    <w:rPr>
                      <w:rFonts w:hint="eastAsia" w:cs="Times New Roman"/>
                      <w:color w:val="000000" w:themeColor="text1"/>
                      <w:spacing w:val="0"/>
                      <w:sz w:val="21"/>
                      <w:szCs w:val="30"/>
                      <w:highlight w:val="none"/>
                      <w:lang w:val="en-US" w:eastAsia="zh-CN" w:bidi="ar-SA"/>
                      <w14:textFill>
                        <w14:solidFill>
                          <w14:schemeClr w14:val="tx1"/>
                        </w14:solidFill>
                      </w14:textFill>
                    </w:rPr>
                    <w:t>采用“高级氧化+混凝沉淀”工艺处理后</w:t>
                  </w:r>
                  <w:r>
                    <w:rPr>
                      <w:rFonts w:hint="default" w:ascii="Times New Roman" w:hAnsi="Times New Roman" w:eastAsia="宋体" w:cs="Times New Roman"/>
                      <w:color w:val="000000" w:themeColor="text1"/>
                      <w:spacing w:val="0"/>
                      <w:sz w:val="21"/>
                      <w:szCs w:val="30"/>
                      <w:highlight w:val="none"/>
                      <w:lang w:val="en-US" w:eastAsia="zh-CN" w:bidi="ar-SA"/>
                      <w14:textFill>
                        <w14:solidFill>
                          <w14:schemeClr w14:val="tx1"/>
                        </w14:solidFill>
                      </w14:textFill>
                    </w:rPr>
                    <w:t>循环利用，无外排；</w:t>
                  </w:r>
                </w:p>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t>少量生活污水排入化粪池（</w:t>
                  </w:r>
                  <w:r>
                    <w:rPr>
                      <w:rFonts w:hint="default" w:ascii="Times New Roman" w:hAnsi="Times New Roman" w:eastAsia="宋体" w:cs="Times New Roman"/>
                      <w:caps w:val="0"/>
                      <w:color w:val="000000" w:themeColor="text1"/>
                      <w:spacing w:val="0"/>
                      <w:sz w:val="21"/>
                      <w:szCs w:val="21"/>
                      <w:highlight w:val="none"/>
                      <w:lang w:val="en-US" w:eastAsia="zh-CN"/>
                      <w14:textFill>
                        <w14:solidFill>
                          <w14:schemeClr w14:val="tx1"/>
                        </w14:solidFill>
                      </w14:textFill>
                    </w:rPr>
                    <w:t>15m</w:t>
                  </w:r>
                  <w:r>
                    <w:rPr>
                      <w:rFonts w:hint="default" w:ascii="Times New Roman" w:hAnsi="Times New Roman" w:eastAsia="宋体" w:cs="Times New Roman"/>
                      <w:caps w:val="0"/>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color w:val="000000" w:themeColor="text1"/>
                      <w:spacing w:val="0"/>
                      <w:sz w:val="21"/>
                      <w:szCs w:val="21"/>
                      <w:highlight w:val="none"/>
                      <w:lang w:eastAsia="zh-CN"/>
                      <w14:textFill>
                        <w14:solidFill>
                          <w14:schemeClr w14:val="tx1"/>
                        </w14:solidFill>
                      </w14:textFill>
                    </w:rPr>
                    <w:t>）预处理后</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，定期采用拉运至尉犁县生活污水处理厂处理</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噪声治理</w:t>
                  </w:r>
                </w:p>
              </w:tc>
              <w:tc>
                <w:tcPr>
                  <w:tcW w:w="937"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噪声治理</w:t>
                  </w:r>
                </w:p>
              </w:tc>
              <w:tc>
                <w:tcPr>
                  <w:tcW w:w="3656"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采用低噪声设备，并采取隔声、减振措施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37" w:type="pct"/>
                  <w:vMerge w:val="restar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固废处置</w:t>
                  </w:r>
                </w:p>
              </w:tc>
              <w:tc>
                <w:tcPr>
                  <w:tcW w:w="3656"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建设单位对水处理装置产生的污泥</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应</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按照国家规定的危险废物鉴别标准和鉴别方法进行鉴定，若经鉴定属于危险废物，则应当按照危险废物进行收集、运输、处置；若经鉴定属于一般工业固废，则应当按照一般工业固废进行收集、处置</w:t>
                  </w:r>
                  <w:r>
                    <w:rPr>
                      <w:rFonts w:hint="eastAsia"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37" w:type="pct"/>
                  <w:vMerge w:val="continue"/>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656"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废机油、废机油桶、化验室废液等</w:t>
                  </w:r>
                  <w:r>
                    <w:rPr>
                      <w:rFonts w:hint="eastAsia" w:cs="Times New Roman"/>
                      <w:color w:val="000000" w:themeColor="text1"/>
                      <w:spacing w:val="0"/>
                      <w:sz w:val="21"/>
                      <w:szCs w:val="21"/>
                      <w:highlight w:val="none"/>
                      <w:lang w:val="en-US" w:eastAsia="zh-CN"/>
                      <w14:textFill>
                        <w14:solidFill>
                          <w14:schemeClr w14:val="tx1"/>
                        </w14:solidFill>
                      </w14:textFill>
                    </w:rPr>
                    <w:t>集中收集贮存在</w:t>
                  </w: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危险废物贮存库</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，定期由有资质单位处置</w:t>
                  </w:r>
                  <w:r>
                    <w:rPr>
                      <w:rFonts w:hint="eastAsia" w:cs="Times New Roman"/>
                      <w:color w:val="000000" w:themeColor="text1"/>
                      <w:spacing w:val="0"/>
                      <w:sz w:val="21"/>
                      <w:szCs w:val="21"/>
                      <w:highlight w:val="none"/>
                      <w:lang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危险废物贮存库位于库房内，面积为10m</w:t>
                  </w:r>
                  <w:r>
                    <w:rPr>
                      <w:rFonts w:hint="eastAsia" w:cs="Times New Roman"/>
                      <w:color w:val="000000" w:themeColor="text1"/>
                      <w:spacing w:val="0"/>
                      <w:sz w:val="21"/>
                      <w:szCs w:val="21"/>
                      <w:highlight w:val="none"/>
                      <w:vertAlign w:val="superscript"/>
                      <w:lang w:val="en-US" w:eastAsia="zh-CN"/>
                      <w14:textFill>
                        <w14:solidFill>
                          <w14:schemeClr w14:val="tx1"/>
                        </w14:solidFill>
                      </w14:textFill>
                    </w:rPr>
                    <w:t>2</w:t>
                  </w:r>
                  <w:r>
                    <w:rPr>
                      <w:rFonts w:hint="eastAsia" w:cs="Times New Roman"/>
                      <w:color w:val="000000" w:themeColor="text1"/>
                      <w:spacing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37" w:type="pct"/>
                  <w:vMerge w:val="continue"/>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3656" w:type="pct"/>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生活垃圾设置垃圾</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箱</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，定期收集后</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交由环卫部门处置</w:t>
                  </w:r>
                </w:p>
              </w:tc>
            </w:tr>
          </w:tbl>
          <w:p>
            <w:pPr>
              <w:keepNext w:val="0"/>
              <w:keepLines w:val="0"/>
              <w:pageBreakBefore w:val="0"/>
              <w:tabs>
                <w:tab w:val="left" w:pos="4620"/>
              </w:tabs>
              <w:kinsoku/>
              <w:wordWrap/>
              <w:overflowPunct/>
              <w:topLinePunct w:val="0"/>
              <w:bidi w:val="0"/>
              <w:adjustRightInd w:val="0"/>
              <w:snapToGrid w:val="0"/>
              <w:spacing w:line="360" w:lineRule="auto"/>
              <w:ind w:left="0" w:leftChars="0" w:right="0" w:rightChars="0"/>
              <w:rPr>
                <w:rFonts w:hint="default" w:ascii="Times New Roman" w:hAnsi="Times New Roman" w:eastAsia="宋体" w:cs="Times New Roman"/>
                <w:b/>
                <w:bCs/>
                <w:caps w:val="0"/>
                <w:color w:val="000000" w:themeColor="text1"/>
                <w:spacing w:val="0"/>
                <w:sz w:val="24"/>
                <w:highlight w:val="none"/>
                <w:lang w:eastAsia="zh-CN"/>
                <w14:textFill>
                  <w14:solidFill>
                    <w14:schemeClr w14:val="tx1"/>
                  </w14:solidFill>
                </w14:textFill>
              </w:rPr>
            </w:pPr>
            <w:r>
              <w:rPr>
                <w:rFonts w:hint="eastAsia" w:cs="Times New Roman"/>
                <w:b/>
                <w:bCs/>
                <w:caps w:val="0"/>
                <w:color w:val="000000" w:themeColor="text1"/>
                <w:spacing w:val="0"/>
                <w:sz w:val="24"/>
                <w:highlight w:val="none"/>
                <w:lang w:val="en-US" w:eastAsia="zh-CN"/>
                <w14:textFill>
                  <w14:solidFill>
                    <w14:schemeClr w14:val="tx1"/>
                  </w14:solidFill>
                </w14:textFill>
              </w:rPr>
              <w:t>3、</w:t>
            </w:r>
            <w:r>
              <w:rPr>
                <w:rFonts w:hint="default" w:ascii="Times New Roman" w:hAnsi="Times New Roman" w:eastAsia="宋体" w:cs="Times New Roman"/>
                <w:b/>
                <w:bCs/>
                <w:caps w:val="0"/>
                <w:color w:val="000000" w:themeColor="text1"/>
                <w:spacing w:val="0"/>
                <w:sz w:val="24"/>
                <w:highlight w:val="none"/>
                <w:lang w:eastAsia="zh-CN"/>
                <w14:textFill>
                  <w14:solidFill>
                    <w14:schemeClr w14:val="tx1"/>
                  </w14:solidFill>
                </w14:textFill>
              </w:rPr>
              <w:t>处理对象</w:t>
            </w:r>
          </w:p>
          <w:p>
            <w:pPr>
              <w:keepNext w:val="0"/>
              <w:keepLines w:val="0"/>
              <w:pageBreakBefore w:val="0"/>
              <w:suppressLineNumbers w:val="0"/>
              <w:wordWrap/>
              <w:overflowPunct/>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本项目处理的</w:t>
            </w:r>
            <w:r>
              <w:rPr>
                <w:rFonts w:hint="eastAsia" w:cs="Times New Roman"/>
                <w:color w:val="000000" w:themeColor="text1"/>
                <w:spacing w:val="0"/>
                <w:sz w:val="24"/>
                <w:szCs w:val="24"/>
                <w:highlight w:val="none"/>
                <w:lang w:val="en-US" w:eastAsia="zh-CN"/>
                <w14:textFill>
                  <w14:solidFill>
                    <w14:schemeClr w14:val="tx1"/>
                  </w14:solidFill>
                </w14:textFill>
              </w:rPr>
              <w:t>磺化泥浆</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主要来自</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尉犁县范围</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油田区块内钻井作业点</w:t>
            </w:r>
            <w:r>
              <w:rPr>
                <w:rFonts w:hint="eastAsia" w:cs="Times New Roman"/>
                <w:color w:val="000000" w:themeColor="text1"/>
                <w:spacing w:val="0"/>
                <w:sz w:val="24"/>
                <w:szCs w:val="24"/>
                <w:highlight w:val="none"/>
                <w:lang w:val="en-US" w:eastAsia="zh-CN"/>
                <w14:textFill>
                  <w14:solidFill>
                    <w14:schemeClr w14:val="tx1"/>
                  </w14:solidFill>
                </w14:textFill>
              </w:rPr>
              <w:t>在</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钻井作业时经随钻不落地系统收集的</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废弃物</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p>
          <w:p>
            <w:pPr>
              <w:keepNext w:val="0"/>
              <w:keepLines w:val="0"/>
              <w:pageBreakBefore w:val="0"/>
              <w:suppressLineNumbers w:val="0"/>
              <w:wordWrap/>
              <w:overflowPunct/>
              <w:topLinePunct w:val="0"/>
              <w:bidi w:val="0"/>
              <w:adjustRightInd w:val="0"/>
              <w:snapToGrid w:val="0"/>
              <w:spacing w:beforeAutospacing="0" w:afterAutospacing="0" w:line="360" w:lineRule="auto"/>
              <w:ind w:left="0" w:leftChars="0" w:right="0" w:rightChars="0" w:firstLine="456" w:firstLineChars="200"/>
              <w:jc w:val="both"/>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磺化泥浆废弃物包括废弃磺化水基泥浆和岩屑。</w:t>
            </w:r>
            <w:r>
              <w:rPr>
                <w:rFonts w:hint="eastAsia" w:cs="Times New Roman"/>
                <w:color w:val="000000" w:themeColor="text1"/>
                <w:spacing w:val="-6"/>
                <w:sz w:val="24"/>
                <w:szCs w:val="24"/>
                <w:highlight w:val="none"/>
                <w:lang w:val="en-US" w:eastAsia="zh-CN"/>
                <w14:textFill>
                  <w14:solidFill>
                    <w14:schemeClr w14:val="tx1"/>
                  </w14:solidFill>
                </w14:textFill>
              </w:rPr>
              <w:t>磺化泥浆</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主要成分包括粘土、水、加重材料、防塌剂、堵漏材料等基本组分</w:t>
            </w:r>
            <w:r>
              <w:rPr>
                <w:rFonts w:hint="eastAsia" w:cs="Times New Roman"/>
                <w:color w:val="000000" w:themeColor="text1"/>
                <w:spacing w:val="-6"/>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无机化学助剂</w:t>
            </w:r>
            <w:r>
              <w:rPr>
                <w:rFonts w:hint="eastAsia" w:cs="Times New Roman"/>
                <w:color w:val="000000" w:themeColor="text1"/>
                <w:spacing w:val="-6"/>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有机处理剂等改善钻井泥浆性能的物质，其中有机处理剂包括磺化酚醛树脂、羧甲基纤维素、磺化褐煤树脂等高分子有机物质。</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钻井岩屑主要为钻井过程中，岩石经钻头和泥浆的研磨而破碎成的岩屑，经泥浆携带至地面。根据《国家危险废物名录</w:t>
            </w:r>
            <w:r>
              <w:rPr>
                <w:rFonts w:hint="eastAsia"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202</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 xml:space="preserve"> 年</w:t>
            </w:r>
            <w:r>
              <w:rPr>
                <w:rFonts w:hint="eastAsia"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钻井水基聚磺体系泥浆废弃物未列入危险废物清单；《危险废物排除管理清单（2021年版）》中以水为连续相配制钻井泥浆用于石油和天然气开采过程中产生的废弃钻井泥浆及岩屑（不包括废弃聚磺体系泥浆及岩屑）不属于危险废物。本次类比《新疆沙运环保工程有限公司塔西南10万方/年磺化泥浆处理项目环境报告表》中对磺化泥浆原料处理前的检测报告可知，磺化泥浆不属于危险废物。</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表 2-</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2</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eastAsia="zh-CN"/>
                <w14:textFill>
                  <w14:solidFill>
                    <w14:schemeClr w14:val="tx1"/>
                  </w14:solidFill>
                </w14:textFill>
              </w:rPr>
              <w:t>类比磺化泥浆</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废弃物处理前</w:t>
            </w:r>
            <w:r>
              <w:rPr>
                <w:rFonts w:hint="default" w:ascii="Times New Roman" w:hAnsi="Times New Roman" w:eastAsia="宋体" w:cs="Times New Roman"/>
                <w:b/>
                <w:caps w:val="0"/>
                <w:color w:val="000000" w:themeColor="text1"/>
                <w:spacing w:val="0"/>
                <w:kern w:val="0"/>
                <w:highlight w:val="none"/>
                <w:lang w:eastAsia="zh-CN"/>
                <w14:textFill>
                  <w14:solidFill>
                    <w14:schemeClr w14:val="tx1"/>
                  </w14:solidFill>
                </w14:textFill>
              </w:rPr>
              <w:t>检</w:t>
            </w:r>
            <w:r>
              <w:rPr>
                <w:rFonts w:hint="default" w:ascii="Times New Roman" w:hAnsi="Times New Roman" w:eastAsia="宋体" w:cs="Times New Roman"/>
                <w:b/>
                <w:caps w:val="0"/>
                <w:color w:val="000000" w:themeColor="text1"/>
                <w:spacing w:val="0"/>
                <w:kern w:val="0"/>
                <w:highlight w:val="none"/>
                <w14:textFill>
                  <w14:solidFill>
                    <w14:schemeClr w14:val="tx1"/>
                  </w14:solidFill>
                </w14:textFill>
              </w:rPr>
              <w:t>测结果一览表</w:t>
            </w:r>
          </w:p>
          <w:tbl>
            <w:tblPr>
              <w:tblStyle w:val="291"/>
              <w:tblW w:w="8558" w:type="dxa"/>
              <w:tblInd w:w="2"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76"/>
              <w:gridCol w:w="2200"/>
              <w:gridCol w:w="1949"/>
              <w:gridCol w:w="313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256"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污染源</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检测项目</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单位</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检测结果</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pH</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无量纲</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9.88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260"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含水率</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18.1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268"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COD</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mg/L</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8.33</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10</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六价铬</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ND</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5</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铜</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64.6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镍</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23.5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7</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砷</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34.5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8</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含油率</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0.0032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9</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苯并[a]芘</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10</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铅</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11</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镉</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276"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12</w:t>
                  </w:r>
                </w:p>
              </w:tc>
              <w:tc>
                <w:tcPr>
                  <w:tcW w:w="2200"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锌</w:t>
                  </w:r>
                </w:p>
              </w:tc>
              <w:tc>
                <w:tcPr>
                  <w:tcW w:w="1949"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mg/kg</w:t>
                  </w:r>
                </w:p>
              </w:tc>
              <w:tc>
                <w:tcPr>
                  <w:tcW w:w="3133" w:type="dxa"/>
                  <w:tcBorders>
                    <w:tl2br w:val="nil"/>
                    <w:tr2bl w:val="nil"/>
                  </w:tcBorders>
                  <w:noWrap w:val="0"/>
                  <w:vAlign w:val="top"/>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171</w:t>
                  </w:r>
                </w:p>
              </w:tc>
            </w:tr>
          </w:tbl>
          <w:p>
            <w:pPr>
              <w:keepNext w:val="0"/>
              <w:keepLines w:val="0"/>
              <w:pageBreakBefore w:val="0"/>
              <w:tabs>
                <w:tab w:val="left" w:pos="4620"/>
              </w:tabs>
              <w:kinsoku/>
              <w:wordWrap/>
              <w:overflowPunct/>
              <w:topLinePunct w:val="0"/>
              <w:bidi w:val="0"/>
              <w:adjustRightInd w:val="0"/>
              <w:snapToGrid w:val="0"/>
              <w:spacing w:line="360" w:lineRule="auto"/>
              <w:ind w:left="0" w:leftChars="0" w:right="0" w:rightChars="0"/>
              <w:rPr>
                <w:rFonts w:hint="default" w:ascii="Times New Roman" w:hAnsi="Times New Roman" w:eastAsia="宋体" w:cs="Times New Roman"/>
                <w:b/>
                <w:bCs/>
                <w:caps w:val="0"/>
                <w:color w:val="000000" w:themeColor="text1"/>
                <w:spacing w:val="0"/>
                <w:sz w:val="24"/>
                <w:highlight w:val="none"/>
                <w:lang w:eastAsia="zh-CN"/>
                <w14:textFill>
                  <w14:solidFill>
                    <w14:schemeClr w14:val="tx1"/>
                  </w14:solidFill>
                </w14:textFill>
              </w:rPr>
            </w:pPr>
            <w:r>
              <w:rPr>
                <w:rFonts w:hint="eastAsia" w:cs="Times New Roman"/>
                <w:b/>
                <w:bCs/>
                <w:caps w:val="0"/>
                <w:color w:val="000000" w:themeColor="text1"/>
                <w:spacing w:val="0"/>
                <w:sz w:val="24"/>
                <w:highlight w:val="none"/>
                <w:lang w:val="en-US" w:eastAsia="zh-CN"/>
                <w14:textFill>
                  <w14:solidFill>
                    <w14:schemeClr w14:val="tx1"/>
                  </w14:solidFill>
                </w14:textFill>
              </w:rPr>
              <w:t>4、</w:t>
            </w:r>
            <w:r>
              <w:rPr>
                <w:rFonts w:hint="default" w:ascii="Times New Roman" w:hAnsi="Times New Roman" w:eastAsia="宋体" w:cs="Times New Roman"/>
                <w:b/>
                <w:bCs/>
                <w:caps w:val="0"/>
                <w:color w:val="000000" w:themeColor="text1"/>
                <w:spacing w:val="0"/>
                <w:sz w:val="24"/>
                <w:highlight w:val="none"/>
                <w:lang w:eastAsia="zh-CN"/>
                <w14:textFill>
                  <w14:solidFill>
                    <w14:schemeClr w14:val="tx1"/>
                  </w14:solidFill>
                </w14:textFill>
              </w:rPr>
              <w:t>产品方案和产品标准</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为废弃磺化泥浆处理</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，所得产品为还原土。产品方案详见表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表2-3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产品方案</w:t>
            </w:r>
          </w:p>
          <w:tbl>
            <w:tblPr>
              <w:tblStyle w:val="291"/>
              <w:tblW w:w="4999" w:type="pct"/>
              <w:tblInd w:w="0"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14"/>
              <w:gridCol w:w="769"/>
              <w:gridCol w:w="955"/>
              <w:gridCol w:w="955"/>
              <w:gridCol w:w="5098"/>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处理物质</w:t>
                  </w:r>
                </w:p>
              </w:tc>
              <w:tc>
                <w:tcPr>
                  <w:tcW w:w="458"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处理量</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产品名称</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产品产量</w:t>
                  </w:r>
                </w:p>
              </w:tc>
              <w:tc>
                <w:tcPr>
                  <w:tcW w:w="30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3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废弃磺化</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泥浆</w:t>
                  </w:r>
                </w:p>
              </w:tc>
              <w:tc>
                <w:tcPr>
                  <w:tcW w:w="458"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21万t/a</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还原土</w:t>
                  </w:r>
                </w:p>
              </w:tc>
              <w:tc>
                <w:tcPr>
                  <w:tcW w:w="5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155000</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303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left"/>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《油气田钻井固体废物综合利用污染控制要求》（DB65/T 3997-2017）中综合利用污染物限值和《土壤环境质量 建设用地土壤污染风险管控标准（试行）》（GB36600-2018）第二类用地土壤污染风险筛选值，用于修建周边新开发井场的油田内部道路、铺垫井场或用作固废场封场覆土</w:t>
                  </w:r>
                  <w:r>
                    <w:rPr>
                      <w:rFonts w:hint="default" w:ascii="Times New Roman" w:hAnsi="Times New Roman" w:eastAsia="宋体" w:cs="Times New Roman"/>
                      <w:color w:val="000000" w:themeColor="text1"/>
                      <w:spacing w:val="0"/>
                      <w:kern w:val="0"/>
                      <w:sz w:val="21"/>
                      <w:szCs w:val="21"/>
                      <w:highlight w:val="none"/>
                      <w:lang w:val="en-US" w:eastAsia="zh-CN" w:bidi="ar"/>
                      <w14:textFill>
                        <w14:solidFill>
                          <w14:schemeClr w14:val="tx1"/>
                        </w14:solidFill>
                      </w14:textFill>
                    </w:rPr>
                    <w:t>的用土材料等途径综合利用</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还原土暂存于还原土堆</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场</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经第三方检测合格后</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，用于</w:t>
            </w:r>
            <w:r>
              <w:rPr>
                <w:rFonts w:hint="eastAsia" w:cs="Times New Roman"/>
                <w:color w:val="000000" w:themeColor="text1"/>
                <w:spacing w:val="0"/>
                <w:sz w:val="24"/>
                <w:szCs w:val="24"/>
                <w:highlight w:val="none"/>
                <w:lang w:val="en-US" w:eastAsia="zh-CN"/>
                <w14:textFill>
                  <w14:solidFill>
                    <w14:schemeClr w14:val="tx1"/>
                  </w14:solidFill>
                </w14:textFill>
              </w:rPr>
              <w:t>铺设服务油田生产的各种内部道路</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、铺垫井场或用作固废场封场覆土等途径综合利用。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还原土中各项污染物同时满足《油气田钻井固体废物综合利用污染控制要求》（DB65/T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3997-2017）中综合利用污染物限值要求和《土壤环境质量 建设用地土壤污染风险管控标准（试行）》（GB36600-2018）第二类用地土壤污染风险筛选值要求。具体限值详见表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eastAsia" w:cs="Times New Roman"/>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eastAsia" w:cs="Times New Roman"/>
                <w:color w:val="000000" w:themeColor="text1"/>
                <w:spacing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表2-</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4</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DB65/T3997-2017综合利用污染物限值</w:t>
            </w:r>
          </w:p>
          <w:tbl>
            <w:tblPr>
              <w:tblStyle w:val="291"/>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469"/>
              <w:gridCol w:w="492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ordWrap/>
                    <w:overflowPunct/>
                    <w:topLinePunct w:val="0"/>
                    <w:bidi w:val="0"/>
                    <w:adjustRightInd w:val="0"/>
                    <w:snapToGrid w:val="0"/>
                    <w:spacing w:line="221" w:lineRule="auto"/>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项目</w:t>
                  </w:r>
                </w:p>
              </w:tc>
              <w:tc>
                <w:tcPr>
                  <w:tcW w:w="4865" w:type="dxa"/>
                  <w:tcBorders>
                    <w:tl2br w:val="nil"/>
                    <w:tr2bl w:val="nil"/>
                  </w:tcBorders>
                  <w:noWrap w:val="0"/>
                  <w:vAlign w:val="top"/>
                </w:tcPr>
                <w:p>
                  <w:pPr>
                    <w:pStyle w:val="302"/>
                    <w:keepNext w:val="0"/>
                    <w:keepLines w:val="0"/>
                    <w:pageBreakBefore w:val="0"/>
                    <w:wordWrap/>
                    <w:overflowPunct/>
                    <w:topLinePunct w:val="0"/>
                    <w:bidi w:val="0"/>
                    <w:adjustRightInd w:val="0"/>
                    <w:snapToGrid w:val="0"/>
                    <w:spacing w:line="221" w:lineRule="auto"/>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DB65/T3997-2017综合利用污染物限值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pH（无量纲）</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2.0</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12.5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六价铬（mg/kg）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铜（mg/kg）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锌（mg/kg）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镍（mg/kg）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铅（mg/kg）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镉（mg/kg）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砷（mg/kg）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苯并[a]芘（mg/kg）</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≤0.7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含油率（%）</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COD（mg/L）</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429" w:type="dxa"/>
                  <w:tcBorders>
                    <w:tl2br w:val="nil"/>
                    <w:tr2bl w:val="nil"/>
                  </w:tcBorders>
                  <w:noWrap w:val="0"/>
                  <w:vAlign w:val="top"/>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含水率（%）</w:t>
                  </w:r>
                </w:p>
              </w:tc>
              <w:tc>
                <w:tcPr>
                  <w:tcW w:w="48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8294" w:type="dxa"/>
                  <w:gridSpan w:val="2"/>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注：除pH、COD和含水率外，其他指标均为干基折算值；只有废弃磺化泥浆及岩屑控制COD 指标。</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表2-</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5</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GB36600-2018第二类用地土壤污染风险筛选值</w:t>
            </w:r>
          </w:p>
          <w:tbl>
            <w:tblPr>
              <w:tblStyle w:val="291"/>
              <w:tblW w:w="0" w:type="auto"/>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13"/>
              <w:gridCol w:w="5181"/>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21" w:lineRule="auto"/>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项目</w:t>
                  </w:r>
                </w:p>
              </w:tc>
              <w:tc>
                <w:tcPr>
                  <w:tcW w:w="5181"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21" w:lineRule="auto"/>
                    <w:ind w:left="0" w:leftChars="0" w:right="0" w:rightChars="0"/>
                    <w:jc w:val="cente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GB36600-2018第二类用地土壤污染风险筛选值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砷（mg/kg）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7"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镉（mg/kg）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7"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六价铬（mg/kg）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4"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铜（mg/kg）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7"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18000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铅（mg/kg）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7"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800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镍（mg/kg）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7"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trPr>
              <w:tc>
                <w:tcPr>
                  <w:tcW w:w="3113" w:type="dxa"/>
                  <w:tcBorders>
                    <w:tl2br w:val="nil"/>
                    <w:tr2bl w:val="nil"/>
                  </w:tcBorders>
                  <w:noWrap w:val="0"/>
                  <w:vAlign w:val="center"/>
                </w:tcPr>
                <w:p>
                  <w:pPr>
                    <w:pStyle w:val="302"/>
                    <w:keepNext w:val="0"/>
                    <w:keepLines w:val="0"/>
                    <w:pageBreakBefore w:val="0"/>
                    <w:wordWrap/>
                    <w:overflowPunct/>
                    <w:topLinePunct w:val="0"/>
                    <w:bidi w:val="0"/>
                    <w:adjustRightInd w:val="0"/>
                    <w:snapToGrid w:val="0"/>
                    <w:spacing w:line="213"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石油烃（mg/kg）</w:t>
                  </w:r>
                </w:p>
              </w:tc>
              <w:tc>
                <w:tcPr>
                  <w:tcW w:w="5181" w:type="dxa"/>
                  <w:tcBorders>
                    <w:tl2br w:val="nil"/>
                    <w:tr2bl w:val="nil"/>
                  </w:tcBorders>
                  <w:noWrap w:val="0"/>
                  <w:vAlign w:val="center"/>
                </w:tcPr>
                <w:p>
                  <w:pPr>
                    <w:keepNext w:val="0"/>
                    <w:keepLines w:val="0"/>
                    <w:pageBreakBefore w:val="0"/>
                    <w:wordWrap/>
                    <w:overflowPunct/>
                    <w:topLinePunct w:val="0"/>
                    <w:bidi w:val="0"/>
                    <w:adjustRightInd w:val="0"/>
                    <w:snapToGrid w:val="0"/>
                    <w:spacing w:line="187" w:lineRule="auto"/>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4500</w:t>
                  </w:r>
                </w:p>
              </w:tc>
            </w:tr>
          </w:tbl>
          <w:p>
            <w:pPr>
              <w:keepNext w:val="0"/>
              <w:keepLines w:val="0"/>
              <w:pageBreakBefore w:val="0"/>
              <w:tabs>
                <w:tab w:val="left" w:pos="4620"/>
              </w:tabs>
              <w:kinsoku/>
              <w:wordWrap/>
              <w:overflowPunct/>
              <w:topLinePunct w:val="0"/>
              <w:bidi w:val="0"/>
              <w:adjustRightInd w:val="0"/>
              <w:snapToGrid w:val="0"/>
              <w:spacing w:line="360" w:lineRule="auto"/>
              <w:ind w:left="0" w:leftChars="0" w:right="0" w:rightChars="0"/>
              <w:rPr>
                <w:rFonts w:hint="default" w:ascii="Times New Roman" w:hAnsi="Times New Roman" w:eastAsia="宋体" w:cs="Times New Roman"/>
                <w:b/>
                <w:bCs/>
                <w:caps w:val="0"/>
                <w:color w:val="000000" w:themeColor="text1"/>
                <w:spacing w:val="0"/>
                <w:sz w:val="24"/>
                <w:highlight w:val="none"/>
                <w:lang w:eastAsia="zh-CN"/>
                <w14:textFill>
                  <w14:solidFill>
                    <w14:schemeClr w14:val="tx1"/>
                  </w14:solidFill>
                </w14:textFill>
              </w:rPr>
            </w:pPr>
            <w:r>
              <w:rPr>
                <w:rFonts w:hint="eastAsia" w:cs="Times New Roman"/>
                <w:b/>
                <w:bCs/>
                <w:caps w:val="0"/>
                <w:color w:val="000000" w:themeColor="text1"/>
                <w:spacing w:val="0"/>
                <w:sz w:val="24"/>
                <w:highlight w:val="none"/>
                <w:lang w:val="en-US" w:eastAsia="zh-CN"/>
                <w14:textFill>
                  <w14:solidFill>
                    <w14:schemeClr w14:val="tx1"/>
                  </w14:solidFill>
                </w14:textFill>
              </w:rPr>
              <w:t>5、</w:t>
            </w:r>
            <w:r>
              <w:rPr>
                <w:rFonts w:hint="default" w:ascii="Times New Roman" w:hAnsi="Times New Roman" w:eastAsia="宋体" w:cs="Times New Roman"/>
                <w:b/>
                <w:bCs/>
                <w:caps w:val="0"/>
                <w:color w:val="000000" w:themeColor="text1"/>
                <w:spacing w:val="0"/>
                <w:sz w:val="24"/>
                <w:highlight w:val="none"/>
                <w:lang w:eastAsia="zh-CN"/>
                <w14:textFill>
                  <w14:solidFill>
                    <w14:schemeClr w14:val="tx1"/>
                  </w14:solidFill>
                </w14:textFill>
              </w:rPr>
              <w:t>原辅材料性质及消耗情况</w:t>
            </w:r>
          </w:p>
          <w:p>
            <w:pPr>
              <w:pStyle w:val="30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color w:val="000000" w:themeColor="text1"/>
                <w:spacing w:val="0"/>
                <w:sz w:val="24"/>
                <w:szCs w:val="24"/>
                <w:highlight w:val="none"/>
                <w14:textFill>
                  <w14:solidFill>
                    <w14:schemeClr w14:val="tx1"/>
                  </w14:solidFill>
                </w14:textFill>
              </w:rPr>
            </w:pPr>
            <w:r>
              <w:rPr>
                <w:rFonts w:hint="eastAsia" w:ascii="Times New Roman" w:hAnsi="Times New Roman" w:cs="Times New Roman"/>
                <w:b/>
                <w:bCs/>
                <w:color w:val="000000" w:themeColor="text1"/>
                <w:spacing w:val="0"/>
                <w:sz w:val="24"/>
                <w:szCs w:val="24"/>
                <w:highlight w:val="none"/>
                <w:lang w:val="en-US" w:eastAsia="zh-CN"/>
                <w14:textFill>
                  <w14:solidFill>
                    <w14:schemeClr w14:val="tx1"/>
                  </w14:solidFill>
                </w14:textFill>
              </w:rPr>
              <w:t>5.1</w:t>
            </w:r>
            <w:r>
              <w:rPr>
                <w:rFonts w:hint="default" w:ascii="Times New Roman" w:hAnsi="Times New Roman" w:eastAsia="宋体" w:cs="Times New Roman"/>
                <w:b/>
                <w:bCs/>
                <w:color w:val="000000" w:themeColor="text1"/>
                <w:spacing w:val="0"/>
                <w:sz w:val="24"/>
                <w:szCs w:val="24"/>
                <w:highlight w:val="none"/>
                <w14:textFill>
                  <w14:solidFill>
                    <w14:schemeClr w14:val="tx1"/>
                  </w14:solidFill>
                </w14:textFill>
              </w:rPr>
              <w:t>原辅材料消耗情况</w:t>
            </w:r>
          </w:p>
          <w:p>
            <w:pPr>
              <w:keepNext w:val="0"/>
              <w:keepLines w:val="0"/>
              <w:pageBreakBefore w:val="0"/>
              <w:suppressLineNumbers w:val="0"/>
              <w:wordWrap/>
              <w:overflowPunct/>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原辅材料消耗情况详见表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eastAsia" w:cs="Times New Roman"/>
                <w:color w:val="000000" w:themeColor="text1"/>
                <w:spacing w:val="0"/>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表2-</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6</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原辅材料消耗情况一览表</w:t>
            </w:r>
          </w:p>
          <w:tbl>
            <w:tblPr>
              <w:tblStyle w:val="291"/>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4"/>
              <w:gridCol w:w="1103"/>
              <w:gridCol w:w="1914"/>
              <w:gridCol w:w="720"/>
              <w:gridCol w:w="1117"/>
              <w:gridCol w:w="290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jc w:val="center"/>
              </w:trPr>
              <w:tc>
                <w:tcPr>
                  <w:tcW w:w="627"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序号</w:t>
                  </w:r>
                </w:p>
              </w:tc>
              <w:tc>
                <w:tcPr>
                  <w:tcW w:w="2982" w:type="dxa"/>
                  <w:gridSpan w:val="2"/>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原辅材料名称</w:t>
                  </w:r>
                </w:p>
              </w:tc>
              <w:tc>
                <w:tcPr>
                  <w:tcW w:w="712"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单位</w:t>
                  </w:r>
                </w:p>
              </w:tc>
              <w:tc>
                <w:tcPr>
                  <w:tcW w:w="1104"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年耗量</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w:t>
                  </w:r>
                </w:p>
              </w:tc>
              <w:tc>
                <w:tcPr>
                  <w:tcW w:w="2982" w:type="dxa"/>
                  <w:gridSpan w:val="2"/>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磺化泥浆废弃物</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210000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en-US" w:bidi="ar-SA"/>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岩屑处理池</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氧化剂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氧化铝</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400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袋装</w:t>
                  </w:r>
                  <w:r>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暂存于物资堆棚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破乳剂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硫酸亚铁</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200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袋装</w:t>
                  </w:r>
                  <w:r>
                    <w:rPr>
                      <w:rFonts w:hint="eastAsia"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暂存于物资堆棚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氧化剂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双氧水</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300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浓度27.5%</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，桶装</w:t>
                  </w:r>
                  <w:r>
                    <w:rPr>
                      <w:rFonts w:hint="eastAsia" w:ascii="Times New Roman" w:hAnsi="Times New Roman" w:cs="Times New Roman"/>
                      <w:color w:val="000000" w:themeColor="text1"/>
                      <w:spacing w:val="0"/>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暂存于库房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5</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氧化剂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氯化铁</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袋装</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，暂存于库房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中和剂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碳酸钠</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106</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袋装</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，暂存于库房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絮凝剂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聚丙烯酰胺</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200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袋装</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，暂存于库房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8</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混凝剂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聚合氯化铝</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15</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袋装</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，暂存于库房</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9</w:t>
                  </w:r>
                </w:p>
              </w:tc>
              <w:tc>
                <w:tcPr>
                  <w:tcW w:w="1090" w:type="dxa"/>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中和剂</w:t>
                  </w:r>
                </w:p>
              </w:tc>
              <w:tc>
                <w:tcPr>
                  <w:tcW w:w="1892" w:type="dxa"/>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生石灰</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t/a</w:t>
                  </w:r>
                </w:p>
              </w:tc>
              <w:tc>
                <w:tcPr>
                  <w:tcW w:w="1104" w:type="dxa"/>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2000</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袋装</w:t>
                  </w: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，暂存于物资堆棚</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10</w:t>
                  </w:r>
                </w:p>
              </w:tc>
              <w:tc>
                <w:tcPr>
                  <w:tcW w:w="2982" w:type="dxa"/>
                  <w:gridSpan w:val="2"/>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水</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/a</w:t>
                  </w:r>
                </w:p>
              </w:tc>
              <w:tc>
                <w:tcPr>
                  <w:tcW w:w="11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183.82</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0"/>
                      <w:sz w:val="21"/>
                      <w:szCs w:val="21"/>
                      <w:highlight w:val="none"/>
                      <w:lang w:val="en-US" w:eastAsia="zh-CN"/>
                      <w14:textFill>
                        <w14:solidFill>
                          <w14:schemeClr w14:val="tx1"/>
                        </w14:solidFill>
                      </w14:textFill>
                    </w:rPr>
                    <w:t>拉运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w:t>
                  </w:r>
                </w:p>
              </w:tc>
              <w:tc>
                <w:tcPr>
                  <w:tcW w:w="2982" w:type="dxa"/>
                  <w:gridSpan w:val="2"/>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电</w:t>
                  </w:r>
                </w:p>
              </w:tc>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万kWh</w:t>
                  </w:r>
                </w:p>
              </w:tc>
              <w:tc>
                <w:tcPr>
                  <w:tcW w:w="1104"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4.5</w:t>
                  </w:r>
                </w:p>
              </w:tc>
              <w:tc>
                <w:tcPr>
                  <w:tcW w:w="2869"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bl>
          <w:p>
            <w:pPr>
              <w:pStyle w:val="30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ascii="Times New Roman" w:hAnsi="Times New Roman" w:eastAsia="宋体" w:cs="Times New Roman"/>
                <w:b/>
                <w:bCs/>
                <w:color w:val="000000" w:themeColor="text1"/>
                <w:spacing w:val="0"/>
                <w:sz w:val="24"/>
                <w:szCs w:val="24"/>
                <w:highlight w:val="none"/>
                <w14:textFill>
                  <w14:solidFill>
                    <w14:schemeClr w14:val="tx1"/>
                  </w14:solidFill>
                </w14:textFill>
              </w:rPr>
            </w:pPr>
            <w:r>
              <w:rPr>
                <w:rFonts w:hint="eastAsia" w:ascii="Times New Roman" w:hAnsi="Times New Roman" w:cs="Times New Roman"/>
                <w:b/>
                <w:bCs/>
                <w:color w:val="000000" w:themeColor="text1"/>
                <w:spacing w:val="0"/>
                <w:sz w:val="24"/>
                <w:szCs w:val="24"/>
                <w:highlight w:val="none"/>
                <w:lang w:val="en-US" w:eastAsia="zh-CN"/>
                <w14:textFill>
                  <w14:solidFill>
                    <w14:schemeClr w14:val="tx1"/>
                  </w14:solidFill>
                </w14:textFill>
              </w:rPr>
              <w:t>5.2</w:t>
            </w:r>
            <w:r>
              <w:rPr>
                <w:rFonts w:hint="default" w:ascii="Times New Roman" w:hAnsi="Times New Roman" w:eastAsia="宋体" w:cs="Times New Roman"/>
                <w:b/>
                <w:bCs/>
                <w:color w:val="000000" w:themeColor="text1"/>
                <w:spacing w:val="0"/>
                <w:sz w:val="24"/>
                <w:szCs w:val="24"/>
                <w:highlight w:val="none"/>
                <w14:textFill>
                  <w14:solidFill>
                    <w14:schemeClr w14:val="tx1"/>
                  </w14:solidFill>
                </w14:textFill>
              </w:rPr>
              <w:t>原辅材料理化性质</w:t>
            </w:r>
          </w:p>
          <w:p>
            <w:pPr>
              <w:pStyle w:val="30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磺化水基泥浆主要成分</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见表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；其他辅助材</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料理化性质详见</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表2-</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表2-</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7</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磺化水基泥浆主要成分一览表</w:t>
            </w:r>
          </w:p>
          <w:tbl>
            <w:tblPr>
              <w:tblStyle w:val="291"/>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1168"/>
              <w:gridCol w:w="712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原料名称</w:t>
                  </w: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磺化</w:t>
                  </w: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水基</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泥浆主要成分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磺化泥浆废弃物</w:t>
                  </w: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钻井废弃泥浆是在井场建设初期产生的，由油田测井单位提供钻井深度，钻井深度是钻井作业的施工依据，钻井深度一般距离油田的含油层尚有一定的距离，钻井过程不会接触到含油层，故产生的钻井废弃泥浆不含油类物质，为水基泥浆。对照《</w:t>
                  </w:r>
                  <w:r>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t>国家危险废物名录（2025年版）</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》《危险废物排除管理清单（2021年版）》，本项目收集的钻井磺化水基泥浆不属于危险废物。对于磺化泥浆废弃物，重点对其中所含有机物的理化性质进行介绍。</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①磺化</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酚醛树脂</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：磺化酚醛树脂为阴离子水溶性聚电解质，</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磺化酚醛树脂与褐煤接支共聚物，主要用作抗高温、抗盐及抗钙的降滤失剂。磺化酚醛树脂与木质素接支共聚物，主要用作抗高温、抗盐、抗钙的降滤失剂。具有一定的防塌能力，同时具有较好的润滑性，还具有一定的降粘作用，可改善钻井液的流变性。</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②</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羟甲基纤维素钠</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是葡萄糖聚合度为100</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2000的纤维素衍生物，相对分子质量242.16。密度0.5-0.7g/cm</w:t>
                  </w:r>
                  <w:r>
                    <w:rPr>
                      <w:rFonts w:hint="default" w:ascii="Times New Roman" w:hAnsi="Times New Roman" w:eastAsia="宋体" w:cs="Times New Roman"/>
                      <w:color w:val="000000" w:themeColor="text1"/>
                      <w:spacing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，白色纤维状或颗粒状粉末。无臭，无味，无味，有吸湿性，不溶于有机溶剂</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③</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羟乙基纤维素</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是一种白色或淡黄色，无味、无毒的纤维状或粉末状固体，不溶于一般有机溶剂。具有增稠、悬浮、粘合、乳化、分散、保持水分等性能。分子式：C</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H</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6</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O</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·x，熔点：288-290℃</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密度：0.75g/cm</w:t>
                  </w:r>
                  <w:r>
                    <w:rPr>
                      <w:rFonts w:hint="default" w:ascii="Times New Roman" w:hAnsi="Times New Roman" w:eastAsia="宋体" w:cs="Times New Roman"/>
                      <w:color w:val="000000" w:themeColor="text1"/>
                      <w:spacing w:val="0"/>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，分解温度：205-210℃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④</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羧甲基淀粉</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白色或黄色粉末，无臭、无味、无毒、热易吸潮。溶于水形成胶体状溶液，对光、热稳定。不溶于乙醇、乙醚、氯仿等有机溶剂，熔点：274℃</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⑤</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褐煤、腐殖酸及其改性材料</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褐煤中一般含有腐殖酸，腐殖酸难溶于水，易溶</w:t>
                  </w:r>
                  <w:r>
                    <w:rPr>
                      <w:rFonts w:hint="eastAsia" w:cs="Times New Roman"/>
                      <w:color w:val="000000" w:themeColor="text1"/>
                      <w:spacing w:val="0"/>
                      <w:sz w:val="21"/>
                      <w:szCs w:val="21"/>
                      <w:highlight w:val="none"/>
                      <w:lang w:eastAsia="zh-CN"/>
                      <w14:textFill>
                        <w14:solidFill>
                          <w14:schemeClr w14:val="tx1"/>
                        </w14:solidFill>
                      </w14:textFill>
                    </w:rPr>
                    <w:t>于</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碱。腐殖酸不是单纯的化合物，而是分子大小不同和结构组成互不一致的多种化合物的混合物。这些化合物含有氮、氢、氧、碳等元素，是含芳香环和烯键的多官能团链状高分子化合物，这些官能团有羧基、醇羟基、酚羟基、甲氧基、含氮基等，其中起主要作用的是羧基、酚羟基和甲氧基。目前常用的是腐殖酸钠和硝基腐殖酸钠两种</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⑥</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木质素磺酸钠</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是一种天然高分子聚合物，阴离子型表面活性剂，是木浆与二氯化硫水溶液和亚硫酸盐反应产物，一般为4-羟基-3-甲氧基苯的多聚物，分子量由200</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10000不等</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⑦</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十二烷基磺酸钠</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白色或浅黄色结晶或粉末，</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instrText xml:space="preserve">HYPERLINK"http://baike.baidu.com/view/4879920.htm"</w:instrTex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易溶于</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热水，溶于热乙醇，不溶于冷水、</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instrText xml:space="preserve">HYPERLINK"http://baike.baidu.com/view/139691.htm"</w:instrTex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石油醚，</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熔点：206℃</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instrText xml:space="preserve">HYPERLINK"http://baike.baidu.com/view/999834.htm"</w:instrTex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（分解）。属阴离子表面活性剂，</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具有优异的渗透、</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begin"/>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instrText xml:space="preserve">HYPERLINK"http://baike.baidu.com/view/196148.htm"</w:instrTex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separate"/>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洗涤、润湿、去污和乳化作用</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fldChar w:fldCharType="end"/>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分子式为C</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12</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H</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25</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SO</w:t>
                  </w:r>
                  <w:r>
                    <w:rPr>
                      <w:rFonts w:hint="default" w:ascii="Times New Roman" w:hAnsi="Times New Roman" w:eastAsia="宋体" w:cs="Times New Roman"/>
                      <w:color w:val="000000" w:themeColor="text1"/>
                      <w:spacing w:val="0"/>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Na，分子量：288.372</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⑧聚丙烯酰胺钾盐：主要用于钻井生产中常用作页岩抑制剂。又称之为聚丙烯酸钾，产品为白色或淡黄色末状，是一种含羧钾聚丙烯酰胺衍生物，是很强的抑制页岩分散剂，具有控制地层造浆的作用并兼有降失水、改善流型及增加润滑性等功能。在钻井液中包被、提粘，使用于各种泥浆体系，有较好的防塌作用。它能改善井液的流变性并能有效地包被钻屑，抵制地层造浆，钾离子的存在，能防止软泥液岩和硬脆性泥液岩的水化和剥落，起到稳定井壁的作用，具有较好的降失水作用，与其它处理剂配伍性好，可用于不分阶段钻井液和分散型钻井液中。</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16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7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⑨阳离子沥青：阳离子沥青适用于水基钻井液体系。阳离子沥青由多种表面活性剂及阳离子页岩抑制剂及一定范围软化点的沥青经特种工艺加工而成。其微米级的带正电的沥青微粒极易吸附在带负电的固体颗粒上，参与泥饼的形成，提高泥饼质量，其微粒及阳离子页岩抑制剂可以进入井壁微裂缝中，产生粘附及相互聚集，从而起到封堵、桥接、防膨、防塌、降失水及保护油气层作用。可用于钻井泥浆和油水井堵水调配。</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表2-</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8</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辅料理化性质表</w:t>
            </w:r>
          </w:p>
          <w:tbl>
            <w:tblPr>
              <w:tblStyle w:val="291"/>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57" w:type="dxa"/>
                <w:bottom w:w="0" w:type="dxa"/>
                <w:right w:w="57" w:type="dxa"/>
              </w:tblCellMar>
            </w:tblPr>
            <w:tblGrid>
              <w:gridCol w:w="874"/>
              <w:gridCol w:w="751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PrEx>
              <w:trPr>
                <w:trHeight w:val="0" w:hRule="atLeast"/>
                <w:jc w:val="center"/>
              </w:trPr>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辅料名称</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理化性质</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硫酸亚铁</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外观与性状：浅蓝绿色单斜晶体；熔点</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：64（失去3个结晶水）；相对密度（水</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=1）：1.897</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15℃</w:t>
                  </w: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；分子式及分子量：FeSO</w:t>
                  </w:r>
                  <w:r>
                    <w:rPr>
                      <w:rFonts w:hint="default" w:ascii="Times New Roman" w:hAnsi="Times New Roman" w:eastAsia="宋体" w:cs="Times New Roman"/>
                      <w:color w:val="000000" w:themeColor="text1"/>
                      <w:spacing w:val="0"/>
                      <w:sz w:val="21"/>
                      <w:szCs w:val="21"/>
                      <w:highlight w:val="none"/>
                      <w:vertAlign w:val="subscript"/>
                      <w:lang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·7H</w:t>
                  </w:r>
                  <w:r>
                    <w:rPr>
                      <w:rFonts w:hint="default" w:ascii="Times New Roman" w:hAnsi="Times New Roman" w:eastAsia="宋体" w:cs="Times New Roman"/>
                      <w:color w:val="000000" w:themeColor="text1"/>
                      <w:spacing w:val="0"/>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O（278.03）FeSO</w:t>
                  </w:r>
                  <w:r>
                    <w:rPr>
                      <w:rFonts w:hint="default" w:ascii="Times New Roman" w:hAnsi="Times New Roman" w:eastAsia="宋体" w:cs="Times New Roman"/>
                      <w:color w:val="000000" w:themeColor="text1"/>
                      <w:spacing w:val="0"/>
                      <w:sz w:val="21"/>
                      <w:szCs w:val="21"/>
                      <w:highlight w:val="none"/>
                      <w:vertAlign w:val="subscript"/>
                      <w:lang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152）；溶解性：溶于水、甘油，不溶于乙醇。沸点：330ºC；储存条件：库房低温、通风、干燥、与食品原料分开存放。具有还原性。受高热分解放出有毒的气体。在实验室中，可以用硫酸铜溶液与铁反应获得。在干燥空气中会风化。在潮湿空气中易氧化成难溶于水的棕黄色碱式硫酸铁。10%水溶液对石蕊呈酸性（</w:t>
                  </w:r>
                  <w:r>
                    <w:rPr>
                      <w:rFonts w:hint="eastAsia" w:cs="Times New Roman"/>
                      <w:color w:val="000000" w:themeColor="text1"/>
                      <w:spacing w:val="0"/>
                      <w:sz w:val="21"/>
                      <w:szCs w:val="21"/>
                      <w:highlight w:val="none"/>
                      <w:lang w:eastAsia="zh-CN"/>
                      <w14:textFill>
                        <w14:solidFill>
                          <w14:schemeClr w14:val="tx1"/>
                        </w14:solidFill>
                      </w14:textFill>
                    </w:rPr>
                    <w:t>pH值</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约3.7）。加热至70～73℃失去3分子水，至80～123℃失去6分子水，至156℃以上转变成碱式硫酸铁。</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双氧水</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水溶液为无色透明液体，溶于水、醇、乙醚，不溶于苯、石油醚。</w:t>
                  </w:r>
                </w:p>
                <w:p>
                  <w:pPr>
                    <w:keepNext w:val="0"/>
                    <w:keepLines w:val="0"/>
                    <w:pageBreakBefore w:val="0"/>
                    <w:widowControl w:val="0"/>
                    <w:kinsoku/>
                    <w:wordWrap/>
                    <w:overflowPunct/>
                    <w:topLinePunct w:val="0"/>
                    <w:autoSpaceDE/>
                    <w:autoSpaceDN/>
                    <w:bidi w:val="0"/>
                    <w:adjustRightInd w:val="0"/>
                    <w:snapToGrid w:val="0"/>
                    <w:ind w:left="0" w:leftChars="0" w:right="0" w:rightChars="0"/>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纯过氧化氢是淡蓝色的粘稠液体，熔点-0.43℃，沸点150.2℃，纯的过氧化氢其分子构型会改变，所以熔沸点也会发生变化。凝固点时固体密度为1.71g/L，密度随温度升高而减小。它的缔合程度比H</w:t>
                  </w:r>
                  <w:r>
                    <w:rPr>
                      <w:rFonts w:hint="default" w:ascii="Times New Roman" w:hAnsi="Times New Roman" w:eastAsia="宋体" w:cs="Times New Roman"/>
                      <w:color w:val="000000" w:themeColor="text1"/>
                      <w:spacing w:val="0"/>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O大，所以它的介电常数和沸点比水高。纯过氧化氢比较稳定，加热到153℃便猛烈的分解为水和氧气，值得注意的是，过氧化氢中不存在分子间氢键。过氧化氢对有机物有很强的氧化作用，一般作为氧化剂使</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用。化学性质：具有氧化性、</w:t>
                  </w:r>
                  <w:r>
                    <w:rPr>
                      <w:rFonts w:hint="eastAsia" w:cs="Times New Roman"/>
                      <w:color w:val="000000" w:themeColor="text1"/>
                      <w:spacing w:val="0"/>
                      <w:sz w:val="21"/>
                      <w:szCs w:val="21"/>
                      <w:highlight w:val="none"/>
                      <w:lang w:val="en-US" w:eastAsia="zh-CN"/>
                      <w14:textFill>
                        <w14:solidFill>
                          <w14:schemeClr w14:val="tx1"/>
                        </w14:solidFill>
                      </w14:textFill>
                    </w:rPr>
                    <w:t>还原</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性，遇有机物、受热分解放出氧气和水，遇铬酸、高锰酸钾、金属粉末反应剧烈。为了防止分解，可以加入微量的稳定剂，如锡酸钠、焦磷酸钠等等。</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氧化剂</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本工程所用氧化剂主要成分为氯化铁。氯化铁是一种共价化合物。为黑棕色结晶，也有薄片状，熔点306℃</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沸点315℃</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相对密度2.898，易溶于水、甲醇、乙醇、丙酮。有强烈的吸水性，能吸收空气里的水分而潮解。FeCl</w:t>
                  </w:r>
                  <w:r>
                    <w:rPr>
                      <w:rFonts w:hint="default" w:ascii="Times New Roman" w:hAnsi="Times New Roman" w:eastAsia="宋体" w:cs="Times New Roman"/>
                      <w:color w:val="000000" w:themeColor="text1"/>
                      <w:spacing w:val="0"/>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highlight w:val="none"/>
                      <w14:textFill>
                        <w14:solidFill>
                          <w14:schemeClr w14:val="tx1"/>
                        </w14:solidFill>
                      </w14:textFill>
                    </w:rPr>
                    <w:t>从水溶液析出时带六个结晶水为FeCl</w:t>
                  </w:r>
                  <w:r>
                    <w:rPr>
                      <w:rFonts w:hint="default" w:ascii="Times New Roman" w:hAnsi="Times New Roman" w:eastAsia="宋体" w:cs="Times New Roman"/>
                      <w:color w:val="000000" w:themeColor="text1"/>
                      <w:spacing w:val="0"/>
                      <w:highlight w:val="none"/>
                      <w:vertAlign w:val="subscript"/>
                      <w14:textFill>
                        <w14:solidFill>
                          <w14:schemeClr w14:val="tx1"/>
                        </w14:solidFill>
                      </w14:textFill>
                    </w:rPr>
                    <w:t>3</w:t>
                  </w:r>
                  <w:r>
                    <w:rPr>
                      <w:rFonts w:hint="default" w:ascii="Times New Roman" w:hAnsi="Times New Roman" w:eastAsia="宋体" w:cs="Times New Roman"/>
                      <w:color w:val="000000" w:themeColor="text1"/>
                      <w:spacing w:val="0"/>
                      <w:highlight w:val="none"/>
                      <w14:textFill>
                        <w14:solidFill>
                          <w14:schemeClr w14:val="tx1"/>
                        </w14:solidFill>
                      </w14:textFill>
                    </w:rPr>
                    <w:t>·6H</w:t>
                  </w:r>
                  <w:r>
                    <w:rPr>
                      <w:rFonts w:hint="default" w:ascii="Times New Roman" w:hAnsi="Times New Roman" w:eastAsia="宋体" w:cs="Times New Roman"/>
                      <w:color w:val="000000" w:themeColor="text1"/>
                      <w:spacing w:val="0"/>
                      <w:highlight w:val="none"/>
                      <w:vertAlign w:val="subscript"/>
                      <w14:textFill>
                        <w14:solidFill>
                          <w14:schemeClr w14:val="tx1"/>
                        </w14:solidFill>
                      </w14:textFill>
                    </w:rPr>
                    <w:t>2</w:t>
                  </w:r>
                  <w:r>
                    <w:rPr>
                      <w:rFonts w:hint="default" w:ascii="Times New Roman" w:hAnsi="Times New Roman" w:eastAsia="宋体" w:cs="Times New Roman"/>
                      <w:color w:val="000000" w:themeColor="text1"/>
                      <w:spacing w:val="0"/>
                      <w:highlight w:val="none"/>
                      <w14:textFill>
                        <w14:solidFill>
                          <w14:schemeClr w14:val="tx1"/>
                        </w14:solidFill>
                      </w14:textFill>
                    </w:rPr>
                    <w:t>O，六水合氯化铁是橘黄色的晶体。二氧化钛（化学式：TiO</w:t>
                  </w:r>
                  <w:r>
                    <w:rPr>
                      <w:rFonts w:hint="default" w:ascii="Times New Roman" w:hAnsi="Times New Roman" w:eastAsia="宋体" w:cs="Times New Roman"/>
                      <w:color w:val="000000" w:themeColor="text1"/>
                      <w:spacing w:val="0"/>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t>）</w:t>
                  </w:r>
                  <w:r>
                    <w:rPr>
                      <w:rFonts w:hint="eastAsia" w:cs="Times New Roman"/>
                      <w:color w:val="000000" w:themeColor="text1"/>
                      <w:spacing w:val="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白色固体或粉末状的两性氧化物，分子量为79.9，是一种白色无机颜料，具有无毒、最佳的不透明性、最佳白度和光亮度。</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聚丙烯酰胺</w:t>
                  </w:r>
                </w:p>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絮凝剂</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絮凝剂主要应用于给水和污水处理领域。</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所用絮凝剂主要用于各种工业废水的絮凝沉降，由于其分子链中含有一定数量的极性基团，它能通过吸附水中悬浮的固体粒子，使粒子间架桥或通过电荷中和使粒子凝聚形成大的絮凝物，故可加速悬浮液中粒子的沉降，有非常明显的加快溶液澄清、促进过滤等效果。固体产品外观为白色颗粒，属非危险品、无毒无臭、无腐蚀性，温度超过120℃时易分解，荷密度为10-40（Mole%），水解度为10%-35%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聚合氯化铝</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混凝剂</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混凝剂就是在水处理过程中可以将水中的胶体微粒子相互粘结和聚集在一起的物质，通常混凝剂分为有机混凝剂和无机混凝剂两大类。</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所用混凝剂为聚合氯化铝（PAC）+氯化铝。聚合氯化铝是一种无机高分子混凝剂，由于氢氧根离子的架桥作用和多价阴离子的聚合作用而生产的分子量较大、电荷较高的无机高分子水处理药剂。在形态上又可以分为固体和液体两种。固体按颜色不同又分为棕褐色、米黄色、金黄色和白色，液体可以呈现为无色透明、微黄色、浅黄色至黄褐色；氯化铝是氯和铝的化合物，其熔点、沸点都很低，且会升华，为共价化合物。氯化铝是无色透明晶体或白色而微带浅黄色的结晶性粉末。有强盐酸气味，工业品呈淡黄色。易溶于水、醇、氯仿、四氯化碳，微溶于苯</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碳酸钠</w:t>
                  </w:r>
                </w:p>
              </w:tc>
              <w:tc>
                <w:tcPr>
                  <w:tcW w:w="447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碳酸钠是一种无机化合物，化学式为 Na2CO3 ，分子量 105.99，又叫纯碱，但分类属于盐，不属于碱。碳酸钠常温下为白色无气味的粉末或颗粒。有吸水性，露置空气中逐渐吸收1mol/L水分（约=15%）。碳酸钠易溶于水和甘油。20℃时每一百克水能溶解20克碳酸钠，35.4℃时溶解度最大，100克水中可溶解49.7克碳酸钠，微溶于无水乙醇，难溶于丙醇。碳酸钠的水溶液呈碱性且有一定的腐蚀性，能与酸发生复分解反应，也能与一些钙盐、钡盐发生复分解反应。溶液显碱性，可使酚酞变红。</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氧化铝</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化学式Al</w:t>
                  </w:r>
                  <w:r>
                    <w:rPr>
                      <w:rFonts w:hint="default" w:ascii="Times New Roman" w:hAnsi="Times New Roman" w:eastAsia="宋体" w:cs="Times New Roman"/>
                      <w:color w:val="000000" w:themeColor="text1"/>
                      <w:spacing w:val="0"/>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O</w:t>
                  </w:r>
                  <w:r>
                    <w:rPr>
                      <w:rFonts w:hint="default" w:ascii="Times New Roman" w:hAnsi="Times New Roman" w:eastAsia="宋体" w:cs="Times New Roman"/>
                      <w:color w:val="000000" w:themeColor="text1"/>
                      <w:spacing w:val="0"/>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是一种高硬度的化合物，熔点为2054℃，沸点为2980℃，在高温下可电离的离子晶体，常用于制造耐火材料。性状：难溶于水的白色固体，无臭、无味、质极硬，易吸潮而不潮解（灼烧过的不吸湿）。两性氧化物，能溶于无机酸和碱性溶液中，几乎不溶于水及非极性有机溶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生石灰</w:t>
                  </w:r>
                </w:p>
              </w:tc>
              <w:tc>
                <w:tcPr>
                  <w:tcW w:w="44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both"/>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又称烧石灰，主要成分为氧化钙（CaO），生石灰（CaO）与水反应生成氢氧化钙的过程，称为石灰的熟化或消化，与水反应（同时放出大量的热），或吸收潮湿空气中的水分，即成熟石灰，又称消石灰。</w:t>
                  </w:r>
                </w:p>
              </w:tc>
            </w:tr>
          </w:tbl>
          <w:p>
            <w:pPr>
              <w:keepNext w:val="0"/>
              <w:keepLines w:val="0"/>
              <w:pageBreakBefore w:val="0"/>
              <w:widowControl w:val="0"/>
              <w:tabs>
                <w:tab w:val="left" w:pos="4620"/>
              </w:tabs>
              <w:kinsoku/>
              <w:wordWrap/>
              <w:overflowPunct/>
              <w:topLinePunct w:val="0"/>
              <w:autoSpaceDE/>
              <w:autoSpaceDN/>
              <w:bidi w:val="0"/>
              <w:adjustRightInd w:val="0"/>
              <w:snapToGrid w:val="0"/>
              <w:spacing w:before="157" w:beforeLines="50" w:line="360" w:lineRule="auto"/>
              <w:ind w:left="0" w:leftChars="0" w:right="0" w:rightChars="0"/>
              <w:textAlignment w:val="auto"/>
              <w:rPr>
                <w:rFonts w:hint="default" w:ascii="Times New Roman" w:hAnsi="Times New Roman" w:eastAsia="宋体" w:cs="Times New Roman"/>
                <w:b/>
                <w:bCs/>
                <w:caps w:val="0"/>
                <w:color w:val="000000" w:themeColor="text1"/>
                <w:spacing w:val="0"/>
                <w:sz w:val="24"/>
                <w:highlight w:val="none"/>
                <w:lang w:val="en-US" w:eastAsia="zh-CN"/>
                <w14:textFill>
                  <w14:solidFill>
                    <w14:schemeClr w14:val="tx1"/>
                  </w14:solidFill>
                </w14:textFill>
              </w:rPr>
            </w:pPr>
            <w:r>
              <w:rPr>
                <w:rFonts w:hint="eastAsia" w:cs="Times New Roman"/>
                <w:b/>
                <w:bCs/>
                <w:caps w:val="0"/>
                <w:color w:val="000000" w:themeColor="text1"/>
                <w:spacing w:val="0"/>
                <w:sz w:val="24"/>
                <w:highlight w:val="none"/>
                <w:lang w:val="en-US" w:eastAsia="zh-CN"/>
                <w14:textFill>
                  <w14:solidFill>
                    <w14:schemeClr w14:val="tx1"/>
                  </w14:solidFill>
                </w14:textFill>
              </w:rPr>
              <w:t>6、</w:t>
            </w:r>
            <w:r>
              <w:rPr>
                <w:rFonts w:hint="default" w:ascii="Times New Roman" w:hAnsi="Times New Roman" w:eastAsia="宋体" w:cs="Times New Roman"/>
                <w:b/>
                <w:bCs/>
                <w:caps w:val="0"/>
                <w:color w:val="000000" w:themeColor="text1"/>
                <w:spacing w:val="0"/>
                <w:sz w:val="24"/>
                <w:highlight w:val="none"/>
                <w:lang w:val="en-US" w:eastAsia="zh-CN"/>
                <w14:textFill>
                  <w14:solidFill>
                    <w14:schemeClr w14:val="tx1"/>
                  </w14:solidFill>
                </w14:textFill>
              </w:rPr>
              <w:t>总物料平衡</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总物料平衡见表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eastAsia" w:cs="Times New Roman"/>
                <w:color w:val="000000" w:themeColor="text1"/>
                <w:spacing w:val="0"/>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ind w:left="0" w:leftChars="0" w:right="0" w:rightChars="0" w:firstLine="422" w:firstLineChars="200"/>
              <w:jc w:val="both"/>
              <w:textAlignment w:val="auto"/>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表2-</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9</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eastAsia"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pacing w:val="0"/>
                <w:kern w:val="0"/>
                <w:highlight w:val="none"/>
                <w:lang w:val="en-US" w:eastAsia="zh-CN"/>
                <w14:textFill>
                  <w14:solidFill>
                    <w14:schemeClr w14:val="tx1"/>
                  </w14:solidFill>
                </w14:textFill>
              </w:rPr>
              <w:t>本项目物料平衡表</w:t>
            </w:r>
          </w:p>
          <w:tbl>
            <w:tblPr>
              <w:tblStyle w:val="291"/>
              <w:tblW w:w="4999"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99"/>
              <w:gridCol w:w="1737"/>
              <w:gridCol w:w="750"/>
              <w:gridCol w:w="1061"/>
              <w:gridCol w:w="504"/>
              <w:gridCol w:w="1984"/>
              <w:gridCol w:w="750"/>
              <w:gridCol w:w="1106"/>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411"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投入</w:t>
                  </w:r>
                </w:p>
              </w:tc>
              <w:tc>
                <w:tcPr>
                  <w:tcW w:w="258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产出</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序号</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物料名称</w:t>
                  </w:r>
                </w:p>
              </w:tc>
              <w:tc>
                <w:tcPr>
                  <w:tcW w:w="447"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含水率</w:t>
                  </w:r>
                </w:p>
              </w:tc>
              <w:tc>
                <w:tcPr>
                  <w:tcW w:w="631"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数量</w:t>
                  </w:r>
                </w:p>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t/a</w:t>
                  </w:r>
                  <w:r>
                    <w:rPr>
                      <w:rFonts w:hint="eastAsia" w:cs="Times New Roman"/>
                      <w:color w:val="000000" w:themeColor="text1"/>
                      <w:spacing w:val="0"/>
                      <w:sz w:val="21"/>
                      <w:szCs w:val="21"/>
                      <w:highlight w:val="none"/>
                      <w:lang w:eastAsia="zh-CN"/>
                      <w14:textFill>
                        <w14:solidFill>
                          <w14:schemeClr w14:val="tx1"/>
                        </w14:solidFill>
                      </w14:textFill>
                    </w:rPr>
                    <w:t>)</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序号</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物料名称</w:t>
                  </w:r>
                </w:p>
              </w:tc>
              <w:tc>
                <w:tcPr>
                  <w:tcW w:w="4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含水率</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数量</w:t>
                  </w:r>
                </w:p>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t/a</w:t>
                  </w:r>
                  <w:r>
                    <w:rPr>
                      <w:rFonts w:hint="eastAsia" w:cs="Times New Roman"/>
                      <w:color w:val="000000" w:themeColor="text1"/>
                      <w:spacing w:val="0"/>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磺化泥浆废弃物</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60%</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210000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还原土</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45%</w:t>
                  </w:r>
                </w:p>
              </w:tc>
              <w:tc>
                <w:tcPr>
                  <w:tcW w:w="11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w:t>
                  </w: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w:t>
                  </w:r>
                </w:p>
              </w:tc>
              <w:tc>
                <w:tcPr>
                  <w:tcW w:w="10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新鲜水</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3.82</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达标水</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11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49000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3</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氧化铝</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400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污泥</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11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9.736</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硫酸亚铁</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还原土堆场</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TSP</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11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106.365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双氧水</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无组织非甲烷总烃</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11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6</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氯化铁</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30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6</w:t>
                  </w: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蒸发</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水分</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110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8273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碳酸钠</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106</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其他损耗</w:t>
                  </w:r>
                </w:p>
              </w:tc>
              <w:tc>
                <w:tcPr>
                  <w:tcW w:w="44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w:t>
                  </w:r>
                </w:p>
              </w:tc>
              <w:tc>
                <w:tcPr>
                  <w:tcW w:w="1106" w:type="dxa"/>
                  <w:tcBorders>
                    <w:tl2br w:val="nil"/>
                    <w:tr2bl w:val="nil"/>
                  </w:tcBorders>
                  <w:noWrap w:val="0"/>
                  <w:vAlign w:val="center"/>
                </w:tcPr>
                <w:p>
                  <w:pPr>
                    <w:jc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kern w:val="2"/>
                      <w:sz w:val="21"/>
                      <w:szCs w:val="21"/>
                      <w:highlight w:val="none"/>
                      <w:lang w:val="en-US" w:eastAsia="zh-CN" w:bidi="ar-SA"/>
                      <w14:textFill>
                        <w14:solidFill>
                          <w14:schemeClr w14:val="tx1"/>
                        </w14:solidFill>
                      </w14:textFill>
                    </w:rPr>
                    <w:t>138.601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8</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聚丙烯酰胺</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106" w:type="dxa"/>
                  <w:tcBorders>
                    <w:tl2br w:val="nil"/>
                    <w:tr2bl w:val="nil"/>
                  </w:tcBorders>
                  <w:noWrap w:val="0"/>
                  <w:vAlign w:val="center"/>
                </w:tcPr>
                <w:p>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9</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聚合氯化铝</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15</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106" w:type="dxa"/>
                  <w:tcBorders>
                    <w:tl2br w:val="nil"/>
                    <w:tr2bl w:val="nil"/>
                  </w:tcBorders>
                  <w:noWrap w:val="0"/>
                  <w:vAlign w:val="center"/>
                </w:tcPr>
                <w:p>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10</w:t>
                  </w:r>
                </w:p>
              </w:tc>
              <w:tc>
                <w:tcPr>
                  <w:tcW w:w="1035"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氧化钙</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t>/</w:t>
                  </w:r>
                </w:p>
              </w:tc>
              <w:tc>
                <w:tcPr>
                  <w:tcW w:w="631" w:type="pct"/>
                  <w:tcBorders>
                    <w:lef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t>2000</w:t>
                  </w:r>
                </w:p>
              </w:tc>
              <w:tc>
                <w:tcPr>
                  <w:tcW w:w="3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1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44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1106" w:type="dxa"/>
                  <w:tcBorders>
                    <w:tl2br w:val="nil"/>
                    <w:tr2bl w:val="nil"/>
                  </w:tcBorders>
                  <w:noWrap w:val="0"/>
                  <w:vAlign w:val="center"/>
                </w:tcPr>
                <w:p>
                  <w:pPr>
                    <w:jc w:val="cente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33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合计</w:t>
                  </w:r>
                </w:p>
              </w:tc>
              <w:tc>
                <w:tcPr>
                  <w:tcW w:w="447" w:type="pct"/>
                  <w:tcBorders>
                    <w:right w:val="single" w:color="auto" w:sz="4" w:space="0"/>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631" w:type="pct"/>
                  <w:tcBorders>
                    <w:left w:val="single" w:color="auto" w:sz="4" w:space="0"/>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213254.82</w:t>
                  </w:r>
                </w:p>
              </w:tc>
              <w:tc>
                <w:tcPr>
                  <w:tcW w:w="1482"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合计</w:t>
                  </w:r>
                </w:p>
              </w:tc>
              <w:tc>
                <w:tcPr>
                  <w:tcW w:w="447" w:type="pct"/>
                  <w:tcBorders>
                    <w:tl2br w:val="nil"/>
                    <w:tr2bl w:val="nil"/>
                  </w:tcBorders>
                  <w:noWrap w:val="0"/>
                  <w:vAlign w:val="center"/>
                </w:tcPr>
                <w:p>
                  <w:pPr>
                    <w:keepNext w:val="0"/>
                    <w:keepLines w:val="0"/>
                    <w:pageBreakBefore w:val="0"/>
                    <w:widowControl/>
                    <w:suppressLineNumbers w:val="0"/>
                    <w:wordWrap/>
                    <w:overflowPunct/>
                    <w:topLinePunct w:val="0"/>
                    <w:bidi w:val="0"/>
                    <w:adjustRightInd w:val="0"/>
                    <w:snapToGrid w:val="0"/>
                    <w:ind w:left="0" w:leftChars="0" w:right="0" w:rightChars="0"/>
                    <w:jc w:val="center"/>
                    <w:textAlignment w:val="center"/>
                    <w:rPr>
                      <w:rFonts w:hint="default" w:ascii="Times New Roman" w:hAnsi="Times New Roman" w:eastAsia="宋体" w:cs="Times New Roman"/>
                      <w:color w:val="000000" w:themeColor="text1"/>
                      <w:spacing w:val="0"/>
                      <w:sz w:val="21"/>
                      <w:szCs w:val="21"/>
                      <w:highlight w:val="none"/>
                      <w:lang w:val="en-US"/>
                      <w14:textFill>
                        <w14:solidFill>
                          <w14:schemeClr w14:val="tx1"/>
                        </w14:solidFill>
                      </w14:textFill>
                    </w:rPr>
                  </w:pPr>
                </w:p>
              </w:tc>
              <w:tc>
                <w:tcPr>
                  <w:tcW w:w="1106" w:type="dxa"/>
                  <w:tcBorders>
                    <w:tl2br w:val="nil"/>
                    <w:tr2bl w:val="nil"/>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themeColor="text1"/>
                      <w:spacing w:val="0"/>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213254.82</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textAlignment w:val="auto"/>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主要构筑物及设备</w:t>
            </w:r>
          </w:p>
          <w:p>
            <w:pPr>
              <w:keepNext w:val="0"/>
              <w:keepLines w:val="0"/>
              <w:pageBreakBefore w:val="0"/>
              <w:suppressLineNumbers w:val="0"/>
              <w:wordWrap/>
              <w:overflowPunct/>
              <w:topLinePunct w:val="0"/>
              <w:bidi w:val="0"/>
              <w:adjustRightInd w:val="0"/>
              <w:snapToGrid w:val="0"/>
              <w:spacing w:beforeAutospacing="0" w:afterAutospacing="0" w:line="360" w:lineRule="auto"/>
              <w:ind w:left="0" w:leftChars="0" w:right="0" w:rightChars="0" w:firstLine="480" w:firstLineChars="200"/>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本项目主要构筑物及所用主要设备详见表2-</w:t>
            </w:r>
            <w:r>
              <w:rPr>
                <w:rFonts w:hint="eastAsia" w:cs="Times New Roman"/>
                <w:b w:val="0"/>
                <w:bCs w:val="0"/>
                <w:color w:val="000000" w:themeColor="text1"/>
                <w:spacing w:val="0"/>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 w:val="0"/>
                <w:bCs w:val="0"/>
                <w:color w:val="000000" w:themeColor="text1"/>
                <w:spacing w:val="0"/>
                <w:kern w:val="2"/>
                <w:sz w:val="24"/>
                <w:szCs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2-</w:t>
            </w:r>
            <w:r>
              <w:rPr>
                <w:rFonts w:hint="eastAsia" w:cs="Times New Roman"/>
                <w:b/>
                <w:bCs/>
                <w:color w:val="000000" w:themeColor="text1"/>
                <w:spacing w:val="0"/>
                <w:sz w:val="21"/>
                <w:szCs w:val="21"/>
                <w:highlight w:val="none"/>
                <w:lang w:val="en-US" w:eastAsia="zh-CN"/>
                <w14:textFill>
                  <w14:solidFill>
                    <w14:schemeClr w14:val="tx1"/>
                  </w14:solidFill>
                </w14:textFill>
              </w:rPr>
              <w:t xml:space="preserve">10      </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 xml:space="preserve">    主要</w:t>
            </w:r>
            <w:r>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t>构筑物和所用主要</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设备一览表</w:t>
            </w:r>
          </w:p>
          <w:tbl>
            <w:tblPr>
              <w:tblStyle w:val="291"/>
              <w:tblW w:w="4997"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98"/>
              <w:gridCol w:w="2808"/>
              <w:gridCol w:w="2109"/>
              <w:gridCol w:w="257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序号</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名称</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数量</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功能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岩屑处理池</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7245m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试剂与泥浆反应</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2</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eastAsia"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还原土堆场</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2</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堆放合格还原土</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污水泵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4</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污泥泵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试剂计量泵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6</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氧化铝泵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7</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硫酸亚铁泵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8</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双氧水泵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9</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氧化剂泵</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抽取液体</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10</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污水池</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3300</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污水</w:t>
                  </w:r>
                  <w:r>
                    <w:rPr>
                      <w:rFonts w:hint="eastAsia" w:cs="Times New Roman"/>
                      <w:color w:val="000000" w:themeColor="text1"/>
                      <w:spacing w:val="0"/>
                      <w:sz w:val="21"/>
                      <w:szCs w:val="21"/>
                      <w:highlight w:val="none"/>
                      <w:lang w:val="en-US" w:eastAsia="zh-CN"/>
                      <w14:textFill>
                        <w14:solidFill>
                          <w14:schemeClr w14:val="tx1"/>
                        </w14:solidFill>
                      </w14:textFill>
                    </w:rPr>
                    <w:t>处理</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设施</w:t>
                  </w:r>
                  <w:r>
                    <w:rPr>
                      <w:rFonts w:hint="eastAsia" w:cs="Times New Roman"/>
                      <w:color w:val="000000" w:themeColor="text1"/>
                      <w:spacing w:val="0"/>
                      <w:sz w:val="21"/>
                      <w:szCs w:val="21"/>
                      <w:highlight w:val="none"/>
                      <w:lang w:eastAsia="zh-CN"/>
                      <w14:textFill>
                        <w14:solidFill>
                          <w14:schemeClr w14:val="tx1"/>
                        </w14:solidFill>
                      </w14:textFill>
                    </w:rPr>
                    <w:t>，</w:t>
                  </w:r>
                  <w:r>
                    <w:rPr>
                      <w:rFonts w:hint="eastAsia" w:cs="Times New Roman"/>
                      <w:color w:val="000000" w:themeColor="text1"/>
                      <w:spacing w:val="0"/>
                      <w:sz w:val="21"/>
                      <w:szCs w:val="21"/>
                      <w:highlight w:val="none"/>
                      <w:lang w:val="en-US" w:eastAsia="zh-CN"/>
                      <w14:textFill>
                        <w14:solidFill>
                          <w14:schemeClr w14:val="tx1"/>
                        </w14:solidFill>
                      </w14:textFill>
                    </w:rPr>
                    <w:t>包括暂存池、污水处理和清水池</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1"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11</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清水罐</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1个</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处理后存放设施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12</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试剂罐</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4个</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分别溶解试剂</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13</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挖掘机</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搅拌</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14</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装载机</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2台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装载产品</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15</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搅拌罐</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3个</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50m</w:t>
                  </w:r>
                  <w:r>
                    <w:rPr>
                      <w:rFonts w:hint="default" w:ascii="Times New Roman" w:hAnsi="Times New Roman" w:eastAsia="宋体" w:cs="Times New Roman"/>
                      <w:color w:val="000000" w:themeColor="text1"/>
                      <w:spacing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16</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压滤机</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3台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脱水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53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17</w:t>
                  </w:r>
                </w:p>
              </w:tc>
              <w:tc>
                <w:tcPr>
                  <w:tcW w:w="167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污水搅拌机</w:t>
                  </w:r>
                </w:p>
              </w:tc>
              <w:tc>
                <w:tcPr>
                  <w:tcW w:w="1257"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1台</w:t>
                  </w:r>
                </w:p>
              </w:tc>
              <w:tc>
                <w:tcPr>
                  <w:tcW w:w="1533"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textAlignment w:val="auto"/>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平面布置</w:t>
            </w:r>
          </w:p>
          <w:p>
            <w:pPr>
              <w:pStyle w:val="30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本项目位于</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尉犁县尉东矿产品加工园东侧</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出入口位于项目区西北侧与现有的园区道路相连</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办公生活区布置在场地西北侧</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还原土堆场位于东南侧。场地中部布置为生产区，主要包括岩屑处理池、物资堆棚及库房等生产设施。</w:t>
            </w:r>
          </w:p>
          <w:p>
            <w:pPr>
              <w:pStyle w:val="30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rPr>
                <w:rFonts w:hint="default" w:ascii="Times New Roman" w:hAnsi="Times New Roman" w:eastAsia="宋体" w:cs="Times New Roman"/>
                <w:color w:val="000000" w:themeColor="text1"/>
                <w:spacing w:val="0"/>
                <w:highlight w:val="none"/>
                <w:lang w:val="en-US" w:eastAsia="zh-CN"/>
                <w14:textFill>
                  <w14:solidFill>
                    <w14:schemeClr w14:val="tx1"/>
                  </w14:solidFill>
                </w14:textFill>
              </w:rPr>
            </w:pPr>
            <w:r>
              <w:rPr>
                <w:rFonts w:hint="eastAsia" w:cs="Times New Roman"/>
                <w:color w:val="000000" w:themeColor="text1"/>
                <w:spacing w:val="-2"/>
                <w:kern w:val="2"/>
                <w:sz w:val="24"/>
                <w:szCs w:val="24"/>
                <w:highlight w:val="none"/>
                <w:lang w:val="en-US" w:eastAsia="zh-CN" w:bidi="ar-SA"/>
                <w14:textFill>
                  <w14:solidFill>
                    <w14:schemeClr w14:val="tx1"/>
                  </w14:solidFill>
                </w14:textFill>
              </w:rPr>
              <w:t>本项目原料存放在库房和物资堆棚，其设置靠近厂区出入口减少转运，岩屑进厂暂存于岩屑池，经处理后堆放在还原土堆场。还原土堆场靠近岩屑池且还原土堆场的长边平行于主导风向，满足《工业料堆场扬尘整治规范》（DB 65/T 4061-2017）中相关要求。</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项目</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平面布置详见</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附图</w:t>
            </w:r>
            <w:r>
              <w:rPr>
                <w:rFonts w:hint="eastAsia" w:ascii="Times New Roman" w:hAnsi="Times New Roman" w:cs="Times New Roman"/>
                <w:color w:val="000000" w:themeColor="text1"/>
                <w:spacing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w:t>
            </w:r>
          </w:p>
          <w:p>
            <w:pPr>
              <w:keepNext w:val="0"/>
              <w:keepLines w:val="0"/>
              <w:pageBreakBefore w:val="0"/>
              <w:wordWrap/>
              <w:overflowPunct/>
              <w:topLinePunct w:val="0"/>
              <w:bidi w:val="0"/>
              <w:adjustRightInd w:val="0"/>
              <w:snapToGrid w:val="0"/>
              <w:spacing w:line="360" w:lineRule="auto"/>
              <w:ind w:left="0" w:leftChars="0" w:right="0" w:rightChars="0"/>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eastAsia" w:cs="Times New Roman"/>
                <w:b/>
                <w:bCs/>
                <w:color w:val="000000" w:themeColor="text1"/>
                <w:spacing w:val="0"/>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公用工程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（1）给排水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①给水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建设项目用水主要为职工生活用水、生产用水。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A.本项目劳动定员10人，职工均在项目区食宿。职工生活用水按60L/人·d计算，则需用水量为0.6m</w:t>
            </w:r>
            <w:r>
              <w:rPr>
                <w:rFonts w:hint="default" w:ascii="Times New Roman" w:hAnsi="Times New Roman" w:eastAsia="宋体" w:cs="Times New Roman"/>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/d（180m³/a），</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由</w:t>
            </w:r>
            <w:r>
              <w:rPr>
                <w:rFonts w:hint="eastAsia" w:cs="Times New Roman"/>
                <w:color w:val="000000" w:themeColor="text1"/>
                <w:spacing w:val="0"/>
                <w:sz w:val="24"/>
                <w:szCs w:val="24"/>
                <w:highlight w:val="none"/>
                <w:lang w:val="en-US" w:eastAsia="zh-CN"/>
                <w14:textFill>
                  <w14:solidFill>
                    <w14:schemeClr w14:val="tx1"/>
                  </w14:solidFill>
                </w14:textFill>
              </w:rPr>
              <w:t>拉运</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提供</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B.生产工艺用水主要为配药用水</w:t>
            </w:r>
            <w:r>
              <w:rPr>
                <w:rFonts w:hint="eastAsia" w:cs="Times New Roman"/>
                <w:color w:val="000000" w:themeColor="text1"/>
                <w:spacing w:val="0"/>
                <w:sz w:val="24"/>
                <w:szCs w:val="24"/>
                <w:highlight w:val="none"/>
                <w:lang w:val="en-US" w:eastAsia="zh-CN"/>
                <w14:textFill>
                  <w14:solidFill>
                    <w14:schemeClr w14:val="tx1"/>
                  </w14:solidFill>
                </w14:textFill>
              </w:rPr>
              <w:t>及厂区内洒水。</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根据建设单位提供的资料，首个生产周期配药用水量约3.82m</w:t>
            </w:r>
            <w:r>
              <w:rPr>
                <w:rFonts w:hint="default" w:ascii="Times New Roman" w:hAnsi="Times New Roman" w:eastAsia="宋体" w:cs="Times New Roman"/>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，首个生产周期用水采用新鲜水，从第二个生产周期开始全部利用处理达标后的污水</w:t>
            </w:r>
            <w:r>
              <w:rPr>
                <w:rFonts w:hint="eastAsia" w:cs="Times New Roman"/>
                <w:color w:val="000000" w:themeColor="text1"/>
                <w:spacing w:val="0"/>
                <w:sz w:val="24"/>
                <w:szCs w:val="24"/>
                <w:highlight w:val="none"/>
                <w:lang w:val="en-US" w:eastAsia="zh-CN"/>
                <w14:textFill>
                  <w14:solidFill>
                    <w14:schemeClr w14:val="tx1"/>
                  </w14:solidFill>
                </w14:textFill>
              </w:rPr>
              <w:t>；运营期定期对厂区内道路及还原土堆场进行洒水抑尘，平均用水量按10m</w:t>
            </w:r>
            <w:r>
              <w:rPr>
                <w:rFonts w:hint="eastAsia" w:cs="Times New Roman"/>
                <w:color w:val="000000" w:themeColor="text1"/>
                <w:spacing w:val="0"/>
                <w:sz w:val="24"/>
                <w:szCs w:val="24"/>
                <w:highlight w:val="none"/>
                <w:vertAlign w:val="superscript"/>
                <w:lang w:val="en-US" w:eastAsia="zh-CN"/>
                <w14:textFill>
                  <w14:solidFill>
                    <w14:schemeClr w14:val="tx1"/>
                  </w14:solidFill>
                </w14:textFill>
              </w:rPr>
              <w:t>3</w:t>
            </w:r>
            <w:r>
              <w:rPr>
                <w:rFonts w:hint="eastAsia" w:cs="Times New Roman"/>
                <w:color w:val="000000" w:themeColor="text1"/>
                <w:spacing w:val="0"/>
                <w:sz w:val="24"/>
                <w:szCs w:val="24"/>
                <w:highlight w:val="none"/>
                <w:lang w:val="en-US" w:eastAsia="zh-CN"/>
                <w14:textFill>
                  <w14:solidFill>
                    <w14:schemeClr w14:val="tx1"/>
                  </w14:solidFill>
                </w14:textFill>
              </w:rPr>
              <w:t>/d计。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综上，本工程运营期用水总量为</w:t>
            </w:r>
            <w:r>
              <w:rPr>
                <w:rFonts w:hint="eastAsia" w:cs="Times New Roman"/>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183.82m</w:t>
            </w:r>
            <w:r>
              <w:rPr>
                <w:rFonts w:hint="default" w:ascii="Times New Roman" w:hAnsi="Times New Roman" w:eastAsia="宋体" w:cs="Times New Roman"/>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②排水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本工程运营期产生的废水包括水处理装置排水和工作人员产生的生活污水。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A.生活污水</w:t>
            </w:r>
            <w:r>
              <w:rPr>
                <w:rFonts w:hint="eastAsia"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生活污水产生量按用水量的80%计算，共0.48m</w:t>
            </w:r>
            <w:r>
              <w:rPr>
                <w:rFonts w:hint="default" w:ascii="Times New Roman" w:hAnsi="Times New Roman" w:eastAsia="宋体" w:cs="Times New Roman"/>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/d（144m³/a）。生活污水暂存于防渗化粪池，定期采用吸污车抽运至</w:t>
            </w:r>
            <w:r>
              <w:rPr>
                <w:rFonts w:hint="eastAsia"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尉犁县污水</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处理厂处理。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②工艺废水</w:t>
            </w:r>
            <w:r>
              <w:rPr>
                <w:rFonts w:hint="eastAsia"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生产废水</w:t>
            </w:r>
            <w:r>
              <w:rPr>
                <w:rFonts w:hint="eastAsia" w:cs="Times New Roman"/>
                <w:color w:val="000000" w:themeColor="text1"/>
                <w:spacing w:val="0"/>
                <w:sz w:val="24"/>
                <w:szCs w:val="24"/>
                <w:highlight w:val="none"/>
                <w:lang w:val="en-US" w:eastAsia="zh-CN"/>
                <w14:textFill>
                  <w14:solidFill>
                    <w14:schemeClr w14:val="tx1"/>
                  </w14:solidFill>
                </w14:textFill>
              </w:rPr>
              <w:t>经处理后</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回用于配药</w:t>
            </w:r>
            <w:r>
              <w:rPr>
                <w:rFonts w:hint="eastAsia" w:cs="Times New Roman"/>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全部循环利用，实现闭路循环，不对外排放。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水平衡图详见图2-1。</w:t>
            </w:r>
          </w:p>
          <w:p>
            <w:pPr>
              <w:pStyle w:val="2"/>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p>
            <w:pPr>
              <w:pStyle w:val="2"/>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p>
            <w:pPr>
              <w:pStyle w:val="2"/>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p>
            <w:pPr>
              <w:pStyle w:val="2"/>
              <w:rPr>
                <w:rFonts w:hint="default"/>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drawing>
                <wp:inline distT="0" distB="0" distL="114300" distR="114300">
                  <wp:extent cx="3429635" cy="2226310"/>
                  <wp:effectExtent l="0" t="0" r="0" b="0"/>
                  <wp:docPr id="14" name="ECB019B1-382A-4266-B25C-5B523AA43C14-1" descr="C:/Users/MyPC/AppData/Local/Temp/wps.SSKld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MyPC/AppData/Local/Temp/wps.SSKldawps"/>
                          <pic:cNvPicPr>
                            <a:picLocks noChangeAspect="1"/>
                          </pic:cNvPicPr>
                        </pic:nvPicPr>
                        <pic:blipFill>
                          <a:blip r:embed="rId9"/>
                          <a:stretch>
                            <a:fillRect/>
                          </a:stretch>
                        </pic:blipFill>
                        <pic:spPr>
                          <a:xfrm>
                            <a:off x="0" y="0"/>
                            <a:ext cx="3429635" cy="222631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0"/>
                <w:sz w:val="24"/>
                <w:szCs w:val="24"/>
                <w:highlight w:val="none"/>
                <w:lang w:val="en-US" w:eastAsia="zh-CN"/>
                <w14:textFill>
                  <w14:solidFill>
                    <w14:schemeClr w14:val="tx1"/>
                  </w14:solidFill>
                </w14:textFill>
              </w:rPr>
              <w:t xml:space="preserve">图2-1      项目水平衡图    </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 xml:space="preserve">    单位</w:t>
            </w:r>
            <w:r>
              <w:rPr>
                <w:rFonts w:hint="eastAsia" w:ascii="Times New Roman" w:hAnsi="Times New Roman" w:cs="Times New Roman"/>
                <w:b/>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（2）供电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本工程用电由附近电网提供。本项目年用电量约4.5万kWh。</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（3）供暖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aps w:val="0"/>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项目生产车间无需供暖，生活区采用电取暖。</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aps w:val="0"/>
                <w:color w:val="000000" w:themeColor="text1"/>
                <w:spacing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sz w:val="24"/>
                <w:highlight w:val="none"/>
                <w14:textFill>
                  <w14:solidFill>
                    <w14:schemeClr w14:val="tx1"/>
                  </w14:solidFill>
                </w14:textFill>
              </w:rPr>
              <w:t>工艺流程和产排污环节</w:t>
            </w:r>
          </w:p>
        </w:tc>
        <w:tc>
          <w:tcPr>
            <w:tcW w:w="8513" w:type="dxa"/>
            <w:tcBorders>
              <w:tl2br w:val="nil"/>
              <w:tr2bl w:val="nil"/>
            </w:tcBorders>
            <w:noWrap w:val="0"/>
            <w:vAlign w:val="top"/>
          </w:tcPr>
          <w:p>
            <w:pPr>
              <w:keepNext w:val="0"/>
              <w:keepLines w:val="0"/>
              <w:pageBreakBefore w:val="0"/>
              <w:kinsoku/>
              <w:wordWrap/>
              <w:overflowPunct/>
              <w:topLinePunct w:val="0"/>
              <w:bidi w:val="0"/>
              <w:adjustRightInd w:val="0"/>
              <w:snapToGrid w:val="0"/>
              <w:spacing w:line="360" w:lineRule="auto"/>
              <w:ind w:left="0" w:leftChars="0" w:right="0" w:rightChars="0"/>
              <w:textAlignment w:val="baseline"/>
              <w:rPr>
                <w:rFonts w:hint="default" w:ascii="Times New Roman" w:hAnsi="Times New Roman" w:eastAsia="宋体" w:cs="Times New Roman"/>
                <w:b/>
                <w:bCs/>
                <w:caps w:val="0"/>
                <w:color w:val="000000" w:themeColor="text1"/>
                <w:spacing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sz w:val="24"/>
                <w:highlight w:val="none"/>
                <w14:textFill>
                  <w14:solidFill>
                    <w14:schemeClr w14:val="tx1"/>
                  </w14:solidFill>
                </w14:textFill>
              </w:rPr>
              <w:t>运营期工艺流程</w:t>
            </w:r>
          </w:p>
          <w:p>
            <w:pPr>
              <w:pStyle w:val="302"/>
              <w:keepNext w:val="0"/>
              <w:keepLines w:val="0"/>
              <w:pageBreakBefore w:val="0"/>
              <w:wordWrap/>
              <w:overflowPunct/>
              <w:topLinePunct w:val="0"/>
              <w:bidi w:val="0"/>
              <w:adjustRightInd w:val="0"/>
              <w:snapToGrid w:val="0"/>
              <w:spacing w:line="360" w:lineRule="auto"/>
              <w:ind w:left="0" w:leftChars="0" w:right="0" w:rightChars="0"/>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1</w:t>
            </w:r>
            <w:r>
              <w:rPr>
                <w:rFonts w:hint="eastAsia" w:ascii="Times New Roman" w:hAnsi="Times New Roman" w:cs="Times New Roman"/>
                <w:b/>
                <w:bCs/>
                <w:color w:val="000000" w:themeColor="text1"/>
                <w:spacing w:val="0"/>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pacing w:val="0"/>
                <w:kern w:val="2"/>
                <w:sz w:val="24"/>
                <w:szCs w:val="24"/>
                <w:highlight w:val="none"/>
                <w:lang w:val="en-US" w:eastAsia="zh-CN" w:bidi="ar-SA"/>
                <w14:textFill>
                  <w14:solidFill>
                    <w14:schemeClr w14:val="tx1"/>
                  </w14:solidFill>
                </w14:textFill>
              </w:rPr>
              <w:t>磺化泥浆处理工艺比较</w:t>
            </w:r>
          </w:p>
          <w:p>
            <w:pPr>
              <w:pStyle w:val="30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本项目主要处理的磺化泥浆废弃物是指在油田钻井、试井及修井过程中产生的固体废弃物，主要包括岩屑和磺</w:t>
            </w:r>
            <w:r>
              <w:rPr>
                <w:rFonts w:hint="eastAsia" w:ascii="Times New Roman" w:hAnsi="Times New Roman" w:cs="Times New Roman"/>
                <w:color w:val="000000" w:themeColor="text1"/>
                <w:spacing w:val="0"/>
                <w:kern w:val="2"/>
                <w:sz w:val="24"/>
                <w:szCs w:val="24"/>
                <w:highlight w:val="none"/>
                <w:lang w:val="en-US" w:eastAsia="zh-CN" w:bidi="ar-SA"/>
                <w14:textFill>
                  <w14:solidFill>
                    <w14:schemeClr w14:val="tx1"/>
                  </w14:solidFill>
                </w14:textFill>
              </w:rPr>
              <w:t>化</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泥浆。目前处理磺化泥浆废弃物的方法主要有：高温氧化法、化学氧化法、化学水洗法、生物法等多种处理技术等，各种方法特点及对比分析见表2-</w:t>
            </w:r>
            <w:r>
              <w:rPr>
                <w:rFonts w:hint="eastAsia" w:ascii="Times New Roman" w:hAnsi="Times New Roman" w:cs="Times New Roman"/>
                <w:color w:val="000000" w:themeColor="text1"/>
                <w:spacing w:val="0"/>
                <w:kern w:val="2"/>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color w:val="000000" w:themeColor="text1"/>
                <w:spacing w:val="0"/>
                <w:kern w:val="2"/>
                <w:sz w:val="24"/>
                <w:szCs w:val="24"/>
                <w:highlight w:val="none"/>
                <w:lang w:val="en-US" w:eastAsia="zh-CN" w:bidi="ar-SA"/>
                <w14:textFill>
                  <w14:solidFill>
                    <w14:schemeClr w14:val="tx1"/>
                  </w14:solidFill>
                </w14:textFill>
              </w:rPr>
              <w:t>。</w:t>
            </w:r>
          </w:p>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表2-1</w:t>
            </w:r>
            <w:r>
              <w:rPr>
                <w:rFonts w:hint="eastAsia" w:ascii="Times New Roman" w:hAnsi="Times New Roman" w:cs="Times New Roman"/>
                <w:b/>
                <w:bCs/>
                <w:color w:val="000000" w:themeColor="text1"/>
                <w:spacing w:val="0"/>
                <w:kern w:val="2"/>
                <w:sz w:val="21"/>
                <w:szCs w:val="21"/>
                <w:highlight w:val="no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 xml:space="preserve">  </w:t>
            </w:r>
            <w:r>
              <w:rPr>
                <w:rFonts w:hint="eastAsia" w:ascii="Times New Roman" w:hAnsi="Times New Roman" w:cs="Times New Roman"/>
                <w:b/>
                <w:bCs/>
                <w:color w:val="000000" w:themeColor="text1"/>
                <w:spacing w:val="0"/>
                <w:kern w:val="2"/>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2"/>
                <w:sz w:val="21"/>
                <w:szCs w:val="21"/>
                <w:highlight w:val="none"/>
                <w:lang w:val="en-US" w:eastAsia="zh-CN" w:bidi="ar-SA"/>
                <w14:textFill>
                  <w14:solidFill>
                    <w14:schemeClr w14:val="tx1"/>
                  </w14:solidFill>
                </w14:textFill>
              </w:rPr>
              <w:t xml:space="preserve"> 磺化泥浆废弃物处理工艺介绍一览表</w:t>
            </w:r>
          </w:p>
          <w:tbl>
            <w:tblPr>
              <w:tblStyle w:val="29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9"/>
              <w:gridCol w:w="3674"/>
              <w:gridCol w:w="1489"/>
              <w:gridCol w:w="28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9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工艺</w:t>
                  </w:r>
                </w:p>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名称</w:t>
                  </w:r>
                </w:p>
              </w:tc>
              <w:tc>
                <w:tcPr>
                  <w:tcW w:w="2188"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工艺原理</w:t>
                  </w:r>
                </w:p>
              </w:tc>
              <w:tc>
                <w:tcPr>
                  <w:tcW w:w="88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技术经济指标</w:t>
                  </w:r>
                </w:p>
              </w:tc>
              <w:tc>
                <w:tcPr>
                  <w:tcW w:w="172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适用范围及优点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9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高温氧化法</w:t>
                  </w:r>
                </w:p>
              </w:tc>
              <w:tc>
                <w:tcPr>
                  <w:tcW w:w="2188"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通过加热使岩屑及泥浆中有机物分解为水和二氧化碳等无害物质</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并通过添加无害化药剂，使无机污染物被络合、螯合，达到消除污染，环保达标的目的</w:t>
                  </w:r>
                </w:p>
              </w:tc>
              <w:tc>
                <w:tcPr>
                  <w:tcW w:w="88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处理后污泥含油率≤1%，处理后污泥中含水率小于50%。处理成本400元/m</w:t>
                  </w:r>
                  <w:r>
                    <w:rPr>
                      <w:rFonts w:hint="default" w:ascii="Times New Roman" w:hAnsi="Times New Roman" w:eastAsia="宋体" w:cs="Times New Roman"/>
                      <w:color w:val="000000" w:themeColor="text1"/>
                      <w:spacing w:val="0"/>
                      <w:highlight w:val="none"/>
                      <w:vertAlign w:val="superscript"/>
                      <w14:textFill>
                        <w14:solidFill>
                          <w14:schemeClr w14:val="tx1"/>
                        </w14:solidFill>
                      </w14:textFill>
                    </w:rPr>
                    <w:t>3</w:t>
                  </w:r>
                </w:p>
              </w:tc>
              <w:tc>
                <w:tcPr>
                  <w:tcW w:w="172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适用于磺化泥浆废弃物的处理，效果好且比较稳定</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有机物除去彻底</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排出的固体无需晾晒，可直接用于铺设道路等</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没有二次污染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9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化学氧化法</w:t>
                  </w:r>
                </w:p>
              </w:tc>
              <w:tc>
                <w:tcPr>
                  <w:tcW w:w="2188"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通过向岩屑及泥浆中添加由多种成分构成的无害化处理剂，催化分解烃类等有机污染物，稳定和去除重金属元素等无机污染物，调节pH值，改变废弃物的物理-化学性质，最终生成具有一定机械强度、可以满足标准的类土壤产物，从而达到无害化</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减量化的目的</w:t>
                  </w:r>
                </w:p>
              </w:tc>
              <w:tc>
                <w:tcPr>
                  <w:tcW w:w="88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处理后污泥含油率≤2%，处理后污泥中含水率小于60%。处理成本750元/m</w:t>
                  </w:r>
                  <w:r>
                    <w:rPr>
                      <w:rFonts w:hint="default" w:ascii="Times New Roman" w:hAnsi="Times New Roman" w:eastAsia="宋体" w:cs="Times New Roman"/>
                      <w:color w:val="000000" w:themeColor="text1"/>
                      <w:spacing w:val="0"/>
                      <w:highlight w:val="none"/>
                      <w:vertAlign w:val="superscript"/>
                      <w14:textFill>
                        <w14:solidFill>
                          <w14:schemeClr w14:val="tx1"/>
                        </w14:solidFill>
                      </w14:textFill>
                    </w:rPr>
                    <w:t>3</w:t>
                  </w:r>
                </w:p>
              </w:tc>
              <w:tc>
                <w:tcPr>
                  <w:tcW w:w="172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适用于含重金属、有机物等含量均较高的磺化泥浆废弃物。处理效果好</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排出的固体达到农用土壤标准</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直接用于绿化等</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能耗低，需总功率约500kW</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能回收部分原油</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没有二次污染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9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化学水洗法</w:t>
                  </w:r>
                </w:p>
              </w:tc>
              <w:tc>
                <w:tcPr>
                  <w:tcW w:w="2188"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有机物氧化、重金属包裏</w:t>
                  </w:r>
                </w:p>
              </w:tc>
              <w:tc>
                <w:tcPr>
                  <w:tcW w:w="88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处理后污泥含油率≤2%，处理后污泥中含水率小于60%</w:t>
                  </w:r>
                </w:p>
              </w:tc>
              <w:tc>
                <w:tcPr>
                  <w:tcW w:w="172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适用于磺化泥浆废弃物的处理</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处理工艺简单、彻底、产能高、能耗低、成本低、排放水可循环利用及灌溉、处理后的固相可用于种植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9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center"/>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生物法</w:t>
                  </w:r>
                </w:p>
              </w:tc>
              <w:tc>
                <w:tcPr>
                  <w:tcW w:w="2188"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将固废集中起来，通过加入适宜的菌种和营养物质，定期翻耕，靠微生物的新陈代谢作用将固废中剩余的碳氢化合物降解，从而达到深度处理的要求</w:t>
                  </w:r>
                </w:p>
              </w:tc>
              <w:tc>
                <w:tcPr>
                  <w:tcW w:w="887"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处理后污泥含油率≤2%，处理后污泥中含水率小于80%。处理成本600元/m</w:t>
                  </w:r>
                  <w:r>
                    <w:rPr>
                      <w:rFonts w:hint="default" w:ascii="Times New Roman" w:hAnsi="Times New Roman" w:eastAsia="宋体" w:cs="Times New Roman"/>
                      <w:color w:val="000000" w:themeColor="text1"/>
                      <w:spacing w:val="0"/>
                      <w:highlight w:val="none"/>
                      <w:vertAlign w:val="superscript"/>
                      <w14:textFill>
                        <w14:solidFill>
                          <w14:schemeClr w14:val="tx1"/>
                        </w14:solidFill>
                      </w14:textFill>
                    </w:rPr>
                    <w:t>3</w:t>
                  </w:r>
                </w:p>
              </w:tc>
              <w:tc>
                <w:tcPr>
                  <w:tcW w:w="1726" w:type="pct"/>
                  <w:tcBorders>
                    <w:tl2br w:val="nil"/>
                    <w:tr2bl w:val="nil"/>
                  </w:tcBorders>
                  <w:noWrap w:val="0"/>
                  <w:vAlign w:val="center"/>
                </w:tcPr>
                <w:p>
                  <w:pPr>
                    <w:keepNext w:val="0"/>
                    <w:keepLines w:val="0"/>
                    <w:pageBreakBefore w:val="0"/>
                    <w:wordWrap/>
                    <w:overflowPunct/>
                    <w:topLinePunct w:val="0"/>
                    <w:bidi w:val="0"/>
                    <w:adjustRightInd w:val="0"/>
                    <w:snapToGrid w:val="0"/>
                    <w:ind w:left="0" w:leftChars="0" w:right="0" w:rightChars="0"/>
                    <w:jc w:val="both"/>
                    <w:rPr>
                      <w:rFonts w:hint="default" w:ascii="Times New Roman" w:hAnsi="Times New Roman" w:eastAsia="宋体" w:cs="Times New Roman"/>
                      <w:color w:val="000000" w:themeColor="text1"/>
                      <w:spacing w:val="0"/>
                      <w:highlight w:val="none"/>
                      <w14:textFill>
                        <w14:solidFill>
                          <w14:schemeClr w14:val="tx1"/>
                        </w14:solidFill>
                      </w14:textFill>
                    </w:rPr>
                  </w:pPr>
                  <w:r>
                    <w:rPr>
                      <w:rFonts w:hint="default" w:ascii="Times New Roman" w:hAnsi="Times New Roman" w:eastAsia="宋体" w:cs="Times New Roman"/>
                      <w:color w:val="000000" w:themeColor="text1"/>
                      <w:spacing w:val="0"/>
                      <w:highlight w:val="none"/>
                      <w14:textFill>
                        <w14:solidFill>
                          <w14:schemeClr w14:val="tx1"/>
                        </w14:solidFill>
                      </w14:textFill>
                    </w:rPr>
                    <w:t>适用于含油量不高的磺化泥浆废弃物处理。避免污染物的多次转移，是一种消除污染安全而彻底的方法</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能耗低</w:t>
                  </w:r>
                  <w:r>
                    <w:rPr>
                      <w:rFonts w:hint="eastAsia" w:cs="Times New Roman"/>
                      <w:color w:val="000000" w:themeColor="text1"/>
                      <w:spacing w:val="0"/>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highlight w:val="none"/>
                      <w14:textFill>
                        <w14:solidFill>
                          <w14:schemeClr w14:val="tx1"/>
                        </w14:solidFill>
                      </w14:textFill>
                    </w:rPr>
                    <w:t>处理成本低，绿色环保</w:t>
                  </w:r>
                </w:p>
              </w:tc>
            </w:tr>
          </w:tbl>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本项目采用化学氧化法对磺化泥浆废弃物进行处理，排出的固体可</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用于</w:t>
            </w:r>
            <w:r>
              <w:rPr>
                <w:rFonts w:hint="eastAsia" w:cs="Times New Roman"/>
                <w:color w:val="000000" w:themeColor="text1"/>
                <w:spacing w:val="0"/>
                <w:sz w:val="24"/>
                <w:szCs w:val="24"/>
                <w:highlight w:val="none"/>
                <w:lang w:val="en-US" w:eastAsia="zh-CN"/>
                <w14:textFill>
                  <w14:solidFill>
                    <w14:schemeClr w14:val="tx1"/>
                  </w14:solidFill>
                </w14:textFill>
              </w:rPr>
              <w:t>铺设服务油田生产的各种内部道路</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、铺垫井场或用作固废场封场覆土等途径综合利用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pPr>
              <w:keepNext w:val="0"/>
              <w:keepLines w:val="0"/>
              <w:pageBreakBefore w:val="0"/>
              <w:wordWrap/>
              <w:overflowPunct/>
              <w:topLinePunct w:val="0"/>
              <w:bidi w:val="0"/>
              <w:adjustRightInd w:val="0"/>
              <w:snapToGrid w:val="0"/>
              <w:spacing w:line="360" w:lineRule="auto"/>
              <w:ind w:left="0" w:leftChars="0" w:right="0" w:rightChars="0"/>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2</w:t>
            </w:r>
            <w:r>
              <w:rPr>
                <w:rFonts w:hint="eastAsia" w:cs="Times New Roman"/>
                <w:b/>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工艺流程图</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本项目通过对钻井废弃磺化泥浆进行氧化、絮凝等处理。</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其工艺流程及产污环节图详见图</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t>。</w:t>
            </w:r>
          </w:p>
          <w:p>
            <w:pPr>
              <w:keepNext w:val="0"/>
              <w:keepLines w:val="0"/>
              <w:pageBreakBefore w:val="0"/>
              <w:wordWrap/>
              <w:overflowPunct/>
              <w:topLinePunct w:val="0"/>
              <w:bidi w:val="0"/>
              <w:adjustRightInd w:val="0"/>
              <w:snapToGrid w:val="0"/>
              <w:spacing w:line="360" w:lineRule="auto"/>
              <w:ind w:left="0" w:leftChars="0" w:right="0" w:rightChars="0" w:firstLine="0" w:firstLineChars="0"/>
              <w:jc w:val="cente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eastAsia="zh-CN"/>
                <w14:textFill>
                  <w14:solidFill>
                    <w14:schemeClr w14:val="tx1"/>
                  </w14:solidFill>
                </w14:textFill>
              </w:rPr>
              <w:drawing>
                <wp:inline distT="0" distB="0" distL="114300" distR="114300">
                  <wp:extent cx="5327015" cy="3566795"/>
                  <wp:effectExtent l="0" t="0" r="0" b="0"/>
                  <wp:docPr id="12" name="ECB019B1-382A-4266-B25C-5B523AA43C14-2" descr="C:/Users/MyPC/AppData/Local/Temp/wps.YRsaV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2" descr="C:/Users/MyPC/AppData/Local/Temp/wps.YRsaVbwps"/>
                          <pic:cNvPicPr>
                            <a:picLocks noChangeAspect="1"/>
                          </pic:cNvPicPr>
                        </pic:nvPicPr>
                        <pic:blipFill>
                          <a:blip r:embed="rId10"/>
                          <a:stretch>
                            <a:fillRect/>
                          </a:stretch>
                        </pic:blipFill>
                        <pic:spPr>
                          <a:xfrm>
                            <a:off x="0" y="0"/>
                            <a:ext cx="5327015" cy="3566795"/>
                          </a:xfrm>
                          <a:prstGeom prst="rect">
                            <a:avLst/>
                          </a:prstGeom>
                        </pic:spPr>
                      </pic:pic>
                    </a:graphicData>
                  </a:graphic>
                </wp:inline>
              </w:drawing>
            </w:r>
          </w:p>
          <w:p>
            <w:pPr>
              <w:keepNext w:val="0"/>
              <w:keepLines w:val="0"/>
              <w:pageBreakBefore w:val="0"/>
              <w:kinsoku/>
              <w:wordWrap/>
              <w:overflowPunct/>
              <w:topLinePunct w:val="0"/>
              <w:bidi w:val="0"/>
              <w:adjustRightInd w:val="0"/>
              <w:snapToGrid w:val="0"/>
              <w:spacing w:line="360" w:lineRule="auto"/>
              <w:ind w:left="0" w:leftChars="0" w:right="0" w:rightChars="0"/>
              <w:jc w:val="cente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lang w:eastAsia="zh-CN"/>
                <w14:textFill>
                  <w14:solidFill>
                    <w14:schemeClr w14:val="tx1"/>
                  </w14:solidFill>
                </w14:textFill>
              </w:rPr>
              <w:t>图</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2-</w:t>
            </w:r>
            <w:r>
              <w:rPr>
                <w:rFonts w:hint="eastAsia" w:cs="Times New Roman"/>
                <w:b/>
                <w:bCs/>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 xml:space="preserve"> 本项目工艺流程图工艺流程及产污环节图</w:t>
            </w:r>
          </w:p>
          <w:p>
            <w:pPr>
              <w:keepNext w:val="0"/>
              <w:keepLines w:val="0"/>
              <w:pageBreakBefore w:val="0"/>
              <w:kinsoku/>
              <w:wordWrap/>
              <w:overflowPunct/>
              <w:topLinePunct w:val="0"/>
              <w:bidi w:val="0"/>
              <w:adjustRightInd w:val="0"/>
              <w:snapToGrid w:val="0"/>
              <w:spacing w:line="360" w:lineRule="auto"/>
              <w:ind w:left="0" w:leftChars="0" w:right="0" w:rightChars="0"/>
              <w:jc w:val="both"/>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工艺简述</w:t>
            </w:r>
            <w:r>
              <w:rPr>
                <w:rFonts w:hint="eastAsia"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本项目采用压滤分离工艺对井场水基钻屑及废弃泥浆采用泥浆絮凝及带式压滤分离进行无害化处理，处理后的干基满足满足《油气田钻井固体废物综合利用污染控制要求》（DB65/T 3997-2017）中综合利用污染物限值要求和《土壤环境质量 建设用地土壤污染风险管控标准（试行）》（GB36600-2018）第二类用地土壤污染风险筛选值要求，用于铺设服务油田生产的各种内部道路、铺垫井场、固废场封场覆土等。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工艺流程简述：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cs="Times New Roman"/>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破胶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钻井固液废弃物首先进入</w:t>
            </w:r>
            <w:r>
              <w:rPr>
                <w:rFonts w:hint="eastAsia" w:cs="Times New Roman"/>
                <w:color w:val="000000" w:themeColor="text1"/>
                <w:spacing w:val="0"/>
                <w:sz w:val="24"/>
                <w:szCs w:val="24"/>
                <w:highlight w:val="none"/>
                <w:lang w:val="en-US" w:eastAsia="zh-CN"/>
                <w14:textFill>
                  <w14:solidFill>
                    <w14:schemeClr w14:val="tx1"/>
                  </w14:solidFill>
                </w14:textFill>
              </w:rPr>
              <w:t>岩屑处理池暂存</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然后泵入破胶氧化罐，加入聚合氯化铝后进行搅拌，由于水基钻井废弃物中的固相膨润土的吸水率强，颗粒表面积大，吸附阴离子而形成负溶胶。向水基钻井废弃物中投放破胶剂，使水基钻井废弃物胶体脱稳而凝聚，从而达到泥水分离的目的。本项目原料由堆场泵入破胶罐均为密闭进行，粉尘排放极少。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固液分离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钻井固液废弃物加入破胶剂、氧化剂药剂进行脱稳后，钻井固液废弃物中的水分子已经从化学结合水转变为游离状态的物理结合水，再利用压滤机将其中的水相分离脱出。本项目分离出的生产废水</w:t>
            </w:r>
            <w:r>
              <w:rPr>
                <w:rFonts w:hint="eastAsia" w:cs="Times New Roman"/>
                <w:color w:val="000000" w:themeColor="text1"/>
                <w:spacing w:val="0"/>
                <w:sz w:val="24"/>
                <w:szCs w:val="24"/>
                <w:highlight w:val="none"/>
                <w:lang w:val="en-US" w:eastAsia="zh-CN"/>
                <w14:textFill>
                  <w14:solidFill>
                    <w14:schemeClr w14:val="tx1"/>
                  </w14:solidFill>
                </w14:textFill>
              </w:rPr>
              <w:t>经污水处理站处理后回用</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eastAsia" w:cs="Times New Roman"/>
                <w:color w:val="000000" w:themeColor="text1"/>
                <w:spacing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 检测，外运</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 xml:space="preserve">分离出的干基暂存于待检物料存放区， 由建设单位委托第三方检测机构对压滤后干基进行了检测，各项指标满足《油气田钻井固体废物综合利用污染控制要求》(DB 65/T3997-2017) </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《土壤环境质量 建设用地土壤污染风险管控标准（试行）》（GB36600-2018）第二类用地土壤污染风险筛选值要求</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后直接进入合格物料存放区暂存，并及时资源化利用。</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本项目堆场采用</w:t>
            </w:r>
            <w:r>
              <w:rPr>
                <w:rFonts w:hint="eastAsia" w:cs="Times New Roman"/>
                <w:color w:val="000000" w:themeColor="text1"/>
                <w:spacing w:val="0"/>
                <w:sz w:val="24"/>
                <w:szCs w:val="24"/>
                <w:highlight w:val="none"/>
                <w:lang w:val="en-US" w:eastAsia="zh-CN"/>
                <w14:textFill>
                  <w14:solidFill>
                    <w14:schemeClr w14:val="tx1"/>
                  </w14:solidFill>
                </w14:textFill>
              </w:rPr>
              <w:t>围挡加</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防尘网遮盖、定期洒水和及时外运，运输干基车辆采取遮盖、密闭措施，减少其沿途遗洒，及时清扫散落在路面的泥土和灰尘，同时在大风天气</w:t>
            </w:r>
            <w:r>
              <w:rPr>
                <w:rFonts w:hint="eastAsia" w:cs="Times New Roman"/>
                <w:color w:val="000000" w:themeColor="text1"/>
                <w:spacing w:val="0"/>
                <w:sz w:val="24"/>
                <w:szCs w:val="24"/>
                <w:highlight w:val="none"/>
                <w:lang w:val="en-US" w:eastAsia="zh-CN"/>
                <w14:textFill>
                  <w14:solidFill>
                    <w14:schemeClr w14:val="tx1"/>
                  </w14:solidFill>
                </w14:textFill>
              </w:rPr>
              <w:t>减</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少作业强度，可以进一步减少扬尘的产生量；噪声污染源主要项目的噪声源主要为运输车辆及设备的运行噪声，生 产区设备为露天布置，采取消声、减振等措施进行治理。</w:t>
            </w:r>
          </w:p>
          <w:p>
            <w:pPr>
              <w:keepNext w:val="0"/>
              <w:keepLines w:val="0"/>
              <w:pageBreakBefore w:val="0"/>
              <w:kinsoku/>
              <w:wordWrap/>
              <w:overflowPunct/>
              <w:topLinePunct w:val="0"/>
              <w:bidi w:val="0"/>
              <w:adjustRightInd w:val="0"/>
              <w:snapToGrid w:val="0"/>
              <w:spacing w:line="360" w:lineRule="auto"/>
              <w:ind w:left="0" w:leftChars="0" w:right="0" w:rightChars="0"/>
              <w:jc w:val="both"/>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3</w:t>
            </w:r>
            <w:r>
              <w:rPr>
                <w:rFonts w:hint="eastAsia" w:cs="Times New Roman"/>
                <w:b/>
                <w:bCs/>
                <w:color w:val="000000" w:themeColor="text1"/>
                <w:spacing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color w:val="000000" w:themeColor="text1"/>
                <w:spacing w:val="0"/>
                <w:sz w:val="24"/>
                <w:szCs w:val="24"/>
                <w:highlight w:val="none"/>
                <w:lang w:val="en-US" w:eastAsia="zh-CN"/>
                <w14:textFill>
                  <w14:solidFill>
                    <w14:schemeClr w14:val="tx1"/>
                  </w14:solidFill>
                </w14:textFill>
              </w:rPr>
              <w:t>技术可行性及适用性</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（1）工艺机理及可行性</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本工程拟采用的处理工艺为化学强化固液分离处理工艺，属于《油气田含油污泥及钻井固体废物处理处置技术规范》（DB65/T 3999-2017）中所列工艺之一。</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即通过添加化学药剂实现废弃泥浆及岩屑的脱稳、絮凝后进行固液分离，达到废弃泥浆及岩屑无害化目的的处理过程。</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（2）泥浆脱稳</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①机理</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废弃泥浆在聚合氯化铝和氯化铝的作用下，铝离子带有正电荷，具有强烈电中和水中胶体物质的作用，从而使泥浆胶体失去稳定作用，导致泥水分离，泥土颗粒上的有机物等尽量进入液相。其次，聚合氯化铝等的水解产物对水中悬浮物具有优良架桥吸附作用，使水中的颗粒聚集变大后沉降到固相。加入聚丙烯酰胺溶液是为了加快泥水静置分离速度。如果废弃泥浆特别稳定时，加入少量氧化剂氯化铁可破坏导致泥浆稳定的高分子等有机物。</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②反应方程式</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泥浆脱稳过程主要牵扯到物理反应过程，其化学过程主要有：</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聚合氯化铝的水解过程：Al</w:t>
            </w:r>
            <w:r>
              <w:rPr>
                <w:rFonts w:hint="default" w:ascii="Times New Roman" w:hAnsi="Times New Roman" w:eastAsia="宋体" w:cs="Times New Roman"/>
                <w:b w:val="0"/>
                <w:bCs w:val="0"/>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 xml:space="preserve"> + 3H</w:t>
            </w:r>
            <w:r>
              <w:rPr>
                <w:rFonts w:hint="default" w:ascii="Times New Roman" w:hAnsi="Times New Roman" w:eastAsia="宋体" w:cs="Times New Roman"/>
                <w:b w:val="0"/>
                <w:bCs w:val="0"/>
                <w:color w:val="000000" w:themeColor="text1"/>
                <w:spacing w:val="0"/>
                <w:sz w:val="24"/>
                <w:szCs w:val="24"/>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O &lt;==&gt; Al(OH)</w:t>
            </w:r>
            <w:r>
              <w:rPr>
                <w:rFonts w:hint="default" w:ascii="Times New Roman" w:hAnsi="Times New Roman" w:eastAsia="宋体" w:cs="Times New Roman"/>
                <w:b w:val="0"/>
                <w:bCs w:val="0"/>
                <w:color w:val="000000" w:themeColor="text1"/>
                <w:spacing w:val="0"/>
                <w:sz w:val="24"/>
                <w:szCs w:val="24"/>
                <w:highlight w:val="none"/>
                <w:vertAlign w:val="superscript"/>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 xml:space="preserve"> + 3H</w:t>
            </w:r>
            <w:r>
              <w:rPr>
                <w:rFonts w:hint="default" w:ascii="Times New Roman" w:hAnsi="Times New Roman" w:eastAsia="宋体" w:cs="Times New Roman"/>
                <w:b w:val="0"/>
                <w:bCs w:val="0"/>
                <w:color w:val="000000" w:themeColor="text1"/>
                <w:spacing w:val="0"/>
                <w:sz w:val="24"/>
                <w:szCs w:val="24"/>
                <w:highlight w:val="none"/>
                <w:vertAlign w:val="superscript"/>
                <w:lang w:val="en-US"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Mn</w:t>
            </w:r>
            <w:r>
              <w:rPr>
                <w:rFonts w:hint="default" w:ascii="Times New Roman" w:hAnsi="Times New Roman" w:eastAsia="宋体" w:cs="Times New Roman"/>
                <w:b w:val="0"/>
                <w:bCs w:val="0"/>
                <w:color w:val="000000" w:themeColor="text1"/>
                <w:spacing w:val="0"/>
                <w:sz w:val="24"/>
                <w:szCs w:val="24"/>
                <w:highlight w:val="none"/>
                <w:vertAlign w:val="superscript"/>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 xml:space="preserve"> + nOH</w:t>
            </w:r>
            <w:r>
              <w:rPr>
                <w:rFonts w:hint="default" w:ascii="Times New Roman" w:hAnsi="Times New Roman" w:eastAsia="宋体" w:cs="Times New Roman"/>
                <w:b w:val="0"/>
                <w:bCs w:val="0"/>
                <w:color w:val="000000" w:themeColor="text1"/>
                <w:spacing w:val="0"/>
                <w:sz w:val="24"/>
                <w:szCs w:val="24"/>
                <w:highlight w:val="none"/>
                <w:vertAlign w:val="superscript"/>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 xml:space="preserve"> → M</w:t>
            </w:r>
            <w:r>
              <w:rPr>
                <w:rFonts w:hint="default" w:ascii="Times New Roman" w:hAnsi="Times New Roman" w:eastAsia="宋体" w:cs="Times New Roman"/>
                <w:b w:val="0"/>
                <w:bCs w:val="0"/>
                <w:color w:val="000000" w:themeColor="text1"/>
                <w:spacing w:val="0"/>
                <w:sz w:val="24"/>
                <w:szCs w:val="24"/>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(OH)↓（Mn为有害金属离子）</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③达标可行性、可靠性、先进性</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A从原理上，絮凝可使胶体脱稳，符合理论基础。</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B从实践上，在众多泥浆案例中应用了絮凝（加氧化）使泥浆胶体脱稳，完全达到处理要求。</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eastAsia" w:cs="Times New Roman"/>
                <w:b w:val="0"/>
                <w:bCs w:val="0"/>
                <w:color w:val="000000" w:themeColor="text1"/>
                <w:spacing w:val="0"/>
                <w:sz w:val="24"/>
                <w:szCs w:val="24"/>
                <w:highlight w:val="none"/>
                <w:lang w:val="en-US" w:eastAsia="zh-CN"/>
                <w14:textFill>
                  <w14:solidFill>
                    <w14:schemeClr w14:val="tx1"/>
                  </w14:solidFill>
                </w14:textFill>
              </w:rPr>
              <w:t>C</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从装置设计上，考虑充分，设计合理可行：搅拌是为了充分将泥浆和药剂混合均匀，药剂充分发挥作用；两个</w:t>
            </w:r>
            <w:r>
              <w:rPr>
                <w:rFonts w:hint="eastAsia"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岩屑处理池</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轮换操作，保证充分的沉降时间。</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eastAsia" w:cs="Times New Roman"/>
                <w:b w:val="0"/>
                <w:bCs w:val="0"/>
                <w:color w:val="000000" w:themeColor="text1"/>
                <w:spacing w:val="0"/>
                <w:sz w:val="24"/>
                <w:szCs w:val="24"/>
                <w:highlight w:val="none"/>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从操作工艺上进行严格把关：新到的泥浆先进行检测，确定最佳的加药配方和工艺参数，保证处理效果达到设定目标。操作时，及时检测处理效果，如没有达到预期目标，及时调整处理工艺，如增加加药量等。</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（3）泥水分离系统</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脱稳泥浆中的水由水泵泵入污水池，泥饼采用离心机脱水后进入还原土堆场，泥饼含水率低于45%，完全符合标准要求。</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（4）废水处理系统</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①废水中有机物去除机理</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废弃泥浆中的有机物进入了液相，经过絮凝的液相调节pH值后，加入药剂后使之絮凝、吸附、氧化等多种作用从而使有机物等发生降解反应，进而使水中COD降低，部分毒性物质被去除。</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②达标可行性、可靠性、先进性</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A.从原理上，废水的絮凝处理、氧化处理都是可行处理方式，也经过了多年的实践，验证是可行的。</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B.从操作工艺上进行处理效果把关：运行时，严格确保工艺参数；及时检查各个废水处理工段的处理效果，发现问题，及时解决。</w:t>
            </w:r>
          </w:p>
          <w:p>
            <w:pPr>
              <w:keepNext w:val="0"/>
              <w:keepLines w:val="0"/>
              <w:pageBreakBefore w:val="0"/>
              <w:numPr>
                <w:ilvl w:val="0"/>
                <w:numId w:val="0"/>
              </w:numPr>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pacing w:val="0"/>
                <w:kern w:val="0"/>
                <w:sz w:val="24"/>
                <w:szCs w:val="24"/>
                <w:highlight w:val="none"/>
                <w:lang w:val="en-US" w:eastAsia="zh-CN" w:bidi="ar"/>
                <w14:textFill>
                  <w14:solidFill>
                    <w14:schemeClr w14:val="tx1"/>
                  </w14:solidFill>
                </w14:textFill>
              </w:rPr>
              <w:t>（5）适用性</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经类比</w:t>
            </w:r>
            <w:r>
              <w:rPr>
                <w:rFonts w:hint="eastAsia" w:ascii="Times New Roman" w:hAnsi="Times New Roman" w:eastAsia="宋体" w:cs="Times New Roman"/>
                <w:b w:val="0"/>
                <w:bCs w:val="0"/>
                <w:color w:val="000000" w:themeColor="text1"/>
                <w:spacing w:val="0"/>
                <w:sz w:val="24"/>
                <w:szCs w:val="24"/>
                <w:highlight w:val="none"/>
                <w:lang w:eastAsia="zh-CN"/>
                <w14:textFill>
                  <w14:solidFill>
                    <w14:schemeClr w14:val="tx1"/>
                  </w14:solidFill>
                </w14:textFill>
              </w:rPr>
              <w:t>“ 尉犁县三和源石油工程建设有限责任公司尉犁分公司</w:t>
            </w:r>
            <w:r>
              <w:rPr>
                <w:rFonts w:hint="eastAsia"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自行监测</w:t>
            </w:r>
            <w:r>
              <w:rPr>
                <w:rFonts w:hint="eastAsia" w:ascii="Times New Roman" w:hAnsi="Times New Roman" w:eastAsia="宋体" w:cs="Times New Roman"/>
                <w:b w:val="0"/>
                <w:bCs w:val="0"/>
                <w:color w:val="000000" w:themeColor="text1"/>
                <w:spacing w:val="0"/>
                <w:sz w:val="24"/>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中数据，</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原料组分与本项目相似；处理规模为</w:t>
            </w:r>
            <w:r>
              <w:rPr>
                <w:rFonts w:hint="eastAsia"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20万</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m</w:t>
            </w:r>
            <w:r>
              <w:rPr>
                <w:rFonts w:hint="default" w:ascii="Times New Roman" w:hAnsi="Times New Roman" w:eastAsia="宋体" w:cs="Times New Roman"/>
                <w:b w:val="0"/>
                <w:bCs w:val="0"/>
                <w:color w:val="000000" w:themeColor="text1"/>
                <w:spacing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a</w:t>
            </w:r>
            <w:r>
              <w:rPr>
                <w:rFonts w:hint="default" w:ascii="Times New Roman" w:hAnsi="Times New Roman" w:eastAsia="宋体" w:cs="Times New Roman"/>
                <w:b w:val="0"/>
                <w:bCs w:val="0"/>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进场磺化泥浆密度</w:t>
            </w:r>
            <w:r>
              <w:rPr>
                <w:rFonts w:hint="default" w:ascii="Times New Roman" w:hAnsi="Times New Roman" w:eastAsia="宋体" w:cs="Times New Roman"/>
                <w:b w:val="0"/>
                <w:bCs w:val="0"/>
                <w:color w:val="000000" w:themeColor="text1"/>
                <w:spacing w:val="0"/>
                <w:sz w:val="24"/>
                <w:szCs w:val="24"/>
                <w:highlight w:val="none"/>
                <w:lang w:val="en-US" w:eastAsia="zh-CN"/>
                <w14:textFill>
                  <w14:solidFill>
                    <w14:schemeClr w14:val="tx1"/>
                  </w14:solidFill>
                </w14:textFill>
              </w:rPr>
              <w:t>1.5t/m</w:t>
            </w:r>
            <w:r>
              <w:rPr>
                <w:rFonts w:hint="default" w:ascii="Times New Roman" w:hAnsi="Times New Roman" w:eastAsia="宋体" w:cs="Times New Roman"/>
                <w:b w:val="0"/>
                <w:bCs w:val="0"/>
                <w:color w:val="000000" w:themeColor="text1"/>
                <w:spacing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，处置工艺原理与本项目化学氧化工艺原理相似</w:t>
            </w:r>
            <w:r>
              <w:rPr>
                <w:rFonts w:hint="eastAsia" w:cs="Times New Roman"/>
                <w:b w:val="0"/>
                <w:bCs w:val="0"/>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。该站处置后的固体废物检测结果见表2-1</w:t>
            </w:r>
            <w:r>
              <w:rPr>
                <w:rFonts w:hint="eastAsia" w:cs="Times New Roman"/>
                <w:b w:val="0"/>
                <w:bCs w:val="0"/>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0"/>
                <w:sz w:val="24"/>
                <w:szCs w:val="24"/>
                <w:highlight w:val="none"/>
                <w14:textFill>
                  <w14:solidFill>
                    <w14:schemeClr w14:val="tx1"/>
                  </w14:solidFill>
                </w14:textFill>
              </w:rPr>
              <w:t>。</w:t>
            </w:r>
          </w:p>
          <w:p>
            <w:pPr>
              <w:pStyle w:val="302"/>
              <w:keepNext w:val="0"/>
              <w:keepLines w:val="0"/>
              <w:pageBreakBefore w:val="0"/>
              <w:widowControl w:val="0"/>
              <w:kinsoku/>
              <w:wordWrap/>
              <w:overflowPunct/>
              <w:topLinePunct w:val="0"/>
              <w:autoSpaceDE/>
              <w:autoSpaceDN/>
              <w:bidi w:val="0"/>
              <w:adjustRightInd w:val="0"/>
              <w:snapToGrid w:val="0"/>
              <w:spacing w:line="214"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t>表2-1</w:t>
            </w:r>
            <w:r>
              <w:rPr>
                <w:rFonts w:hint="eastAsia" w:ascii="Times New Roman" w:hAnsi="Times New Roman" w:cs="Times New Roman"/>
                <w:b/>
                <w:bCs/>
                <w:color w:val="000000" w:themeColor="text1"/>
                <w:spacing w:val="0"/>
                <w:kern w:val="0"/>
                <w:sz w:val="21"/>
                <w:szCs w:val="21"/>
                <w:highlight w:val="none"/>
                <w:lang w:val="en-US" w:eastAsia="zh-CN" w:bidi="ar"/>
                <w14:textFill>
                  <w14:solidFill>
                    <w14:schemeClr w14:val="tx1"/>
                  </w14:solidFill>
                </w14:textFill>
              </w:rPr>
              <w:t xml:space="preserve">2            </w:t>
            </w:r>
            <w:r>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处置后固体废物检测结果</w:t>
            </w:r>
          </w:p>
          <w:tbl>
            <w:tblPr>
              <w:tblStyle w:val="291"/>
              <w:tblW w:w="5000"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25"/>
              <w:gridCol w:w="1151"/>
              <w:gridCol w:w="3956"/>
              <w:gridCol w:w="667"/>
              <w:gridCol w:w="49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t>污染源</w:t>
                  </w: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t>还原土</w:t>
                  </w:r>
                </w:p>
              </w:tc>
              <w:tc>
                <w:tcPr>
                  <w:tcW w:w="23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t>执行标准</w:t>
                  </w:r>
                </w:p>
              </w:tc>
              <w:tc>
                <w:tcPr>
                  <w:tcW w:w="3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t>标准限值</w:t>
                  </w:r>
                </w:p>
              </w:tc>
              <w:tc>
                <w:tcPr>
                  <w:tcW w:w="29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lang w:eastAsia="zh-CN"/>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6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2025.2.27</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29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pH（无量纲）</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8.70</w:t>
                  </w:r>
                </w:p>
              </w:tc>
              <w:tc>
                <w:tcPr>
                  <w:tcW w:w="235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《油气田钻井固体废物综合利用污染控制要求》</w:t>
                  </w:r>
                  <w:r>
                    <w:rPr>
                      <w:rFonts w:hint="eastAsia" w:cs="Times New Roman"/>
                      <w:color w:val="000000" w:themeColor="text1"/>
                      <w:spacing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DB65/T3997-2017</w:t>
                  </w:r>
                  <w:r>
                    <w:rPr>
                      <w:rFonts w:hint="eastAsia" w:cs="Times New Roman"/>
                      <w:color w:val="000000" w:themeColor="text1"/>
                      <w:spacing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中表1综合利用标准限值</w:t>
                  </w: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2-12.5</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铜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12.7</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600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镍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11.5</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砷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5.91</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80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化学需氧量 mg/L</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56.4</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含油率%</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0.319</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含水率%</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6.2</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六价铬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&lt;2</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13</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苯并（a）芘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&lt;0.2</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0.7</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氯化物 mg/L</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1.12×103</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铅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7.5</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600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锌 mg/kg</w:t>
                  </w:r>
                </w:p>
              </w:tc>
              <w:tc>
                <w:tcPr>
                  <w:tcW w:w="68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35.2</w:t>
                  </w:r>
                </w:p>
              </w:tc>
              <w:tc>
                <w:tcPr>
                  <w:tcW w:w="235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1500</w:t>
                  </w:r>
                </w:p>
              </w:tc>
              <w:tc>
                <w:tcPr>
                  <w:tcW w:w="2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66" w:type="pct"/>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镉 mg/kg</w:t>
                  </w:r>
                </w:p>
              </w:tc>
              <w:tc>
                <w:tcPr>
                  <w:tcW w:w="686" w:type="pct"/>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0.2</w:t>
                  </w:r>
                </w:p>
              </w:tc>
              <w:tc>
                <w:tcPr>
                  <w:tcW w:w="235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c>
                <w:tcPr>
                  <w:tcW w:w="397" w:type="pct"/>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000000" w:themeColor="text1"/>
                      <w:spacing w:val="0"/>
                      <w:kern w:val="2"/>
                      <w:position w:val="0"/>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20</w:t>
                  </w:r>
                </w:p>
              </w:tc>
              <w:tc>
                <w:tcPr>
                  <w:tcW w:w="29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position w:val="0"/>
                      <w:sz w:val="21"/>
                      <w:szCs w:val="21"/>
                      <w:highlight w:val="none"/>
                      <w14:textFill>
                        <w14:solidFill>
                          <w14:schemeClr w14:val="tx1"/>
                        </w14:solidFill>
                      </w14:textFill>
                    </w:rPr>
                  </w:pPr>
                </w:p>
              </w:tc>
            </w:tr>
          </w:tbl>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textAlignment w:val="auto"/>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pP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textAlignment w:val="auto"/>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pP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textAlignment w:val="auto"/>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pP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textAlignment w:val="auto"/>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t>4</w:t>
            </w:r>
            <w:r>
              <w:rPr>
                <w:rFonts w:hint="eastAsia" w:cs="Times New Roman"/>
                <w:b/>
                <w:bCs/>
                <w:color w:val="000000" w:themeColor="text1"/>
                <w:spacing w:val="0"/>
                <w:kern w:val="0"/>
                <w:sz w:val="24"/>
                <w:szCs w:val="24"/>
                <w:highlight w:val="none"/>
                <w:lang w:val="en-US" w:eastAsia="zh-CN" w:bidi="ar"/>
                <w14:textFill>
                  <w14:solidFill>
                    <w14:schemeClr w14:val="tx1"/>
                  </w14:solidFill>
                </w14:textFill>
              </w:rPr>
              <w:t>、</w:t>
            </w:r>
            <w:r>
              <w:rPr>
                <w:rFonts w:hint="default" w:ascii="Times New Roman" w:hAnsi="Times New Roman" w:eastAsia="宋体" w:cs="Times New Roman"/>
                <w:b/>
                <w:bCs/>
                <w:color w:val="000000" w:themeColor="text1"/>
                <w:spacing w:val="0"/>
                <w:kern w:val="0"/>
                <w:sz w:val="24"/>
                <w:szCs w:val="24"/>
                <w:highlight w:val="none"/>
                <w:lang w:val="en-US" w:eastAsia="zh-CN" w:bidi="ar"/>
                <w14:textFill>
                  <w14:solidFill>
                    <w14:schemeClr w14:val="tx1"/>
                  </w14:solidFill>
                </w14:textFill>
              </w:rPr>
              <w:t>产污环节汇总</w:t>
            </w:r>
          </w:p>
          <w:p>
            <w:pPr>
              <w:pStyle w:val="4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本项目各产污环节见表2-</w:t>
            </w:r>
            <w:r>
              <w:rPr>
                <w:rFonts w:hint="eastAsia" w:cs="Times New Roman"/>
                <w:color w:val="000000" w:themeColor="text1"/>
                <w:spacing w:val="0"/>
                <w:kern w:val="0"/>
                <w:sz w:val="24"/>
                <w:szCs w:val="24"/>
                <w:highlight w:val="none"/>
                <w:lang w:val="en-US" w:eastAsia="zh-CN" w:bidi="ar"/>
                <w14:textFill>
                  <w14:solidFill>
                    <w14:schemeClr w14:val="tx1"/>
                  </w14:solidFill>
                </w14:textFill>
              </w:rPr>
              <w:t>13</w:t>
            </w:r>
            <w:r>
              <w:rPr>
                <w:rFonts w:hint="default" w:ascii="Times New Roman" w:hAnsi="Times New Roman" w:eastAsia="宋体" w:cs="Times New Roman"/>
                <w:color w:val="000000" w:themeColor="text1"/>
                <w:spacing w:val="0"/>
                <w:kern w:val="0"/>
                <w:sz w:val="24"/>
                <w:szCs w:val="24"/>
                <w:highlight w:val="none"/>
                <w:lang w:val="en-US" w:eastAsia="zh-CN" w:bidi="ar"/>
                <w14:textFill>
                  <w14:solidFill>
                    <w14:schemeClr w14:val="tx1"/>
                  </w14:solidFill>
                </w14:textFill>
              </w:rPr>
              <w:t>。</w:t>
            </w:r>
          </w:p>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t>表2-</w:t>
            </w:r>
            <w:r>
              <w:rPr>
                <w:rFonts w:hint="eastAsia" w:ascii="Times New Roman" w:hAnsi="Times New Roman" w:cs="Times New Roman"/>
                <w:b/>
                <w:bCs/>
                <w:color w:val="000000" w:themeColor="text1"/>
                <w:spacing w:val="0"/>
                <w:kern w:val="0"/>
                <w:sz w:val="21"/>
                <w:szCs w:val="21"/>
                <w:highlight w:val="none"/>
                <w:lang w:val="en-US" w:eastAsia="zh-CN" w:bidi="ar"/>
                <w14:textFill>
                  <w14:solidFill>
                    <w14:schemeClr w14:val="tx1"/>
                  </w14:solidFill>
                </w14:textFill>
              </w:rPr>
              <w:t>13</w:t>
            </w:r>
            <w:r>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t xml:space="preserve"> 本项目产污情况一览表</w:t>
            </w:r>
          </w:p>
          <w:tbl>
            <w:tblPr>
              <w:tblStyle w:val="4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1645"/>
              <w:gridCol w:w="2004"/>
              <w:gridCol w:w="1779"/>
              <w:gridCol w:w="2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项目</w:t>
                  </w: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产污</w:t>
                  </w: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节点</w:t>
                  </w:r>
                </w:p>
              </w:tc>
              <w:tc>
                <w:tcPr>
                  <w:tcW w:w="11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名称</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14:textFill>
                        <w14:solidFill>
                          <w14:schemeClr w14:val="tx1"/>
                        </w14:solidFill>
                      </w14:textFill>
                    </w:rPr>
                    <w:t>污染因子</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highlight w:val="none"/>
                      <w:lang w:val="en-US" w:eastAsia="zh-CN"/>
                      <w14:textFill>
                        <w14:solidFill>
                          <w14:schemeClr w14:val="tx1"/>
                        </w14:solidFill>
                      </w14:textFill>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废气</w:t>
                  </w:r>
                </w:p>
              </w:tc>
              <w:tc>
                <w:tcPr>
                  <w:tcW w:w="217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废弃磺化泥浆废弃物中含有用于改善钻井泥浆性能的有机处理剂，暂存过程中可能会有少量</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挥发性有机物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（以非甲烷总烃计）</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217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还原土堆存</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TSP</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eastAsia" w:cs="Times New Roman"/>
                      <w:color w:val="000000" w:themeColor="text1"/>
                      <w:spacing w:val="0"/>
                      <w:highlight w:val="none"/>
                      <w:lang w:val="en-US" w:eastAsia="zh-CN"/>
                      <w14:textFill>
                        <w14:solidFill>
                          <w14:schemeClr w14:val="tx1"/>
                        </w14:solidFill>
                      </w14:textFill>
                    </w:rPr>
                    <w:t>不低于堆土高度的严密围挡、</w:t>
                  </w:r>
                  <w:r>
                    <w:rPr>
                      <w:rFonts w:hint="default" w:ascii="Times New Roman" w:hAnsi="Times New Roman" w:eastAsia="宋体" w:cs="Times New Roman"/>
                      <w:color w:val="000000" w:themeColor="text1"/>
                      <w:spacing w:val="0"/>
                      <w:highlight w:val="none"/>
                      <w:lang w:eastAsia="zh-CN"/>
                      <w14:textFill>
                        <w14:solidFill>
                          <w14:schemeClr w14:val="tx1"/>
                        </w14:solidFill>
                      </w14:textFill>
                    </w:rPr>
                    <w:t>苫盖</w:t>
                  </w:r>
                  <w:r>
                    <w:rPr>
                      <w:rFonts w:hint="default" w:ascii="Times New Roman" w:hAnsi="Times New Roman" w:eastAsia="宋体" w:cs="Times New Roman"/>
                      <w:color w:val="000000" w:themeColor="text1"/>
                      <w:spacing w:val="0"/>
                      <w:highlight w:val="none"/>
                      <w14:textFill>
                        <w14:solidFill>
                          <w14:schemeClr w14:val="tx1"/>
                        </w14:solidFill>
                      </w14:textFill>
                    </w:rPr>
                    <w:t>、</w:t>
                  </w:r>
                  <w:r>
                    <w:rPr>
                      <w:rFonts w:hint="eastAsia" w:cs="Times New Roman"/>
                      <w:color w:val="000000" w:themeColor="text1"/>
                      <w:spacing w:val="0"/>
                      <w:highlight w:val="none"/>
                      <w:lang w:val="en-US" w:eastAsia="zh-CN"/>
                      <w14:textFill>
                        <w14:solidFill>
                          <w14:schemeClr w14:val="tx1"/>
                        </w14:solidFill>
                      </w14:textFill>
                    </w:rPr>
                    <w:t>洒水</w:t>
                  </w:r>
                  <w:r>
                    <w:rPr>
                      <w:rFonts w:hint="default" w:ascii="Times New Roman" w:hAnsi="Times New Roman" w:eastAsia="宋体" w:cs="Times New Roman"/>
                      <w:color w:val="000000" w:themeColor="text1"/>
                      <w:spacing w:val="0"/>
                      <w:highlight w:val="none"/>
                      <w14:textFill>
                        <w14:solidFill>
                          <w14:schemeClr w14:val="tx1"/>
                        </w14:solidFill>
                      </w14:textFill>
                    </w:rPr>
                    <w:t>抑尘等措施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6" w:hRule="atLeast"/>
              </w:trPr>
              <w:tc>
                <w:tcPr>
                  <w:tcW w:w="2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废水</w:t>
                  </w:r>
                </w:p>
              </w:tc>
              <w:tc>
                <w:tcPr>
                  <w:tcW w:w="217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废弃磺化泥浆固液分离</w:t>
                  </w:r>
                </w:p>
              </w:tc>
              <w:tc>
                <w:tcPr>
                  <w:tcW w:w="25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处理后回用于配药剂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217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生活污水</w:t>
                  </w:r>
                </w:p>
              </w:tc>
              <w:tc>
                <w:tcPr>
                  <w:tcW w:w="254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化粪池预处理后拉运至</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尉犁县</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固废</w:t>
                  </w:r>
                </w:p>
              </w:tc>
              <w:tc>
                <w:tcPr>
                  <w:tcW w:w="9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机械设备</w:t>
                  </w:r>
                </w:p>
              </w:tc>
              <w:tc>
                <w:tcPr>
                  <w:tcW w:w="11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w:t>
                  </w:r>
                  <w:r>
                    <w:rPr>
                      <w:rFonts w:hint="eastAsia" w:cs="Times New Roman"/>
                      <w:color w:val="000000" w:themeColor="text1"/>
                      <w:spacing w:val="0"/>
                      <w:sz w:val="21"/>
                      <w:szCs w:val="21"/>
                      <w:highlight w:val="none"/>
                      <w:lang w:val="en-US" w:eastAsia="zh-CN"/>
                      <w14:textFill>
                        <w14:solidFill>
                          <w14:schemeClr w14:val="tx1"/>
                        </w14:solidFill>
                      </w14:textFill>
                    </w:rPr>
                    <w:t>机油</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w:t>
                  </w:r>
                  <w:r>
                    <w:rPr>
                      <w:rFonts w:hint="eastAsia" w:cs="Times New Roman"/>
                      <w:color w:val="000000" w:themeColor="text1"/>
                      <w:spacing w:val="0"/>
                      <w:sz w:val="21"/>
                      <w:szCs w:val="21"/>
                      <w:highlight w:val="none"/>
                      <w:lang w:val="en-US" w:eastAsia="zh-CN"/>
                      <w14:textFill>
                        <w14:solidFill>
                          <w14:schemeClr w14:val="tx1"/>
                        </w14:solidFill>
                      </w14:textFill>
                    </w:rPr>
                    <w:t>机油</w:t>
                  </w:r>
                </w:p>
              </w:tc>
              <w:tc>
                <w:tcPr>
                  <w:tcW w:w="14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暂存于</w:t>
                  </w:r>
                  <w:r>
                    <w:rPr>
                      <w:rFonts w:hint="eastAsia"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危险废物贮存库</w:t>
                  </w: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，定期交由有资质单位处置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9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c>
                <w:tcPr>
                  <w:tcW w:w="11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废油桶</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废油桶</w:t>
                  </w:r>
                </w:p>
              </w:tc>
              <w:tc>
                <w:tcPr>
                  <w:tcW w:w="14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化验室</w:t>
                  </w:r>
                </w:p>
              </w:tc>
              <w:tc>
                <w:tcPr>
                  <w:tcW w:w="11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化验室废液</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化验室废液</w:t>
                  </w:r>
                </w:p>
              </w:tc>
              <w:tc>
                <w:tcPr>
                  <w:tcW w:w="14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污水处理</w:t>
                  </w:r>
                </w:p>
              </w:tc>
              <w:tc>
                <w:tcPr>
                  <w:tcW w:w="11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污泥</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污泥</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eastAsia" w:cs="Times New Roman"/>
                      <w:color w:val="000000" w:themeColor="text1"/>
                      <w:spacing w:val="0"/>
                      <w:sz w:val="21"/>
                      <w:szCs w:val="21"/>
                      <w:highlight w:val="none"/>
                      <w:lang w:val="en-US" w:eastAsia="zh-CN"/>
                      <w14:textFill>
                        <w14:solidFill>
                          <w14:schemeClr w14:val="tx1"/>
                        </w14:solidFill>
                      </w14:textFill>
                    </w:rPr>
                    <w:t>按照鉴定后的结果进行处置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辅料包装袋</w:t>
                  </w:r>
                </w:p>
              </w:tc>
              <w:tc>
                <w:tcPr>
                  <w:tcW w:w="225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废弃包装袋</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14:textFill>
                        <w14:solidFill>
                          <w14:schemeClr w14:val="tx1"/>
                        </w14:solidFill>
                      </w14:textFill>
                    </w:rPr>
                  </w:pP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员工日常工作</w:t>
                  </w:r>
                </w:p>
              </w:tc>
              <w:tc>
                <w:tcPr>
                  <w:tcW w:w="225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生活垃圾</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交由环卫部门清运处置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噪声</w:t>
                  </w:r>
                </w:p>
              </w:tc>
              <w:tc>
                <w:tcPr>
                  <w:tcW w:w="9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设备运营</w:t>
                  </w:r>
                </w:p>
              </w:tc>
              <w:tc>
                <w:tcPr>
                  <w:tcW w:w="119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泥浆泵、风机、</w:t>
                  </w:r>
                  <w:r>
                    <w:rPr>
                      <w:rFonts w:hint="eastAsia" w:cs="Times New Roman"/>
                      <w:color w:val="000000" w:themeColor="text1"/>
                      <w:spacing w:val="0"/>
                      <w:sz w:val="21"/>
                      <w:szCs w:val="21"/>
                      <w:highlight w:val="none"/>
                      <w:lang w:val="en-US" w:eastAsia="zh-CN"/>
                      <w14:textFill>
                        <w14:solidFill>
                          <w14:schemeClr w14:val="tx1"/>
                        </w14:solidFill>
                      </w14:textFill>
                    </w:rPr>
                    <w:t>污水泵等</w:t>
                  </w:r>
                </w:p>
              </w:tc>
              <w:tc>
                <w:tcPr>
                  <w:tcW w:w="10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噪声</w:t>
                  </w:r>
                </w:p>
              </w:tc>
              <w:tc>
                <w:tcPr>
                  <w:tcW w:w="14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highlight w:val="none"/>
                      <w:lang w:val="en-US" w:eastAsia="zh-CN"/>
                      <w14:textFill>
                        <w14:solidFill>
                          <w14:schemeClr w14:val="tx1"/>
                        </w14:solidFill>
                      </w14:textFill>
                    </w:rPr>
                    <w:t>基础减振</w:t>
                  </w:r>
                </w:p>
              </w:tc>
            </w:tr>
          </w:tbl>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pPr>
          </w:p>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pPr>
          </w:p>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jc w:val="both"/>
              <w:textAlignment w:val="auto"/>
              <w:rPr>
                <w:rFonts w:hint="default" w:ascii="Times New Roman" w:hAnsi="Times New Roman" w:eastAsia="宋体" w:cs="Times New Roman"/>
                <w:b/>
                <w:bCs/>
                <w:color w:val="000000" w:themeColor="text1"/>
                <w:spacing w:val="0"/>
                <w:kern w:val="0"/>
                <w:sz w:val="21"/>
                <w:szCs w:val="21"/>
                <w:highlight w:val="none"/>
                <w:lang w:val="en-US" w:eastAsia="zh-CN" w:bidi="ar"/>
                <w14:textFill>
                  <w14:solidFill>
                    <w14:schemeClr w14:val="tx1"/>
                  </w14:solidFill>
                </w14:textFill>
              </w:rPr>
            </w:pPr>
          </w:p>
          <w:p>
            <w:pPr>
              <w:keepNext w:val="0"/>
              <w:keepLines w:val="0"/>
              <w:pageBreakBefore w:val="0"/>
              <w:kinsoku/>
              <w:wordWrap/>
              <w:overflowPunct/>
              <w:topLinePunct w:val="0"/>
              <w:bidi w:val="0"/>
              <w:adjustRightInd w:val="0"/>
              <w:snapToGrid w:val="0"/>
              <w:spacing w:line="360" w:lineRule="auto"/>
              <w:ind w:right="0" w:rightChars="0"/>
              <w:jc w:val="both"/>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47" w:type="dxa"/>
            <w:tcBorders>
              <w:tl2br w:val="nil"/>
              <w:tr2bl w:val="nil"/>
            </w:tcBorders>
            <w:noWrap w:val="0"/>
            <w:vAlign w:val="center"/>
          </w:tcPr>
          <w:p>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aps w:val="0"/>
                <w:color w:val="000000" w:themeColor="text1"/>
                <w:spacing w:val="0"/>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sz w:val="24"/>
                <w:highlight w:val="none"/>
                <w14:textFill>
                  <w14:solidFill>
                    <w14:schemeClr w14:val="tx1"/>
                  </w14:solidFill>
                </w14:textFill>
              </w:rPr>
              <w:t>与项目有关的原有环境污染问题</w:t>
            </w:r>
          </w:p>
        </w:tc>
        <w:tc>
          <w:tcPr>
            <w:tcW w:w="85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本项目属新建项目，无</w:t>
            </w:r>
            <w:r>
              <w:rPr>
                <w:rFonts w:hint="default" w:ascii="Times New Roman" w:hAnsi="Times New Roman" w:eastAsia="宋体" w:cs="Times New Roman"/>
                <w:caps w:val="0"/>
                <w:color w:val="000000" w:themeColor="text1"/>
                <w:spacing w:val="0"/>
                <w:sz w:val="24"/>
                <w:highlight w:val="none"/>
                <w14:textFill>
                  <w14:solidFill>
                    <w14:schemeClr w14:val="tx1"/>
                  </w14:solidFill>
                </w14:textFill>
              </w:rPr>
              <w:t>与项目有关的原有环境污染问题</w:t>
            </w:r>
            <w:r>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t>。</w:t>
            </w:r>
          </w:p>
          <w:p>
            <w:pPr>
              <w:pStyle w:val="2"/>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pStyle w:val="2"/>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pStyle w:val="2"/>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pStyle w:val="2"/>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pStyle w:val="2"/>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pStyle w:val="2"/>
              <w:rPr>
                <w:rFonts w:hint="default" w:ascii="Times New Roman" w:hAnsi="Times New Roman" w:eastAsia="宋体" w:cs="Times New Roman"/>
                <w:caps w:val="0"/>
                <w:color w:val="000000" w:themeColor="text1"/>
                <w:spacing w:val="0"/>
                <w:sz w:val="24"/>
                <w:highlight w:val="none"/>
                <w:lang w:eastAsia="zh-CN"/>
                <w14:textFill>
                  <w14:solidFill>
                    <w14:schemeClr w14:val="tx1"/>
                  </w14:solidFill>
                </w14:textFill>
              </w:rPr>
            </w:pPr>
          </w:p>
          <w:p>
            <w:pPr>
              <w:pStyle w:val="2"/>
              <w:ind w:left="0" w:leftChars="0" w:firstLine="0" w:firstLineChars="0"/>
              <w:rPr>
                <w:rFonts w:hint="default"/>
                <w:color w:val="000000" w:themeColor="text1"/>
                <w:lang w:val="en-US" w:eastAsia="zh-CN"/>
                <w14:textFill>
                  <w14:solidFill>
                    <w14:schemeClr w14:val="tx1"/>
                  </w14:solidFill>
                </w14:textFill>
              </w:rPr>
            </w:pPr>
          </w:p>
        </w:tc>
      </w:tr>
    </w:tbl>
    <w:p>
      <w:pPr>
        <w:pageBreakBefore w:val="0"/>
        <w:kinsoku/>
        <w:wordWrap/>
        <w:bidi w:val="0"/>
        <w:adjustRightInd/>
        <w:snapToGrid/>
        <w:rPr>
          <w:rFonts w:ascii="Times New Roman" w:hAnsi="Times New Roman" w:eastAsia="宋体"/>
          <w:caps w:val="0"/>
          <w:color w:val="000000" w:themeColor="text1"/>
          <w:highlight w:val="none"/>
          <w14:textFill>
            <w14:solidFill>
              <w14:schemeClr w14:val="tx1"/>
            </w14:solidFill>
          </w14:textFill>
        </w:rPr>
      </w:pPr>
    </w:p>
    <w:p>
      <w:pPr>
        <w:pageBreakBefore w:val="0"/>
        <w:kinsoku/>
        <w:wordWrap/>
        <w:bidi w:val="0"/>
        <w:adjustRightInd/>
        <w:snapToGrid/>
        <w:rPr>
          <w:rFonts w:ascii="Times New Roman" w:hAnsi="Times New Roman" w:eastAsia="宋体"/>
          <w:caps w:val="0"/>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宋体"/>
          <w:b/>
          <w:caps w:val="0"/>
          <w:snapToGrid w:val="0"/>
          <w:color w:val="000000" w:themeColor="text1"/>
          <w:sz w:val="30"/>
          <w:szCs w:val="30"/>
          <w:highlight w:val="none"/>
          <w14:textFill>
            <w14:solidFill>
              <w14:schemeClr w14:val="tx1"/>
            </w14:solidFill>
          </w14:textFill>
        </w:rPr>
      </w:pPr>
      <w:bookmarkStart w:id="6" w:name="_Toc20990"/>
      <w:bookmarkStart w:id="7" w:name="_Toc10711"/>
      <w:r>
        <w:rPr>
          <w:rFonts w:ascii="Times New Roman" w:hAnsi="Times New Roman" w:eastAsia="宋体"/>
          <w:b/>
          <w:caps w:val="0"/>
          <w:snapToGrid w:val="0"/>
          <w:color w:val="000000" w:themeColor="text1"/>
          <w:sz w:val="30"/>
          <w:szCs w:val="30"/>
          <w:highlight w:val="none"/>
          <w14:textFill>
            <w14:solidFill>
              <w14:schemeClr w14:val="tx1"/>
            </w14:solidFill>
          </w14:textFill>
        </w:rPr>
        <w:t>三、区域环境质量现状、环境保护目标及评价标准</w:t>
      </w:r>
      <w:bookmarkEnd w:id="6"/>
      <w:bookmarkEnd w:id="7"/>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09"/>
        <w:gridCol w:w="85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09" w:type="dxa"/>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区域</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环境</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质量</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现状</w:t>
            </w:r>
          </w:p>
        </w:tc>
        <w:tc>
          <w:tcPr>
            <w:tcW w:w="8552" w:type="dxa"/>
            <w:tcBorders>
              <w:tl2br w:val="nil"/>
              <w:tr2bl w:val="nil"/>
            </w:tcBorders>
            <w:noWrap w:val="0"/>
            <w:vAlign w:val="center"/>
          </w:tcPr>
          <w:p>
            <w:pPr>
              <w:keepNext w:val="0"/>
              <w:keepLines w:val="0"/>
              <w:pageBreakBefore w:val="0"/>
              <w:widowControl w:val="0"/>
              <w:tabs>
                <w:tab w:val="left" w:pos="5954"/>
              </w:tabs>
              <w:kinsoku/>
              <w:wordWrap/>
              <w:overflowPunct/>
              <w:autoSpaceDE/>
              <w:autoSpaceDN/>
              <w:bidi w:val="0"/>
              <w:adjustRightInd/>
              <w:snapToGrid/>
              <w:spacing w:line="360" w:lineRule="auto"/>
              <w:textAlignment w:val="auto"/>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1</w:t>
            </w:r>
            <w:r>
              <w:rPr>
                <w:rFonts w:hint="eastAsia" w:cs="Times New Roman"/>
                <w:b/>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环境空气质量现状</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val="0"/>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val="0"/>
                <w:caps w:val="0"/>
                <w:color w:val="000000" w:themeColor="text1"/>
                <w:spacing w:val="0"/>
                <w:kern w:val="0"/>
                <w:position w:val="0"/>
                <w:sz w:val="24"/>
                <w:highlight w:val="none"/>
                <w14:textFill>
                  <w14:solidFill>
                    <w14:schemeClr w14:val="tx1"/>
                  </w14:solidFill>
                </w14:textFill>
              </w:rPr>
              <w:t>（1）环境空气质量现状达标评价</w:t>
            </w:r>
          </w:p>
          <w:p>
            <w:pPr>
              <w:autoSpaceDE w:val="0"/>
              <w:autoSpaceDN w:val="0"/>
              <w:adjustRightInd w:val="0"/>
              <w:snapToGrid w:val="0"/>
              <w:spacing w:before="0" w:after="0" w:line="360" w:lineRule="auto"/>
              <w:ind w:left="0" w:right="0" w:firstLine="480" w:firstLineChars="200"/>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根据《巴音郭楞蒙古自治州2024年生态环境状况公报》中的空气环境质量：2024年，全州空气质量综合指数为5.22，同比下降7.9%，空气质量明显好于2023年。全州平均优良天数比例为62%，同比增加15.7%，PM</w:t>
            </w:r>
            <w:r>
              <w:rPr>
                <w:rFonts w:hint="default" w:ascii="Times New Roman" w:hAnsi="Times New Roman" w:eastAsia="宋体" w:cs="Times New Roman"/>
                <w:color w:val="000000" w:themeColor="text1"/>
                <w:spacing w:val="0"/>
                <w:kern w:val="0"/>
                <w:position w:val="0"/>
                <w:sz w:val="24"/>
                <w:szCs w:val="22"/>
                <w:vertAlign w:val="subscript"/>
                <w14:textFill>
                  <w14:solidFill>
                    <w14:schemeClr w14:val="tx1"/>
                  </w14:solidFill>
                </w14:textFill>
              </w:rPr>
              <w:t>10</w:t>
            </w: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为首要污染物，未出现PM</w:t>
            </w:r>
            <w:r>
              <w:rPr>
                <w:rFonts w:hint="default" w:ascii="Times New Roman" w:hAnsi="Times New Roman" w:eastAsia="宋体" w:cs="Times New Roman"/>
                <w:color w:val="000000" w:themeColor="text1"/>
                <w:spacing w:val="0"/>
                <w:kern w:val="0"/>
                <w:position w:val="0"/>
                <w:sz w:val="24"/>
                <w:szCs w:val="22"/>
                <w:vertAlign w:val="subscript"/>
                <w14:textFill>
                  <w14:solidFill>
                    <w14:schemeClr w14:val="tx1"/>
                  </w14:solidFill>
                </w14:textFill>
              </w:rPr>
              <w:t>2.5</w:t>
            </w: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、O</w:t>
            </w:r>
            <w:r>
              <w:rPr>
                <w:rFonts w:hint="default" w:ascii="Times New Roman" w:hAnsi="Times New Roman" w:eastAsia="宋体" w:cs="Times New Roman"/>
                <w:color w:val="000000" w:themeColor="text1"/>
                <w:spacing w:val="0"/>
                <w:kern w:val="0"/>
                <w:position w:val="0"/>
                <w:sz w:val="24"/>
                <w:szCs w:val="22"/>
                <w:vertAlign w:val="subscript"/>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-8h、SO</w:t>
            </w:r>
            <w:r>
              <w:rPr>
                <w:rFonts w:hint="default" w:ascii="Times New Roman" w:hAnsi="Times New Roman" w:eastAsia="宋体" w:cs="Times New Roman"/>
                <w:color w:val="000000" w:themeColor="text1"/>
                <w:spacing w:val="0"/>
                <w:kern w:val="0"/>
                <w:position w:val="0"/>
                <w:sz w:val="24"/>
                <w:szCs w:val="22"/>
                <w:vertAlign w:val="subscript"/>
                <w14:textFill>
                  <w14:solidFill>
                    <w14:schemeClr w14:val="tx1"/>
                  </w14:solidFill>
                </w14:textFill>
              </w:rPr>
              <w:t>2</w:t>
            </w: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、NO</w:t>
            </w:r>
            <w:r>
              <w:rPr>
                <w:rFonts w:hint="default" w:ascii="Times New Roman" w:hAnsi="Times New Roman" w:eastAsia="宋体" w:cs="Times New Roman"/>
                <w:color w:val="000000" w:themeColor="text1"/>
                <w:spacing w:val="0"/>
                <w:kern w:val="0"/>
                <w:position w:val="0"/>
                <w:sz w:val="24"/>
                <w:szCs w:val="22"/>
                <w:vertAlign w:val="subscript"/>
                <w14:textFill>
                  <w14:solidFill>
                    <w14:schemeClr w14:val="tx1"/>
                  </w14:solidFill>
                </w14:textFill>
              </w:rPr>
              <w:t>2</w:t>
            </w: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、CO为首要污染物的超标天。因此判断本项目所在区域为不达标区，不达标因子为PM</w:t>
            </w:r>
            <w:r>
              <w:rPr>
                <w:rFonts w:hint="default" w:ascii="Times New Roman" w:hAnsi="Times New Roman" w:eastAsia="宋体" w:cs="Times New Roman"/>
                <w:color w:val="000000" w:themeColor="text1"/>
                <w:spacing w:val="0"/>
                <w:kern w:val="0"/>
                <w:position w:val="0"/>
                <w:sz w:val="24"/>
                <w:szCs w:val="22"/>
                <w:vertAlign w:val="subscript"/>
                <w14:textFill>
                  <w14:solidFill>
                    <w14:schemeClr w14:val="tx1"/>
                  </w14:solidFill>
                </w14:textFill>
              </w:rPr>
              <w:t>10</w:t>
            </w:r>
            <w:r>
              <w:rPr>
                <w:rFonts w:hint="default" w:ascii="Times New Roman" w:hAnsi="Times New Roman" w:eastAsia="宋体" w:cs="Times New Roman"/>
                <w:color w:val="000000" w:themeColor="text1"/>
                <w:spacing w:val="0"/>
                <w:kern w:val="0"/>
                <w:position w:val="0"/>
                <w:sz w:val="24"/>
                <w:szCs w:val="2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val="0"/>
                <w:caps w:val="0"/>
                <w:color w:val="000000" w:themeColor="text1"/>
                <w:spacing w:val="0"/>
                <w:kern w:val="0"/>
                <w:position w:val="0"/>
                <w:sz w:val="24"/>
                <w:highlight w:val="none"/>
                <w14:textFill>
                  <w14:solidFill>
                    <w14:schemeClr w14:val="tx1"/>
                  </w14:solidFill>
                </w14:textFill>
              </w:rPr>
              <w:t>（2）特征污染物环境质量现状评价</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80" w:firstLineChars="200"/>
              <w:textAlignment w:val="auto"/>
              <w:rPr>
                <w:rFonts w:hint="default" w:ascii="Times New Roman" w:hAnsi="Times New Roman" w:cs="Times New Roman"/>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为了解项目所在区域环境空气质量其他污染物现状，</w:t>
            </w:r>
            <w:r>
              <w:rPr>
                <w:rFonts w:hint="default" w:ascii="Times New Roman" w:hAnsi="Times New Roman" w:cs="Times New Roman"/>
                <w:color w:val="000000" w:themeColor="text1"/>
                <w:spacing w:val="0"/>
                <w:kern w:val="0"/>
                <w:position w:val="0"/>
                <w:sz w:val="24"/>
                <w:szCs w:val="24"/>
                <w:highlight w:val="none"/>
                <w:lang w:eastAsia="zh-CN"/>
                <w14:textFill>
                  <w14:solidFill>
                    <w14:schemeClr w14:val="tx1"/>
                  </w14:solidFill>
                </w14:textFill>
              </w:rPr>
              <w:t>本次评价</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委托</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新疆中测测试有限公司</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于</w:t>
            </w:r>
            <w:r>
              <w:rPr>
                <w:rFonts w:hint="default"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202</w:t>
            </w:r>
            <w:r>
              <w:rPr>
                <w:rFonts w:hint="eastAsia"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月</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日～</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日</w:t>
            </w:r>
            <w:r>
              <w:rPr>
                <w:rFonts w:hint="default" w:ascii="Times New Roman" w:hAnsi="Times New Roman" w:cs="Times New Roman"/>
                <w:color w:val="000000" w:themeColor="text1"/>
                <w:spacing w:val="0"/>
                <w:kern w:val="0"/>
                <w:position w:val="0"/>
                <w:sz w:val="24"/>
                <w:szCs w:val="24"/>
                <w:highlight w:val="none"/>
                <w:lang w:eastAsia="zh-CN"/>
                <w14:textFill>
                  <w14:solidFill>
                    <w14:schemeClr w14:val="tx1"/>
                  </w14:solidFill>
                </w14:textFill>
              </w:rPr>
              <w:t>开展了</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TSP环境质量现状监测。</w:t>
            </w:r>
          </w:p>
          <w:p>
            <w:pPr>
              <w:pStyle w:val="15"/>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82" w:firstLineChars="200"/>
              <w:textAlignment w:val="auto"/>
              <w:rPr>
                <w:rFonts w:hint="default" w:ascii="Times New Roman" w:hAnsi="Times New Roman" w:eastAsia="宋体" w:cs="Times New Roman"/>
                <w:b/>
                <w:bCs/>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pacing w:val="0"/>
                <w:kern w:val="0"/>
                <w:position w:val="0"/>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4"/>
                <w:szCs w:val="24"/>
                <w:highlight w:val="none"/>
                <w14:textFill>
                  <w14:solidFill>
                    <w14:schemeClr w14:val="tx1"/>
                  </w14:solidFill>
                </w14:textFill>
              </w:rPr>
              <w:t>监测点</w:t>
            </w:r>
            <w:r>
              <w:rPr>
                <w:rFonts w:hint="default" w:ascii="Times New Roman" w:hAnsi="Times New Roman" w:eastAsia="宋体" w:cs="Times New Roman"/>
                <w:b/>
                <w:bCs/>
                <w:color w:val="000000" w:themeColor="text1"/>
                <w:spacing w:val="0"/>
                <w:kern w:val="0"/>
                <w:position w:val="0"/>
                <w:sz w:val="24"/>
                <w:szCs w:val="24"/>
                <w:highlight w:val="none"/>
                <w:lang w:eastAsia="zh-CN"/>
                <w14:textFill>
                  <w14:solidFill>
                    <w14:schemeClr w14:val="tx1"/>
                  </w14:solidFill>
                </w14:textFill>
              </w:rPr>
              <w:t>位、监测因子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pacing w:val="0"/>
                <w:kern w:val="0"/>
                <w:position w:val="0"/>
                <w:highlight w:val="none"/>
                <w:lang w:bidi="ar"/>
                <w14:textFill>
                  <w14:solidFill>
                    <w14:schemeClr w14:val="tx1"/>
                  </w14:solidFill>
                </w14:textFill>
              </w:rPr>
            </w:pPr>
            <w:r>
              <w:rPr>
                <w:rFonts w:hint="default" w:ascii="Times New Roman" w:hAnsi="Times New Roman" w:cs="Times New Roman"/>
                <w:color w:val="000000" w:themeColor="text1"/>
                <w:spacing w:val="0"/>
                <w:kern w:val="0"/>
                <w:position w:val="0"/>
                <w:sz w:val="24"/>
                <w:szCs w:val="24"/>
                <w:highlight w:val="none"/>
                <w:lang w:eastAsia="zh-CN"/>
                <w14:textFill>
                  <w14:solidFill>
                    <w14:schemeClr w14:val="tx1"/>
                  </w14:solidFill>
                </w14:textFill>
              </w:rPr>
              <w:t>根据工程分析，并结合评价区域的地形特征、环境空气保护目标和区域环境污染源情况，本次评价设监测点</w:t>
            </w:r>
            <w:r>
              <w:rPr>
                <w:rFonts w:hint="eastAsia"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个，见表3-</w:t>
            </w:r>
            <w:r>
              <w:rPr>
                <w:rFonts w:hint="eastAsia" w:cs="Times New Roman"/>
                <w:color w:val="000000" w:themeColor="text1"/>
                <w:spacing w:val="0"/>
                <w:kern w:val="0"/>
                <w:position w:val="0"/>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0"/>
                <w:position w:val="0"/>
                <w:highlight w:val="none"/>
                <w:lang w:eastAsia="zh-CN" w:bidi="ar"/>
                <w14:textFill>
                  <w14:solidFill>
                    <w14:schemeClr w14:val="tx1"/>
                  </w14:solidFill>
                </w14:textFill>
              </w:rPr>
              <w:t>表</w:t>
            </w:r>
            <w:r>
              <w:rPr>
                <w:rFonts w:hint="default" w:ascii="Times New Roman" w:hAnsi="Times New Roman" w:eastAsia="宋体" w:cs="Times New Roman"/>
                <w:b/>
                <w:bCs/>
                <w:color w:val="000000" w:themeColor="text1"/>
                <w:spacing w:val="0"/>
                <w:kern w:val="0"/>
                <w:position w:val="0"/>
                <w:highlight w:val="none"/>
                <w:lang w:val="en-US" w:eastAsia="zh-CN" w:bidi="ar"/>
                <w14:textFill>
                  <w14:solidFill>
                    <w14:schemeClr w14:val="tx1"/>
                  </w14:solidFill>
                </w14:textFill>
              </w:rPr>
              <w:t>3-</w:t>
            </w:r>
            <w:r>
              <w:rPr>
                <w:rFonts w:hint="eastAsia" w:cs="Times New Roman"/>
                <w:b/>
                <w:bCs/>
                <w:color w:val="000000" w:themeColor="text1"/>
                <w:spacing w:val="0"/>
                <w:kern w:val="0"/>
                <w:position w:val="0"/>
                <w:highlight w:val="none"/>
                <w:lang w:val="en-US" w:eastAsia="zh-CN" w:bidi="ar"/>
                <w14:textFill>
                  <w14:solidFill>
                    <w14:schemeClr w14:val="tx1"/>
                  </w14:solidFill>
                </w14:textFill>
              </w:rPr>
              <w:t>1</w:t>
            </w:r>
            <w:r>
              <w:rPr>
                <w:rFonts w:hint="default" w:ascii="Times New Roman" w:hAnsi="Times New Roman" w:eastAsia="宋体" w:cs="Times New Roman"/>
                <w:b/>
                <w:bCs/>
                <w:color w:val="000000" w:themeColor="text1"/>
                <w:spacing w:val="0"/>
                <w:kern w:val="0"/>
                <w:position w:val="0"/>
                <w:highlight w:val="none"/>
                <w:lang w:val="en-US" w:eastAsia="zh-CN" w:bidi="ar"/>
                <w14:textFill>
                  <w14:solidFill>
                    <w14:schemeClr w14:val="tx1"/>
                  </w14:solidFill>
                </w14:textFill>
              </w:rPr>
              <w:t xml:space="preserve"> </w:t>
            </w:r>
            <w:r>
              <w:rPr>
                <w:rFonts w:hint="eastAsia" w:cs="Times New Roman"/>
                <w:b/>
                <w:bCs/>
                <w:color w:val="000000" w:themeColor="text1"/>
                <w:spacing w:val="0"/>
                <w:kern w:val="0"/>
                <w:position w:val="0"/>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position w:val="0"/>
                <w:highlight w:val="none"/>
                <w:lang w:bidi="ar"/>
                <w14:textFill>
                  <w14:solidFill>
                    <w14:schemeClr w14:val="tx1"/>
                  </w14:solidFill>
                </w14:textFill>
              </w:rPr>
              <w:t>环境空气质量监测布点一览表</w:t>
            </w:r>
          </w:p>
          <w:tbl>
            <w:tblPr>
              <w:tblStyle w:val="4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7"/>
              <w:gridCol w:w="1486"/>
              <w:gridCol w:w="1486"/>
              <w:gridCol w:w="2146"/>
              <w:gridCol w:w="1666"/>
              <w:gridCol w:w="1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9" w:hRule="atLeast"/>
                <w:jc w:val="center"/>
              </w:trPr>
              <w:tc>
                <w:tcPr>
                  <w:tcW w:w="322"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编号</w:t>
                  </w:r>
                </w:p>
              </w:tc>
              <w:tc>
                <w:tcPr>
                  <w:tcW w:w="891"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监测点名称</w:t>
                  </w:r>
                </w:p>
              </w:tc>
              <w:tc>
                <w:tcPr>
                  <w:tcW w:w="891"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相对厂址方位</w:t>
                  </w:r>
                </w:p>
              </w:tc>
              <w:tc>
                <w:tcPr>
                  <w:tcW w:w="1287"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相对厂界距离（m）</w:t>
                  </w:r>
                </w:p>
              </w:tc>
              <w:tc>
                <w:tcPr>
                  <w:tcW w:w="999"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监测点位坐标</w:t>
                  </w:r>
                </w:p>
              </w:tc>
              <w:tc>
                <w:tcPr>
                  <w:tcW w:w="607"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2"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G1</w:t>
                  </w:r>
                </w:p>
              </w:tc>
              <w:tc>
                <w:tcPr>
                  <w:tcW w:w="891" w:type="pct"/>
                  <w:tcBorders>
                    <w:tl2br w:val="nil"/>
                    <w:tr2bl w:val="nil"/>
                  </w:tcBorders>
                  <w:noWrap w:val="0"/>
                  <w:vAlign w:val="center"/>
                </w:tcPr>
                <w:p>
                  <w:pPr>
                    <w:pStyle w:val="1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t>项目区下风向</w:t>
                  </w:r>
                </w:p>
              </w:tc>
              <w:tc>
                <w:tcPr>
                  <w:tcW w:w="891"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eastAsia="zh-CN"/>
                      <w14:textFill>
                        <w14:solidFill>
                          <w14:schemeClr w14:val="tx1"/>
                        </w14:solidFill>
                      </w14:textFill>
                    </w:rPr>
                    <w:t>西</w:t>
                  </w: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侧</w:t>
                  </w:r>
                </w:p>
              </w:tc>
              <w:tc>
                <w:tcPr>
                  <w:tcW w:w="1287"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color w:val="000000" w:themeColor="text1"/>
                      <w:spacing w:val="0"/>
                      <w:kern w:val="0"/>
                      <w:position w:val="0"/>
                      <w:sz w:val="21"/>
                      <w:szCs w:val="21"/>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m</w:t>
                  </w:r>
                </w:p>
              </w:tc>
              <w:tc>
                <w:tcPr>
                  <w:tcW w:w="999" w:type="pct"/>
                  <w:tcBorders>
                    <w:tl2br w:val="nil"/>
                    <w:tr2bl w:val="nil"/>
                  </w:tcBorders>
                  <w:noWrap w:val="0"/>
                  <w:vAlign w:val="center"/>
                </w:tcPr>
                <w:p>
                  <w:pPr>
                    <w:keepNext w:val="0"/>
                    <w:keepLines w:val="0"/>
                    <w:widowControl/>
                    <w:suppressLineNumbers w:val="0"/>
                    <w:jc w:val="center"/>
                    <w:rPr>
                      <w:rFonts w:hint="default" w:ascii="Times New Roman" w:hAnsi="Times New Roman" w:eastAsia="仿宋_GB2312"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pacing w:val="0"/>
                      <w:kern w:val="0"/>
                      <w:position w:val="0"/>
                      <w:sz w:val="21"/>
                      <w:szCs w:val="21"/>
                      <w:highlight w:val="none"/>
                      <w:lang w:val="en-US" w:eastAsia="zh-CN"/>
                      <w14:textFill>
                        <w14:solidFill>
                          <w14:schemeClr w14:val="tx1"/>
                        </w14:solidFill>
                      </w14:textFill>
                    </w:rPr>
                    <w:t>N</w:t>
                  </w:r>
                  <w:r>
                    <w:rPr>
                      <w:rFonts w:hint="eastAsia" w:ascii="Times New Roman" w:hAnsi="Times New Roman" w:eastAsia="仿宋_GB2312" w:cs="Times New Roman"/>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41.310494</w:t>
                  </w:r>
                </w:p>
                <w:p>
                  <w:pPr>
                    <w:keepNext w:val="0"/>
                    <w:keepLines w:val="0"/>
                    <w:widowControl/>
                    <w:suppressLineNumbers w:val="0"/>
                    <w:jc w:val="center"/>
                    <w:rPr>
                      <w:rFonts w:hint="default" w:ascii="Times New Roman" w:hAnsi="Times New Roman" w:eastAsia="宋体" w:cs="Times New Roman"/>
                      <w:color w:val="000000" w:themeColor="text1"/>
                      <w:spacing w:val="0"/>
                      <w:kern w:val="0"/>
                      <w:position w:val="0"/>
                      <w:sz w:val="21"/>
                      <w:szCs w:val="21"/>
                      <w:highlight w:val="none"/>
                      <w:lang w:val="zh-CN" w:eastAsia="zh-CN" w:bidi="zh-CN"/>
                      <w14:textFill>
                        <w14:solidFill>
                          <w14:schemeClr w14:val="tx1"/>
                        </w14:solidFill>
                      </w14:textFill>
                    </w:rPr>
                  </w:pPr>
                  <w:r>
                    <w:rPr>
                      <w:rFonts w:hint="default" w:ascii="Times New Roman" w:hAnsi="Times New Roman" w:eastAsia="仿宋_GB2312" w:cs="Times New Roman"/>
                      <w:color w:val="000000" w:themeColor="text1"/>
                      <w:spacing w:val="0"/>
                      <w:kern w:val="0"/>
                      <w:position w:val="0"/>
                      <w:sz w:val="21"/>
                      <w:szCs w:val="21"/>
                      <w:highlight w:val="none"/>
                      <w:lang w:val="en-US" w:eastAsia="zh-CN"/>
                      <w14:textFill>
                        <w14:solidFill>
                          <w14:schemeClr w14:val="tx1"/>
                        </w14:solidFill>
                      </w14:textFill>
                    </w:rPr>
                    <w:t>E</w:t>
                  </w:r>
                  <w:r>
                    <w:rPr>
                      <w:rFonts w:hint="eastAsia" w:ascii="Times New Roman" w:hAnsi="Times New Roman" w:eastAsia="仿宋_GB2312" w:cs="Times New Roman"/>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86.512503</w:t>
                  </w:r>
                </w:p>
              </w:tc>
              <w:tc>
                <w:tcPr>
                  <w:tcW w:w="607" w:type="pct"/>
                  <w:tcBorders>
                    <w:tl2br w:val="nil"/>
                    <w:tr2bl w:val="nil"/>
                  </w:tcBorders>
                  <w:noWrap w:val="0"/>
                  <w:vAlign w:val="center"/>
                </w:tcPr>
                <w:p>
                  <w:pPr>
                    <w:spacing w:line="240" w:lineRule="auto"/>
                    <w:ind w:firstLine="0"/>
                    <w:jc w:val="cente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T</w:t>
                  </w: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SP</w:t>
                  </w:r>
                </w:p>
              </w:tc>
            </w:tr>
          </w:tbl>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textAlignment w:val="auto"/>
              <w:rPr>
                <w:rFonts w:hint="default" w:ascii="Times New Roman" w:hAnsi="Times New Roman" w:eastAsia="宋体" w:cs="Times New Roman"/>
                <w:b/>
                <w:bCs/>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4"/>
                <w:szCs w:val="24"/>
                <w:highlight w:val="none"/>
                <w14:textFill>
                  <w14:solidFill>
                    <w14:schemeClr w14:val="tx1"/>
                  </w14:solidFill>
                </w14:textFill>
              </w:rPr>
              <w:t>监测时间及频次</w:t>
            </w:r>
          </w:p>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月</w:t>
            </w:r>
            <w:r>
              <w:rPr>
                <w:rFonts w:hint="default"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年</w:t>
            </w:r>
            <w:r>
              <w:rPr>
                <w:rFonts w:hint="eastAsia"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月</w:t>
            </w:r>
            <w:r>
              <w:rPr>
                <w:rFonts w:hint="eastAsia"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日</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连续</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天</w:t>
            </w:r>
            <w:r>
              <w:rPr>
                <w:rFonts w:hint="default" w:ascii="Times New Roman" w:hAnsi="Times New Roman" w:cs="Times New Roman"/>
                <w:color w:val="000000" w:themeColor="text1"/>
                <w:spacing w:val="0"/>
                <w:kern w:val="0"/>
                <w:position w:val="0"/>
                <w:sz w:val="24"/>
                <w:szCs w:val="24"/>
                <w:highlight w:val="none"/>
                <w:lang w:eastAsia="zh-CN"/>
                <w14:textFill>
                  <w14:solidFill>
                    <w14:schemeClr w14:val="tx1"/>
                  </w14:solidFill>
                </w14:textFill>
              </w:rPr>
              <w:t>监测，</w:t>
            </w:r>
            <w:r>
              <w:rPr>
                <w:rFonts w:hint="default"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TSP监测日均值</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w:t>
            </w:r>
          </w:p>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textAlignment w:val="auto"/>
              <w:rPr>
                <w:rFonts w:hint="default" w:ascii="Times New Roman" w:hAnsi="Times New Roman" w:eastAsia="宋体" w:cs="Times New Roman"/>
                <w:b/>
                <w:bCs/>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4"/>
                <w:szCs w:val="24"/>
                <w:highlight w:val="none"/>
                <w14:textFill>
                  <w14:solidFill>
                    <w14:schemeClr w14:val="tx1"/>
                  </w14:solidFill>
                </w14:textFill>
              </w:rPr>
              <w:t>监测分析方法</w:t>
            </w:r>
          </w:p>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监测及分析方法依照《环境空气质量标准》（GB3095-2012）及修改单和《空气和废气监测分析方法》（第四版）中的相关方法进行。</w:t>
            </w:r>
          </w:p>
          <w:p>
            <w:pPr>
              <w:pStyle w:val="15"/>
              <w:keepNext w:val="0"/>
              <w:keepLines w:val="0"/>
              <w:pageBreakBefore w:val="0"/>
              <w:widowControl w:val="0"/>
              <w:kinsoku/>
              <w:wordWrap/>
              <w:overflowPunct/>
              <w:topLinePunct w:val="0"/>
              <w:autoSpaceDE/>
              <w:autoSpaceDN/>
              <w:bidi w:val="0"/>
              <w:adjustRightInd/>
              <w:snapToGrid/>
              <w:spacing w:before="0" w:after="0" w:line="360" w:lineRule="auto"/>
              <w:ind w:left="0" w:right="0" w:firstLine="482" w:firstLineChars="200"/>
              <w:textAlignment w:val="auto"/>
              <w:rPr>
                <w:rFonts w:hint="default" w:ascii="Times New Roman" w:hAnsi="Times New Roman" w:eastAsia="宋体" w:cs="Times New Roman"/>
                <w:b/>
                <w:bCs/>
                <w:color w:val="000000" w:themeColor="text1"/>
                <w:spacing w:val="0"/>
                <w:kern w:val="0"/>
                <w:position w:val="0"/>
                <w:sz w:val="24"/>
                <w:szCs w:val="24"/>
                <w:highlight w:val="none"/>
                <w:vertAlign w:val="baseline"/>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kern w:val="0"/>
                <w:position w:val="0"/>
                <w:sz w:val="24"/>
                <w:szCs w:val="24"/>
                <w:highlight w:val="none"/>
                <w:vertAlign w:val="baseline"/>
                <w14:textFill>
                  <w14:solidFill>
                    <w14:schemeClr w14:val="tx1"/>
                  </w14:solidFill>
                </w14:textFill>
              </w:rPr>
              <w:t>监测及评价结果</w:t>
            </w:r>
          </w:p>
          <w:p>
            <w:pPr>
              <w:pStyle w:val="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环境空气质量现状监测统计结果见表</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3-</w:t>
            </w:r>
            <w:r>
              <w:rPr>
                <w:rFonts w:hint="eastAsia"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w:t>
            </w:r>
          </w:p>
          <w:p>
            <w:pPr>
              <w:pStyle w:val="313"/>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color w:val="000000" w:themeColor="text1"/>
                <w:spacing w:val="0"/>
                <w:kern w:val="0"/>
                <w:positio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highlight w:val="none"/>
                <w:lang w:eastAsia="zh-CN" w:bidi="ar"/>
                <w14:textFill>
                  <w14:solidFill>
                    <w14:schemeClr w14:val="tx1"/>
                  </w14:solidFill>
                </w14:textFill>
              </w:rPr>
              <w:t>表</w:t>
            </w:r>
            <w:r>
              <w:rPr>
                <w:rFonts w:hint="default" w:ascii="Times New Roman" w:hAnsi="Times New Roman" w:eastAsia="宋体" w:cs="Times New Roman"/>
                <w:b/>
                <w:bCs/>
                <w:color w:val="000000" w:themeColor="text1"/>
                <w:spacing w:val="0"/>
                <w:kern w:val="0"/>
                <w:position w:val="0"/>
                <w:sz w:val="21"/>
                <w:szCs w:val="21"/>
                <w:highlight w:val="none"/>
                <w:lang w:val="en-US" w:eastAsia="zh-CN" w:bidi="ar"/>
                <w14:textFill>
                  <w14:solidFill>
                    <w14:schemeClr w14:val="tx1"/>
                  </w14:solidFill>
                </w14:textFill>
              </w:rPr>
              <w:t>3-</w:t>
            </w:r>
            <w:r>
              <w:rPr>
                <w:rFonts w:hint="eastAsia" w:eastAsia="宋体" w:cs="Times New Roman"/>
                <w:b/>
                <w:bCs/>
                <w:color w:val="000000" w:themeColor="text1"/>
                <w:spacing w:val="0"/>
                <w:kern w:val="0"/>
                <w:position w:val="0"/>
                <w:sz w:val="21"/>
                <w:szCs w:val="21"/>
                <w:highlight w:val="none"/>
                <w:lang w:val="en-US" w:eastAsia="zh-CN" w:bidi="ar"/>
                <w14:textFill>
                  <w14:solidFill>
                    <w14:schemeClr w14:val="tx1"/>
                  </w14:solidFill>
                </w14:textFill>
              </w:rPr>
              <w:t>2</w:t>
            </w:r>
            <w:r>
              <w:rPr>
                <w:rFonts w:hint="default" w:ascii="Times New Roman" w:hAnsi="Times New Roman" w:eastAsia="宋体" w:cs="Times New Roman"/>
                <w:b/>
                <w:bCs/>
                <w:color w:val="000000" w:themeColor="text1"/>
                <w:spacing w:val="0"/>
                <w:kern w:val="0"/>
                <w:position w:val="0"/>
                <w:sz w:val="21"/>
                <w:szCs w:val="21"/>
                <w:highlight w:val="none"/>
                <w:lang w:val="en-US" w:eastAsia="zh-CN" w:bidi="ar"/>
                <w14:textFill>
                  <w14:solidFill>
                    <w14:schemeClr w14:val="tx1"/>
                  </w14:solidFill>
                </w14:textFill>
              </w:rPr>
              <w:t xml:space="preserve"> </w:t>
            </w:r>
            <w:r>
              <w:rPr>
                <w:rFonts w:hint="eastAsia" w:eastAsia="宋体" w:cs="Times New Roman"/>
                <w:b/>
                <w:bCs/>
                <w:color w:val="000000" w:themeColor="text1"/>
                <w:spacing w:val="0"/>
                <w:kern w:val="0"/>
                <w:positio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position w:val="0"/>
                <w:sz w:val="21"/>
                <w:szCs w:val="21"/>
                <w:highlight w:val="none"/>
                <w:lang w:val="en-US" w:eastAsia="zh-CN" w:bidi="ar"/>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position w:val="0"/>
                <w:sz w:val="21"/>
                <w:szCs w:val="21"/>
                <w:highlight w:val="none"/>
                <w:lang w:bidi="ar"/>
                <w14:textFill>
                  <w14:solidFill>
                    <w14:schemeClr w14:val="tx1"/>
                  </w14:solidFill>
                </w14:textFill>
              </w:rPr>
              <w:t>项目其他污染物评价统计一览表</w:t>
            </w:r>
          </w:p>
          <w:tbl>
            <w:tblPr>
              <w:tblStyle w:val="4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1206"/>
              <w:gridCol w:w="1309"/>
              <w:gridCol w:w="1129"/>
              <w:gridCol w:w="1570"/>
              <w:gridCol w:w="1325"/>
              <w:gridCol w:w="899"/>
              <w:gridCol w:w="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blHeader/>
                <w:jc w:val="center"/>
              </w:trPr>
              <w:tc>
                <w:tcPr>
                  <w:tcW w:w="724"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监测点</w:t>
                  </w:r>
                </w:p>
              </w:tc>
              <w:tc>
                <w:tcPr>
                  <w:tcW w:w="785"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污染物</w:t>
                  </w:r>
                </w:p>
              </w:tc>
              <w:tc>
                <w:tcPr>
                  <w:tcW w:w="677"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评价标准</w:t>
                  </w:r>
                </w:p>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eastAsia" w:hAnsi="Times New Roman" w:cs="Times New Roman"/>
                      <w:color w:val="000000" w:themeColor="text1"/>
                      <w:spacing w:val="0"/>
                      <w:kern w:val="0"/>
                      <w:position w:val="0"/>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position w:val="0"/>
                      <w:szCs w:val="21"/>
                      <w:highlight w:val="none"/>
                      <w14:textFill>
                        <w14:solidFill>
                          <w14:schemeClr w14:val="tx1"/>
                        </w14:solidFill>
                      </w14:textFill>
                    </w:rPr>
                    <w:t>m</w:t>
                  </w:r>
                  <w:r>
                    <w:rPr>
                      <w:rFonts w:hint="default" w:ascii="Times New Roman" w:hAnsi="Times New Roman" w:cs="Times New Roman"/>
                      <w:color w:val="000000" w:themeColor="text1"/>
                      <w:spacing w:val="0"/>
                      <w:kern w:val="0"/>
                      <w:position w:val="0"/>
                      <w:highlight w:val="none"/>
                      <w14:textFill>
                        <w14:solidFill>
                          <w14:schemeClr w14:val="tx1"/>
                        </w14:solidFill>
                      </w14:textFill>
                    </w:rPr>
                    <w:t>g/m</w:t>
                  </w:r>
                  <w:r>
                    <w:rPr>
                      <w:rFonts w:hint="default" w:ascii="Times New Roman" w:hAnsi="Times New Roman" w:cs="Times New Roman"/>
                      <w:color w:val="000000" w:themeColor="text1"/>
                      <w:spacing w:val="0"/>
                      <w:kern w:val="0"/>
                      <w:position w:val="0"/>
                      <w:highlight w:val="none"/>
                      <w:vertAlign w:val="superscript"/>
                      <w14:textFill>
                        <w14:solidFill>
                          <w14:schemeClr w14:val="tx1"/>
                        </w14:solidFill>
                      </w14:textFill>
                    </w:rPr>
                    <w:t>3</w:t>
                  </w:r>
                  <w:r>
                    <w:rPr>
                      <w:rFonts w:hint="eastAsia" w:hAnsi="Times New Roman" w:cs="Times New Roman"/>
                      <w:color w:val="000000" w:themeColor="text1"/>
                      <w:spacing w:val="0"/>
                      <w:kern w:val="0"/>
                      <w:position w:val="0"/>
                      <w:highlight w:val="none"/>
                      <w:vertAlign w:val="superscript"/>
                      <w:lang w:eastAsia="zh-CN"/>
                      <w14:textFill>
                        <w14:solidFill>
                          <w14:schemeClr w14:val="tx1"/>
                        </w14:solidFill>
                      </w14:textFill>
                    </w:rPr>
                    <w:t>)</w:t>
                  </w:r>
                </w:p>
              </w:tc>
              <w:tc>
                <w:tcPr>
                  <w:tcW w:w="942"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监测浓度范围</w:t>
                  </w:r>
                </w:p>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eastAsia" w:hAnsi="Times New Roman" w:cs="Times New Roman"/>
                      <w:color w:val="000000" w:themeColor="text1"/>
                      <w:spacing w:val="0"/>
                      <w:kern w:val="0"/>
                      <w:position w:val="0"/>
                      <w:highlight w:val="none"/>
                      <w:lang w:eastAsia="zh-CN"/>
                      <w14:textFill>
                        <w14:solidFill>
                          <w14:schemeClr w14:val="tx1"/>
                        </w14:solidFill>
                      </w14:textFill>
                    </w:rPr>
                    <w:t>(</w:t>
                  </w:r>
                  <w:r>
                    <w:rPr>
                      <w:rFonts w:hint="default" w:ascii="Times New Roman" w:hAnsi="Times New Roman" w:eastAsia="仿宋_GB2312" w:cs="Times New Roman"/>
                      <w:color w:val="000000" w:themeColor="text1"/>
                      <w:spacing w:val="0"/>
                      <w:kern w:val="0"/>
                      <w:position w:val="0"/>
                      <w:szCs w:val="21"/>
                      <w:highlight w:val="none"/>
                      <w14:textFill>
                        <w14:solidFill>
                          <w14:schemeClr w14:val="tx1"/>
                        </w14:solidFill>
                      </w14:textFill>
                    </w:rPr>
                    <w:t>m</w:t>
                  </w:r>
                  <w:r>
                    <w:rPr>
                      <w:rFonts w:hint="default" w:ascii="Times New Roman" w:hAnsi="Times New Roman" w:cs="Times New Roman"/>
                      <w:color w:val="000000" w:themeColor="text1"/>
                      <w:spacing w:val="0"/>
                      <w:kern w:val="0"/>
                      <w:position w:val="0"/>
                      <w:highlight w:val="none"/>
                      <w14:textFill>
                        <w14:solidFill>
                          <w14:schemeClr w14:val="tx1"/>
                        </w14:solidFill>
                      </w14:textFill>
                    </w:rPr>
                    <w:t>g/m</w:t>
                  </w:r>
                  <w:r>
                    <w:rPr>
                      <w:rFonts w:hint="default" w:ascii="Times New Roman" w:hAnsi="Times New Roman" w:cs="Times New Roman"/>
                      <w:color w:val="000000" w:themeColor="text1"/>
                      <w:spacing w:val="0"/>
                      <w:kern w:val="0"/>
                      <w:position w:val="0"/>
                      <w:highlight w:val="none"/>
                      <w:vertAlign w:val="superscript"/>
                      <w14:textFill>
                        <w14:solidFill>
                          <w14:schemeClr w14:val="tx1"/>
                        </w14:solidFill>
                      </w14:textFill>
                    </w:rPr>
                    <w:t>3</w:t>
                  </w:r>
                  <w:r>
                    <w:rPr>
                      <w:rFonts w:hint="eastAsia" w:hAnsi="Times New Roman" w:cs="Times New Roman"/>
                      <w:color w:val="000000" w:themeColor="text1"/>
                      <w:spacing w:val="0"/>
                      <w:kern w:val="0"/>
                      <w:position w:val="0"/>
                      <w:highlight w:val="none"/>
                      <w:vertAlign w:val="superscript"/>
                      <w:lang w:eastAsia="zh-CN"/>
                      <w14:textFill>
                        <w14:solidFill>
                          <w14:schemeClr w14:val="tx1"/>
                        </w14:solidFill>
                      </w14:textFill>
                    </w:rPr>
                    <w:t>)</w:t>
                  </w:r>
                </w:p>
              </w:tc>
              <w:tc>
                <w:tcPr>
                  <w:tcW w:w="795"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最大浓度占标率/%</w:t>
                  </w:r>
                </w:p>
              </w:tc>
              <w:tc>
                <w:tcPr>
                  <w:tcW w:w="539"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超标率/%</w:t>
                  </w:r>
                </w:p>
              </w:tc>
              <w:tc>
                <w:tcPr>
                  <w:tcW w:w="534"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达标</w:t>
                  </w:r>
                </w:p>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cs="Times New Roman"/>
                      <w:color w:val="000000" w:themeColor="text1"/>
                      <w:spacing w:val="0"/>
                      <w:kern w:val="0"/>
                      <w:position w:val="0"/>
                      <w:highlight w:val="none"/>
                      <w14:textFill>
                        <w14:solidFill>
                          <w14:schemeClr w14:val="tx1"/>
                        </w14:solidFill>
                      </w14:textFill>
                    </w:rPr>
                  </w:pPr>
                  <w:r>
                    <w:rPr>
                      <w:rFonts w:hint="default" w:ascii="Times New Roman" w:hAnsi="Times New Roman" w:cs="Times New Roman"/>
                      <w:color w:val="000000" w:themeColor="text1"/>
                      <w:spacing w:val="0"/>
                      <w:kern w:val="0"/>
                      <w:position w:val="0"/>
                      <w:highlight w:val="none"/>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283" w:hRule="atLeast"/>
                <w:jc w:val="center"/>
              </w:trPr>
              <w:tc>
                <w:tcPr>
                  <w:tcW w:w="724" w:type="pct"/>
                  <w:tcBorders>
                    <w:tl2br w:val="nil"/>
                    <w:tr2bl w:val="nil"/>
                  </w:tcBorders>
                  <w:noWrap w:val="0"/>
                  <w:vAlign w:val="center"/>
                </w:tcPr>
                <w:p>
                  <w:pPr>
                    <w:pStyle w:val="11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0"/>
                      <w:kern w:val="0"/>
                      <w:position w:val="0"/>
                      <w:highlight w:val="none"/>
                      <w:lang w:val="en-US"/>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eastAsia="zh-CN"/>
                      <w14:textFill>
                        <w14:solidFill>
                          <w14:schemeClr w14:val="tx1"/>
                        </w14:solidFill>
                      </w14:textFill>
                    </w:rPr>
                    <w:t>厂址西南侧</w:t>
                  </w:r>
                </w:p>
              </w:tc>
              <w:tc>
                <w:tcPr>
                  <w:tcW w:w="785"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bidi="ar-SA"/>
                      <w14:textFill>
                        <w14:solidFill>
                          <w14:schemeClr w14:val="tx1"/>
                        </w14:solidFill>
                      </w14:textFill>
                    </w:rPr>
                    <w:t>TSP</w:t>
                  </w:r>
                </w:p>
              </w:tc>
              <w:tc>
                <w:tcPr>
                  <w:tcW w:w="677"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bidi="ar-SA"/>
                      <w14:textFill>
                        <w14:solidFill>
                          <w14:schemeClr w14:val="tx1"/>
                        </w14:solidFill>
                      </w14:textFill>
                    </w:rPr>
                    <w:t>0.3</w:t>
                  </w:r>
                </w:p>
              </w:tc>
              <w:tc>
                <w:tcPr>
                  <w:tcW w:w="942"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pacing w:val="0"/>
                      <w:kern w:val="0"/>
                      <w:position w:val="0"/>
                      <w:sz w:val="21"/>
                      <w:szCs w:val="21"/>
                      <w:highlight w:val="none"/>
                      <w:lang w:val="en-US" w:eastAsia="zh-CN" w:bidi="ar-SA"/>
                      <w14:textFill>
                        <w14:solidFill>
                          <w14:schemeClr w14:val="tx1"/>
                        </w14:solidFill>
                      </w14:textFill>
                    </w:rPr>
                    <w:t>0.208-0.223</w:t>
                  </w:r>
                </w:p>
              </w:tc>
              <w:tc>
                <w:tcPr>
                  <w:tcW w:w="795"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000000" w:themeColor="text1"/>
                      <w:spacing w:val="0"/>
                      <w:kern w:val="0"/>
                      <w:position w:val="0"/>
                      <w:sz w:val="21"/>
                      <w:szCs w:val="21"/>
                      <w:highlight w:val="none"/>
                      <w:lang w:val="en-US" w:eastAsia="zh-CN" w:bidi="ar-SA"/>
                      <w14:textFill>
                        <w14:solidFill>
                          <w14:schemeClr w14:val="tx1"/>
                        </w14:solidFill>
                      </w14:textFill>
                    </w:rPr>
                  </w:pPr>
                  <w:r>
                    <w:rPr>
                      <w:rFonts w:hint="eastAsia" w:ascii="Times New Roman" w:hAnsi="Times New Roman" w:cs="Times New Roman"/>
                      <w:bCs/>
                      <w:color w:val="000000" w:themeColor="text1"/>
                      <w:spacing w:val="0"/>
                      <w:kern w:val="0"/>
                      <w:position w:val="0"/>
                      <w:sz w:val="21"/>
                      <w:szCs w:val="21"/>
                      <w:highlight w:val="none"/>
                      <w:lang w:val="en-US" w:eastAsia="zh-CN" w:bidi="ar-SA"/>
                      <w14:textFill>
                        <w14:solidFill>
                          <w14:schemeClr w14:val="tx1"/>
                        </w14:solidFill>
                      </w14:textFill>
                    </w:rPr>
                    <w:t>74</w:t>
                  </w:r>
                  <w:r>
                    <w:rPr>
                      <w:rFonts w:hint="default" w:ascii="Times New Roman" w:hAnsi="Times New Roman" w:cs="Times New Roman"/>
                      <w:bCs/>
                      <w:color w:val="000000" w:themeColor="text1"/>
                      <w:spacing w:val="0"/>
                      <w:kern w:val="0"/>
                      <w:position w:val="0"/>
                      <w:sz w:val="21"/>
                      <w:szCs w:val="21"/>
                      <w:highlight w:val="none"/>
                      <w:lang w:val="en-US" w:eastAsia="zh-CN" w:bidi="ar-SA"/>
                      <w14:textFill>
                        <w14:solidFill>
                          <w14:schemeClr w14:val="tx1"/>
                        </w14:solidFill>
                      </w14:textFill>
                    </w:rPr>
                    <w:t>.33</w:t>
                  </w:r>
                </w:p>
              </w:tc>
              <w:tc>
                <w:tcPr>
                  <w:tcW w:w="539"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0"/>
                      <w:position w:val="0"/>
                      <w:sz w:val="21"/>
                      <w:szCs w:val="21"/>
                      <w:highlight w:val="none"/>
                      <w:lang w:val="en-US" w:eastAsia="zh-CN" w:bidi="ar-SA"/>
                      <w14:textFill>
                        <w14:solidFill>
                          <w14:schemeClr w14:val="tx1"/>
                        </w14:solidFill>
                      </w14:textFill>
                    </w:rPr>
                    <w:t>0</w:t>
                  </w:r>
                </w:p>
              </w:tc>
              <w:tc>
                <w:tcPr>
                  <w:tcW w:w="534" w:type="pct"/>
                  <w:tcBorders>
                    <w:tl2br w:val="nil"/>
                    <w:tr2bl w:val="nil"/>
                  </w:tcBorders>
                  <w:noWrap w:val="0"/>
                  <w:vAlign w:val="center"/>
                </w:tcPr>
                <w:p>
                  <w:pPr>
                    <w:pStyle w:val="308"/>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Cs/>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bCs/>
                      <w:color w:val="000000" w:themeColor="text1"/>
                      <w:spacing w:val="0"/>
                      <w:kern w:val="0"/>
                      <w:position w:val="0"/>
                      <w:sz w:val="21"/>
                      <w:szCs w:val="21"/>
                      <w:highlight w:val="none"/>
                      <w:lang w:val="en-US" w:eastAsia="zh-CN" w:bidi="ar-SA"/>
                      <w14:textFill>
                        <w14:solidFill>
                          <w14:schemeClr w14:val="tx1"/>
                        </w14:solidFill>
                      </w14:textFill>
                    </w:rPr>
                    <w:t>达标</w:t>
                  </w:r>
                </w:p>
              </w:tc>
            </w:tr>
          </w:tbl>
          <w:p>
            <w:pPr>
              <w:pStyle w:val="15"/>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bCs/>
                <w:color w:val="000000" w:themeColor="text1"/>
                <w:spacing w:val="0"/>
                <w:kern w:val="0"/>
                <w:positio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现状监测结果表明</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评价区内监测点环境空气中</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TSP满足</w:t>
            </w:r>
            <w:r>
              <w:rPr>
                <w:rFonts w:hint="default" w:ascii="Times New Roman" w:hAnsi="Times New Roman" w:cs="Times New Roman"/>
                <w:color w:val="000000" w:themeColor="text1"/>
                <w:spacing w:val="0"/>
                <w:w w:val="100"/>
                <w:kern w:val="0"/>
                <w:position w:val="0"/>
                <w:sz w:val="24"/>
                <w:szCs w:val="24"/>
                <w:highlight w:val="none"/>
                <w14:textFill>
                  <w14:solidFill>
                    <w14:schemeClr w14:val="tx1"/>
                  </w14:solidFill>
                </w14:textFill>
              </w:rPr>
              <w:t>《环境空气质量标准》（GB3095－2012）中的二级标准</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2</w:t>
            </w:r>
            <w:r>
              <w:rPr>
                <w:rFonts w:hint="eastAsia" w:cs="Times New Roman"/>
                <w:b/>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地表水环境质量现状调查与评价</w:t>
            </w:r>
          </w:p>
          <w:p>
            <w:pPr>
              <w:keepNext w:val="0"/>
              <w:keepLines w:val="0"/>
              <w:pageBreakBefore w:val="0"/>
              <w:kinsoku/>
              <w:wordWrap/>
              <w:overflowPunct/>
              <w:topLinePunct w:val="0"/>
              <w:autoSpaceDE w:val="0"/>
              <w:autoSpaceDN w:val="0"/>
              <w:bidi w:val="0"/>
              <w:adjustRightInd w:val="0"/>
              <w:snapToGrid w:val="0"/>
              <w:spacing w:after="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szCs w:val="22"/>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2"/>
                <w:lang w:val="en-US" w:eastAsia="zh-CN"/>
                <w14:textFill>
                  <w14:solidFill>
                    <w14:schemeClr w14:val="tx1"/>
                  </w14:solidFill>
                </w14:textFill>
              </w:rPr>
              <w:t>2024年，全州地表水监测的31个考核断面（点位）中，Ⅰ~Ⅲ类优良水质断面（点位）占比90.3%，无Ⅳ类水质。6条主要河流19个监测断面中Ⅰ~Ⅲ类优良水质断面占100%，3个重要湖泊（水库）12个监测点位中Ⅰ~Ⅲ类优良水质断面占75%，无劣Ⅴ类水体，湖泊水质影响因子为化学需氧量。</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2"/>
                <w:highlight w:val="none"/>
                <w14:textFill>
                  <w14:solidFill>
                    <w14:schemeClr w14:val="tx1"/>
                  </w14:solidFill>
                </w14:textFill>
              </w:rPr>
              <w:t>项目区最近地表水体为</w:t>
            </w:r>
            <w:r>
              <w:rPr>
                <w:rFonts w:hint="eastAsia" w:cs="Times New Roman"/>
                <w:color w:val="000000" w:themeColor="text1"/>
                <w:spacing w:val="0"/>
                <w:kern w:val="0"/>
                <w:position w:val="0"/>
                <w:sz w:val="24"/>
                <w:szCs w:val="22"/>
                <w:highlight w:val="none"/>
                <w:lang w:val="en-US" w:eastAsia="zh-CN"/>
                <w14:textFill>
                  <w14:solidFill>
                    <w14:schemeClr w14:val="tx1"/>
                  </w14:solidFill>
                </w14:textFill>
              </w:rPr>
              <w:t>孔雀河，</w:t>
            </w:r>
            <w:r>
              <w:rPr>
                <w:rFonts w:hint="default" w:ascii="Times New Roman" w:hAnsi="Times New Roman" w:eastAsia="宋体" w:cs="Times New Roman"/>
                <w:color w:val="000000" w:themeColor="text1"/>
                <w:spacing w:val="0"/>
                <w:kern w:val="0"/>
                <w:position w:val="0"/>
                <w:sz w:val="24"/>
                <w:szCs w:val="22"/>
                <w:highlight w:val="none"/>
                <w:lang w:val="en-US" w:eastAsia="zh-CN"/>
                <w14:textFill>
                  <w14:solidFill>
                    <w14:schemeClr w14:val="tx1"/>
                  </w14:solidFill>
                </w14:textFill>
              </w:rPr>
              <w:t>位于项目区</w:t>
            </w:r>
            <w:r>
              <w:rPr>
                <w:rFonts w:hint="eastAsia" w:cs="Times New Roman"/>
                <w:color w:val="000000" w:themeColor="text1"/>
                <w:spacing w:val="0"/>
                <w:kern w:val="0"/>
                <w:position w:val="0"/>
                <w:sz w:val="24"/>
                <w:szCs w:val="22"/>
                <w:highlight w:val="none"/>
                <w:lang w:val="en-US" w:eastAsia="zh-CN"/>
                <w14:textFill>
                  <w14:solidFill>
                    <w14:schemeClr w14:val="tx1"/>
                  </w14:solidFill>
                </w14:textFill>
              </w:rPr>
              <w:t>南侧2.8km</w:t>
            </w:r>
            <w:r>
              <w:rPr>
                <w:rFonts w:hint="default" w:ascii="Times New Roman" w:hAnsi="Times New Roman" w:eastAsia="宋体" w:cs="Times New Roman"/>
                <w:color w:val="000000" w:themeColor="text1"/>
                <w:spacing w:val="0"/>
                <w:kern w:val="0"/>
                <w:position w:val="0"/>
                <w:sz w:val="24"/>
                <w:szCs w:val="22"/>
                <w:highlight w:val="none"/>
                <w:lang w:val="en-US" w:eastAsia="zh-CN"/>
                <w14:textFill>
                  <w14:solidFill>
                    <w14:schemeClr w14:val="tx1"/>
                  </w14:solidFill>
                </w14:textFill>
              </w:rPr>
              <w:t>处</w:t>
            </w:r>
            <w:r>
              <w:rPr>
                <w:rFonts w:hint="default" w:ascii="Times New Roman" w:hAnsi="Times New Roman" w:eastAsia="宋体" w:cs="Times New Roman"/>
                <w:color w:val="000000" w:themeColor="text1"/>
                <w:spacing w:val="0"/>
                <w:kern w:val="0"/>
                <w:position w:val="0"/>
                <w:sz w:val="24"/>
                <w:szCs w:val="22"/>
                <w:highlight w:val="none"/>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2"/>
                <w:highlight w:val="none"/>
                <w:lang w:val="en-US" w:eastAsia="zh-CN"/>
                <w14:textFill>
                  <w14:solidFill>
                    <w14:schemeClr w14:val="tx1"/>
                  </w14:solidFill>
                </w14:textFill>
              </w:rPr>
              <w:t>根据《</w:t>
            </w:r>
            <w:r>
              <w:rPr>
                <w:rFonts w:hint="eastAsia" w:cs="Times New Roman"/>
                <w:color w:val="000000" w:themeColor="text1"/>
                <w:spacing w:val="0"/>
                <w:kern w:val="0"/>
                <w:position w:val="0"/>
                <w:sz w:val="24"/>
                <w:szCs w:val="22"/>
                <w:highlight w:val="none"/>
                <w:lang w:val="en-US" w:eastAsia="zh-CN"/>
                <w14:textFill>
                  <w14:solidFill>
                    <w14:schemeClr w14:val="tx1"/>
                  </w14:solidFill>
                </w14:textFill>
              </w:rPr>
              <w:t>新疆水环境功能区划</w:t>
            </w:r>
            <w:r>
              <w:rPr>
                <w:rFonts w:hint="default" w:ascii="Times New Roman" w:hAnsi="Times New Roman" w:eastAsia="宋体" w:cs="Times New Roman"/>
                <w:color w:val="000000" w:themeColor="text1"/>
                <w:spacing w:val="0"/>
                <w:kern w:val="0"/>
                <w:position w:val="0"/>
                <w:sz w:val="24"/>
                <w:szCs w:val="22"/>
                <w:highlight w:val="none"/>
                <w:lang w:val="en-US" w:eastAsia="zh-CN"/>
                <w14:textFill>
                  <w14:solidFill>
                    <w14:schemeClr w14:val="tx1"/>
                  </w14:solidFill>
                </w14:textFill>
              </w:rPr>
              <w:t>》</w:t>
            </w:r>
            <w:r>
              <w:rPr>
                <w:rFonts w:hint="eastAsia" w:cs="Times New Roman"/>
                <w:color w:val="000000" w:themeColor="text1"/>
                <w:spacing w:val="0"/>
                <w:kern w:val="0"/>
                <w:position w:val="0"/>
                <w:sz w:val="24"/>
                <w:szCs w:val="22"/>
                <w:highlight w:val="none"/>
                <w:lang w:val="en-US" w:eastAsia="zh-CN"/>
                <w14:textFill>
                  <w14:solidFill>
                    <w14:schemeClr w14:val="tx1"/>
                  </w14:solidFill>
                </w14:textFill>
              </w:rPr>
              <w:t>孔雀河尉犁县段现状水质类别为</w:t>
            </w:r>
            <w:r>
              <w:rPr>
                <w:rFonts w:hint="default" w:ascii="Times New Roman" w:hAnsi="Times New Roman" w:cs="Times New Roman"/>
                <w:color w:val="000000" w:themeColor="text1"/>
                <w:spacing w:val="0"/>
                <w:kern w:val="0"/>
                <w:position w:val="0"/>
                <w:sz w:val="24"/>
                <w:szCs w:val="22"/>
                <w:highlight w:val="none"/>
                <w:lang w:val="en-US" w:eastAsia="zh-CN"/>
                <w14:textFill>
                  <w14:solidFill>
                    <w14:schemeClr w14:val="tx1"/>
                  </w14:solidFill>
                </w14:textFill>
              </w:rPr>
              <w:t>Ⅳ</w:t>
            </w:r>
            <w:r>
              <w:rPr>
                <w:rFonts w:hint="eastAsia" w:cs="Times New Roman"/>
                <w:color w:val="000000" w:themeColor="text1"/>
                <w:spacing w:val="0"/>
                <w:kern w:val="0"/>
                <w:position w:val="0"/>
                <w:sz w:val="24"/>
                <w:szCs w:val="22"/>
                <w:highlight w:val="none"/>
                <w:lang w:val="en-US" w:eastAsia="zh-CN"/>
                <w14:textFill>
                  <w14:solidFill>
                    <w14:schemeClr w14:val="tx1"/>
                  </w14:solidFill>
                </w14:textFill>
              </w:rPr>
              <w:t>类</w:t>
            </w:r>
            <w:r>
              <w:rPr>
                <w:rFonts w:hint="default" w:ascii="Times New Roman" w:hAnsi="Times New Roman" w:eastAsia="宋体" w:cs="Times New Roman"/>
                <w:color w:val="000000" w:themeColor="text1"/>
                <w:spacing w:val="0"/>
                <w:kern w:val="0"/>
                <w:position w:val="0"/>
                <w:sz w:val="24"/>
                <w:szCs w:val="22"/>
                <w:highlight w:val="none"/>
                <w:lang w:val="en-US" w:eastAsia="zh-CN"/>
                <w14:textFill>
                  <w14:solidFill>
                    <w14:schemeClr w14:val="tx1"/>
                  </w14:solidFill>
                </w14:textFill>
              </w:rPr>
              <w:t>，</w:t>
            </w:r>
            <w:r>
              <w:rPr>
                <w:rFonts w:hint="eastAsia" w:cs="Times New Roman"/>
                <w:color w:val="000000" w:themeColor="text1"/>
                <w:spacing w:val="0"/>
                <w:kern w:val="0"/>
                <w:position w:val="0"/>
                <w:sz w:val="24"/>
                <w:szCs w:val="22"/>
                <w:highlight w:val="none"/>
                <w:lang w:val="en-US" w:eastAsia="zh-CN"/>
                <w14:textFill>
                  <w14:solidFill>
                    <w14:schemeClr w14:val="tx1"/>
                  </w14:solidFill>
                </w14:textFill>
              </w:rPr>
              <w:t>现状使用功能为农业用水，规划主导功能为景观娱乐用水。</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3</w:t>
            </w:r>
            <w:r>
              <w:rPr>
                <w:rFonts w:hint="eastAsia" w:cs="Times New Roman"/>
                <w:b/>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caps w:val="0"/>
                <w:color w:val="000000" w:themeColor="text1"/>
                <w:spacing w:val="0"/>
                <w:kern w:val="0"/>
                <w:position w:val="0"/>
                <w:sz w:val="24"/>
                <w:highlight w:val="none"/>
                <w:lang w:val="en-US" w:eastAsia="zh-CN"/>
                <w14:textFill>
                  <w14:solidFill>
                    <w14:schemeClr w14:val="tx1"/>
                  </w14:solidFill>
                </w14:textFill>
              </w:rPr>
              <w:t>地下水、土壤</w:t>
            </w: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cs="Times New Roman"/>
                <w:color w:val="000000" w:themeColor="text1"/>
                <w:spacing w:val="0"/>
                <w:kern w:val="0"/>
                <w:position w:val="0"/>
                <w:sz w:val="24"/>
                <w:szCs w:val="24"/>
                <w:highlight w:val="none"/>
                <w:lang w:val="en-US" w:eastAsia="zh-CN"/>
                <w14:textFill>
                  <w14:solidFill>
                    <w14:schemeClr w14:val="tx1"/>
                  </w14:solidFill>
                </w14:textFill>
              </w:rPr>
              <w:t>本项目工程设计有严格的防渗措施，正常工况下不存在土壤、地下水污染途径，且评价范围内无地下水、土壤环境保护目标。根据《建设项目环境影响报告表编制技术指南（污染影响类）（试行）》，本项目不开展地下水、土壤环境现状调查。</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caps w:val="0"/>
                <w:color w:val="000000" w:themeColor="text1"/>
                <w:spacing w:val="0"/>
                <w:kern w:val="0"/>
                <w:position w:val="0"/>
                <w:sz w:val="24"/>
                <w:highlight w:val="none"/>
                <w:lang w:val="en-US" w:eastAsia="zh-CN"/>
                <w14:textFill>
                  <w14:solidFill>
                    <w14:schemeClr w14:val="tx1"/>
                  </w14:solidFill>
                </w14:textFill>
              </w:rPr>
              <w:t>4</w:t>
            </w:r>
            <w:r>
              <w:rPr>
                <w:rFonts w:hint="eastAsia" w:cs="Times New Roman"/>
                <w:b/>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声环境质量现状</w:t>
            </w:r>
          </w:p>
          <w:p>
            <w:pPr>
              <w:pStyle w:val="15"/>
              <w:keepNext w:val="0"/>
              <w:keepLines w:val="0"/>
              <w:pageBreakBefore w:val="0"/>
              <w:widowControl w:val="0"/>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lang w:val="en-US" w:eastAsia="zh-CN" w:bidi="ar-SA"/>
                <w14:textFill>
                  <w14:solidFill>
                    <w14:schemeClr w14:val="tx1"/>
                  </w14:solidFill>
                </w14:textFill>
              </w:rPr>
              <w:t>本项目运行区域及周边环境50m范围内无声环境敏感保护目标，故不进行声环境质量现状监测</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pPr>
            <w:r>
              <w:rPr>
                <w:rFonts w:hint="eastAsia" w:cs="Times New Roman"/>
                <w:b/>
                <w:caps w:val="0"/>
                <w:color w:val="000000" w:themeColor="text1"/>
                <w:spacing w:val="0"/>
                <w:kern w:val="0"/>
                <w:position w:val="0"/>
                <w:sz w:val="24"/>
                <w:highlight w:val="none"/>
                <w:lang w:val="en-US" w:eastAsia="zh-CN"/>
                <w14:textFill>
                  <w14:solidFill>
                    <w14:schemeClr w14:val="tx1"/>
                  </w14:solidFill>
                </w14:textFill>
              </w:rPr>
              <w:t>5</w:t>
            </w:r>
            <w:r>
              <w:rPr>
                <w:rFonts w:hint="eastAsia" w:cs="Times New Roman"/>
                <w:b/>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caps w:val="0"/>
                <w:color w:val="000000" w:themeColor="text1"/>
                <w:spacing w:val="0"/>
                <w:kern w:val="0"/>
                <w:position w:val="0"/>
                <w:sz w:val="24"/>
                <w:highlight w:val="none"/>
                <w14:textFill>
                  <w14:solidFill>
                    <w14:schemeClr w14:val="tx1"/>
                  </w14:solidFill>
                </w14:textFill>
              </w:rPr>
              <w:t>生态环境现状</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根据《建设项目环境影响报告表编制技术指南（污染影响类）（试行）》要求，产业园区外建设项目新增用地且用地范围内含有生态环境保护目标时，应进行生态现状调查，</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本项目用地范围内无生态环境保护目标</w:t>
            </w: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，因此不开展生态环境现状调查。</w:t>
            </w:r>
          </w:p>
          <w:p>
            <w:pPr>
              <w:keepNext w:val="0"/>
              <w:keepLines w:val="0"/>
              <w:pageBreakBefore w:val="0"/>
              <w:widowControl/>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000000" w:themeColor="text1"/>
                <w:spacing w:val="0"/>
                <w:kern w:val="0"/>
                <w:position w:val="0"/>
                <w:sz w:val="24"/>
                <w:highlight w:val="none"/>
                <w:lang w:val="en-US" w:eastAsia="zh-CN"/>
                <w14:textFill>
                  <w14:solidFill>
                    <w14:schemeClr w14:val="tx1"/>
                  </w14:solidFill>
                </w14:textFill>
              </w:rPr>
            </w:pPr>
            <w:r>
              <w:rPr>
                <w:rFonts w:hint="eastAsia" w:cs="Times New Roman"/>
                <w:b/>
                <w:bCs/>
                <w:color w:val="000000" w:themeColor="text1"/>
                <w:spacing w:val="0"/>
                <w:kern w:val="0"/>
                <w:position w:val="0"/>
                <w:sz w:val="24"/>
                <w:highlight w:val="none"/>
                <w:lang w:val="en-US" w:eastAsia="zh-CN"/>
                <w14:textFill>
                  <w14:solidFill>
                    <w14:schemeClr w14:val="tx1"/>
                  </w14:solidFill>
                </w14:textFill>
              </w:rPr>
              <w:t>6、</w:t>
            </w:r>
            <w:r>
              <w:rPr>
                <w:rFonts w:hint="default" w:ascii="Times New Roman" w:hAnsi="Times New Roman" w:cs="Times New Roman"/>
                <w:b/>
                <w:bCs/>
                <w:color w:val="000000" w:themeColor="text1"/>
                <w:spacing w:val="0"/>
                <w:kern w:val="0"/>
                <w:position w:val="0"/>
                <w:sz w:val="24"/>
                <w:highlight w:val="none"/>
                <w:lang w:val="en-US" w:eastAsia="zh-CN"/>
                <w14:textFill>
                  <w14:solidFill>
                    <w14:schemeClr w14:val="tx1"/>
                  </w14:solidFill>
                </w14:textFill>
              </w:rPr>
              <w:t>土地沙化现状</w:t>
            </w:r>
          </w:p>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根据《新疆第六次沙化监测报告》，本项目位于非沙化区。</w:t>
            </w:r>
          </w:p>
          <w:p>
            <w:pPr>
              <w:pStyle w:val="2"/>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p>
          <w:p>
            <w:pP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p>
          <w:p>
            <w:pPr>
              <w:pStyle w:val="2"/>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09" w:type="dxa"/>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环境</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保护</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目标</w:t>
            </w:r>
          </w:p>
        </w:tc>
        <w:tc>
          <w:tcPr>
            <w:tcW w:w="8552" w:type="dxa"/>
            <w:tcBorders>
              <w:tl2br w:val="nil"/>
              <w:tr2bl w:val="nil"/>
            </w:tcBorders>
            <w:noWrap w:val="0"/>
            <w:vAlign w:val="center"/>
          </w:tcPr>
          <w:p>
            <w:pPr>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本项目</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厂界外500</w:t>
            </w:r>
            <w:r>
              <w:rPr>
                <w:rFonts w:hint="default" w:ascii="Times New Roman" w:hAnsi="Times New Roman" w:eastAsia="宋体" w:cs="Times New Roman"/>
                <w:snapToGrid w:val="0"/>
                <w:color w:val="000000" w:themeColor="text1"/>
                <w:spacing w:val="0"/>
                <w:kern w:val="0"/>
                <w:position w:val="0"/>
                <w:sz w:val="24"/>
                <w:highlight w:val="none"/>
                <w:lang w:val="en-US" w:eastAsia="zh-CN"/>
                <w14:textFill>
                  <w14:solidFill>
                    <w14:schemeClr w14:val="tx1"/>
                  </w14:solidFill>
                </w14:textFill>
              </w:rPr>
              <w:t>m</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范围内</w:t>
            </w:r>
            <w:r>
              <w:rPr>
                <w:rFonts w:hint="default" w:ascii="Times New Roman" w:hAnsi="Times New Roman" w:eastAsia="宋体" w:cs="Times New Roman"/>
                <w:snapToGrid w:val="0"/>
                <w:color w:val="000000" w:themeColor="text1"/>
                <w:spacing w:val="0"/>
                <w:kern w:val="0"/>
                <w:position w:val="0"/>
                <w:sz w:val="24"/>
                <w:highlight w:val="none"/>
                <w:lang w:eastAsia="zh-CN"/>
                <w14:textFill>
                  <w14:solidFill>
                    <w14:schemeClr w14:val="tx1"/>
                  </w14:solidFill>
                </w14:textFill>
              </w:rPr>
              <w:t>无</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自然保护区、风景名胜区、居住区、文化区和农村地区中人群较集中的区域等；厂界外50</w:t>
            </w:r>
            <w:r>
              <w:rPr>
                <w:rFonts w:hint="default" w:ascii="Times New Roman" w:hAnsi="Times New Roman" w:eastAsia="宋体" w:cs="Times New Roman"/>
                <w:snapToGrid w:val="0"/>
                <w:color w:val="000000" w:themeColor="text1"/>
                <w:spacing w:val="0"/>
                <w:kern w:val="0"/>
                <w:position w:val="0"/>
                <w:sz w:val="24"/>
                <w:highlight w:val="none"/>
                <w:lang w:val="en-US" w:eastAsia="zh-CN"/>
                <w14:textFill>
                  <w14:solidFill>
                    <w14:schemeClr w14:val="tx1"/>
                  </w14:solidFill>
                </w14:textFill>
              </w:rPr>
              <w:t>m</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范围内</w:t>
            </w:r>
            <w:r>
              <w:rPr>
                <w:rFonts w:hint="default" w:ascii="Times New Roman" w:hAnsi="Times New Roman" w:eastAsia="宋体" w:cs="Times New Roman"/>
                <w:snapToGrid w:val="0"/>
                <w:color w:val="000000" w:themeColor="text1"/>
                <w:spacing w:val="0"/>
                <w:kern w:val="0"/>
                <w:position w:val="0"/>
                <w:sz w:val="24"/>
                <w:highlight w:val="none"/>
                <w:lang w:eastAsia="zh-CN"/>
                <w14:textFill>
                  <w14:solidFill>
                    <w14:schemeClr w14:val="tx1"/>
                  </w14:solidFill>
                </w14:textFill>
              </w:rPr>
              <w:t>无</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声环境保护目标；厂界外500</w:t>
            </w:r>
            <w:r>
              <w:rPr>
                <w:rFonts w:hint="default" w:ascii="Times New Roman" w:hAnsi="Times New Roman" w:eastAsia="宋体" w:cs="Times New Roman"/>
                <w:snapToGrid w:val="0"/>
                <w:color w:val="000000" w:themeColor="text1"/>
                <w:spacing w:val="0"/>
                <w:kern w:val="0"/>
                <w:position w:val="0"/>
                <w:sz w:val="24"/>
                <w:highlight w:val="none"/>
                <w:lang w:val="en-US" w:eastAsia="zh-CN"/>
                <w14:textFill>
                  <w14:solidFill>
                    <w14:schemeClr w14:val="tx1"/>
                  </w14:solidFill>
                </w14:textFill>
              </w:rPr>
              <w:t>m</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范围内</w:t>
            </w:r>
            <w:r>
              <w:rPr>
                <w:rFonts w:hint="default" w:ascii="Times New Roman" w:hAnsi="Times New Roman" w:eastAsia="宋体" w:cs="Times New Roman"/>
                <w:snapToGrid w:val="0"/>
                <w:color w:val="000000" w:themeColor="text1"/>
                <w:spacing w:val="0"/>
                <w:kern w:val="0"/>
                <w:position w:val="0"/>
                <w:sz w:val="24"/>
                <w:highlight w:val="none"/>
                <w:lang w:eastAsia="zh-CN"/>
                <w14:textFill>
                  <w14:solidFill>
                    <w14:schemeClr w14:val="tx1"/>
                  </w14:solidFill>
                </w14:textFill>
              </w:rPr>
              <w:t>无</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地下水集中式饮用水水源和热水、矿泉水、温泉等特殊地下水资源</w:t>
            </w:r>
            <w:r>
              <w:rPr>
                <w:rFonts w:hint="default" w:ascii="Times New Roman" w:hAnsi="Times New Roman" w:eastAsia="宋体" w:cs="Times New Roman"/>
                <w:snapToGrid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spacing w:val="0"/>
                <w:kern w:val="0"/>
                <w:position w:val="0"/>
                <w:sz w:val="24"/>
                <w:highlight w:val="none"/>
                <w:lang w:val="en-US" w:eastAsia="zh-CN"/>
                <w14:textFill>
                  <w14:solidFill>
                    <w14:schemeClr w14:val="tx1"/>
                  </w14:solidFill>
                </w14:textFill>
              </w:rPr>
              <w:t>周边</w:t>
            </w:r>
            <w:r>
              <w:rPr>
                <w:rFonts w:hint="default" w:ascii="Times New Roman" w:hAnsi="Times New Roman" w:eastAsia="宋体" w:cs="Times New Roman"/>
                <w:snapToGrid w:val="0"/>
                <w:color w:val="000000" w:themeColor="text1"/>
                <w:spacing w:val="0"/>
                <w:kern w:val="0"/>
                <w:position w:val="0"/>
                <w:sz w:val="24"/>
                <w:highlight w:val="none"/>
                <w:lang w:eastAsia="zh-CN"/>
                <w14:textFill>
                  <w14:solidFill>
                    <w14:schemeClr w14:val="tx1"/>
                  </w14:solidFill>
                </w14:textFill>
              </w:rPr>
              <w:t>无</w:t>
            </w:r>
            <w:r>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t>生态环境保护目标。</w:t>
            </w:r>
          </w:p>
          <w:p>
            <w:pPr>
              <w:pStyle w:val="2"/>
              <w:rPr>
                <w:rFonts w:hint="default" w:ascii="Times New Roman" w:hAnsi="Times New Roman" w:eastAsia="宋体" w:cs="Times New Roman"/>
                <w:snapToGrid w:val="0"/>
                <w:color w:val="000000" w:themeColor="text1"/>
                <w:spacing w:val="0"/>
                <w:kern w:val="0"/>
                <w:position w:val="0"/>
                <w:sz w:val="24"/>
                <w:highlight w:val="none"/>
                <w14:textFill>
                  <w14:solidFill>
                    <w14:schemeClr w14:val="tx1"/>
                  </w14:solidFill>
                </w14:textFill>
              </w:rPr>
            </w:pPr>
          </w:p>
          <w:p>
            <w:pPr>
              <w:rPr>
                <w:rFonts w:hint="default"/>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09" w:type="dxa"/>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污染</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物排</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放控</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制标</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准</w:t>
            </w:r>
          </w:p>
        </w:tc>
        <w:tc>
          <w:tcPr>
            <w:tcW w:w="85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1</w:t>
            </w:r>
            <w:r>
              <w:rPr>
                <w:rFonts w:hint="eastAsia" w:cs="Times New Roman"/>
                <w:b/>
                <w:bCs/>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（1）</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厂界</w:t>
            </w:r>
            <w:r>
              <w:rPr>
                <w:rFonts w:hint="default" w:ascii="Times New Roman" w:hAnsi="Times New Roman" w:eastAsia="宋体" w:cs="Times New Roman"/>
                <w:caps w:val="0"/>
                <w:color w:val="000000" w:themeColor="text1"/>
                <w:spacing w:val="0"/>
                <w:kern w:val="0"/>
                <w:position w:val="0"/>
                <w:sz w:val="24"/>
                <w:szCs w:val="24"/>
                <w:highlight w:val="none"/>
                <w14:textFill>
                  <w14:solidFill>
                    <w14:schemeClr w14:val="tx1"/>
                  </w14:solidFill>
                </w14:textFill>
              </w:rPr>
              <w:t>无组织排放颗粒物</w:t>
            </w:r>
            <w:r>
              <w:rPr>
                <w:rFonts w:hint="default" w:ascii="Times New Roman" w:hAnsi="Times New Roman" w:eastAsia="宋体" w:cs="Times New Roman"/>
                <w: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kern w:val="0"/>
                <w:position w:val="0"/>
                <w:sz w:val="24"/>
                <w:szCs w:val="24"/>
                <w:highlight w:val="none"/>
                <w:lang w:val="en-US" w:eastAsia="zh-CN"/>
                <w14:textFill>
                  <w14:solidFill>
                    <w14:schemeClr w14:val="tx1"/>
                  </w14:solidFill>
                </w14:textFill>
              </w:rPr>
              <w:t>NMHC</w:t>
            </w:r>
            <w:r>
              <w:rPr>
                <w:rFonts w:hint="default" w:ascii="Times New Roman" w:hAnsi="Times New Roman" w:eastAsia="宋体" w:cs="Times New Roman"/>
                <w:caps w:val="0"/>
                <w:color w:val="000000" w:themeColor="text1"/>
                <w:spacing w:val="0"/>
                <w:kern w:val="0"/>
                <w:position w:val="0"/>
                <w:sz w:val="24"/>
                <w:szCs w:val="24"/>
                <w:highlight w:val="none"/>
                <w14:textFill>
                  <w14:solidFill>
                    <w14:schemeClr w14:val="tx1"/>
                  </w14:solidFill>
                </w14:textFill>
              </w:rPr>
              <w:t>执行《大气污染物综合排放标准》（GB16297-1996）表2中新污染源无组织排放监控浓度限值要求</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（2）厂区内NMHC无组织废气执行《挥发性有机物无组织排放控制标准》（GB37822-2019）中“附录A表A.1厂区内VOCs无组织排放监控要求”（监控点处1h平均浓度：10mg/m</w:t>
            </w:r>
            <w:r>
              <w:rPr>
                <w:rFonts w:hint="default" w:ascii="Times New Roman" w:hAnsi="Times New Roman" w:eastAsia="宋体" w:cs="Times New Roman"/>
                <w:caps w:val="0"/>
                <w:color w:val="000000" w:themeColor="text1"/>
                <w:spacing w:val="0"/>
                <w:kern w:val="0"/>
                <w:positio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；监控点处任意一次浓度值：30mg/m</w:t>
            </w:r>
            <w:r>
              <w:rPr>
                <w:rFonts w:hint="default" w:ascii="Times New Roman" w:hAnsi="Times New Roman" w:eastAsia="宋体" w:cs="Times New Roman"/>
                <w:caps w:val="0"/>
                <w:color w:val="000000" w:themeColor="text1"/>
                <w:spacing w:val="0"/>
                <w:kern w:val="0"/>
                <w:positio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）的要求。</w:t>
            </w:r>
          </w:p>
          <w:p>
            <w:pPr>
              <w:pStyle w:val="304"/>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default" w:ascii="Times New Roman" w:hAnsi="Times New Roman" w:eastAsia="宋体" w:cs="Times New Roman"/>
                <w:b/>
                <w:bCs/>
                <w:color w:val="000000" w:themeColor="text1"/>
                <w:spacing w:val="0"/>
                <w:w w:val="100"/>
                <w:kern w:val="0"/>
                <w:position w:val="0"/>
                <w:sz w:val="21"/>
                <w:szCs w:val="21"/>
                <w:highlight w:val="none"/>
                <w:lang w:val="en-US" w:eastAsia="en-US"/>
                <w14:textFill>
                  <w14:solidFill>
                    <w14:schemeClr w14:val="tx1"/>
                  </w14:solidFill>
                </w14:textFill>
              </w:rPr>
            </w:pP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0"/>
                <w:w w:val="100"/>
                <w:kern w:val="0"/>
                <w:position w:val="0"/>
                <w:sz w:val="21"/>
                <w:szCs w:val="21"/>
                <w:highlight w:val="none"/>
                <w:lang w:val="en-US" w:eastAsia="zh-CN" w:bidi="en-US"/>
                <w14:textFill>
                  <w14:solidFill>
                    <w14:schemeClr w14:val="tx1"/>
                  </w14:solidFill>
                </w14:textFill>
              </w:rPr>
              <w:t>3-</w:t>
            </w:r>
            <w:r>
              <w:rPr>
                <w:rFonts w:hint="eastAsia" w:ascii="Times New Roman" w:cs="Times New Roman"/>
                <w:b/>
                <w:bCs/>
                <w:color w:val="000000" w:themeColor="text1"/>
                <w:spacing w:val="0"/>
                <w:w w:val="100"/>
                <w:kern w:val="0"/>
                <w:position w:val="0"/>
                <w:sz w:val="21"/>
                <w:szCs w:val="21"/>
                <w:highlight w:val="none"/>
                <w:lang w:val="en-US" w:eastAsia="zh-CN" w:bidi="en-US"/>
                <w14:textFill>
                  <w14:solidFill>
                    <w14:schemeClr w14:val="tx1"/>
                  </w14:solidFill>
                </w14:textFill>
              </w:rPr>
              <w:t xml:space="preserve">3                </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废气污染物排放标准</w:t>
            </w:r>
          </w:p>
          <w:tbl>
            <w:tblPr>
              <w:tblStyle w:val="4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3" w:type="dxa"/>
                <w:bottom w:w="0" w:type="dxa"/>
                <w:right w:w="23" w:type="dxa"/>
              </w:tblCellMar>
            </w:tblPr>
            <w:tblGrid>
              <w:gridCol w:w="1532"/>
              <w:gridCol w:w="1314"/>
              <w:gridCol w:w="1834"/>
              <w:gridCol w:w="36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185" w:hRule="atLeast"/>
                <w:jc w:val="center"/>
              </w:trPr>
              <w:tc>
                <w:tcPr>
                  <w:tcW w:w="919"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污染源</w:t>
                  </w:r>
                </w:p>
              </w:tc>
              <w:tc>
                <w:tcPr>
                  <w:tcW w:w="788"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污染物</w:t>
                  </w:r>
                </w:p>
              </w:tc>
              <w:tc>
                <w:tcPr>
                  <w:tcW w:w="1100"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无组织排放监控浓度限值</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（mg/m</w:t>
                  </w:r>
                  <w:r>
                    <w:rPr>
                      <w:rFonts w:hint="default" w:ascii="Times New Roman" w:hAnsi="Times New Roman" w:eastAsia="宋体" w:cs="Times New Roman"/>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w:t>
                  </w:r>
                </w:p>
              </w:tc>
              <w:tc>
                <w:tcPr>
                  <w:tcW w:w="2191"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192" w:hRule="atLeast"/>
                <w:jc w:val="center"/>
              </w:trPr>
              <w:tc>
                <w:tcPr>
                  <w:tcW w:w="919" w:type="pct"/>
                  <w:vMerge w:val="restar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eastAsia="zh-CN"/>
                      <w14:textFill>
                        <w14:solidFill>
                          <w14:schemeClr w14:val="tx1"/>
                        </w14:solidFill>
                      </w14:textFill>
                    </w:rPr>
                    <w:t>无组织排放</w:t>
                  </w:r>
                </w:p>
              </w:tc>
              <w:tc>
                <w:tcPr>
                  <w:tcW w:w="788"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非甲烷总烃</w:t>
                  </w:r>
                </w:p>
              </w:tc>
              <w:tc>
                <w:tcPr>
                  <w:tcW w:w="1100"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4.0</w:t>
                  </w:r>
                </w:p>
              </w:tc>
              <w:tc>
                <w:tcPr>
                  <w:tcW w:w="2191" w:type="pct"/>
                  <w:vMerge w:val="restar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《大气污染物综合排放标准》（GB16297-1996）</w:t>
                  </w:r>
                  <w:r>
                    <w:rPr>
                      <w:rFonts w:hint="default"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t>表</w:t>
                  </w:r>
                  <w:r>
                    <w:rPr>
                      <w:rFonts w:hint="default" w:ascii="Times New Roman" w:hAnsi="Times New Roman" w:eastAsia="宋体" w:cs="Times New Roman"/>
                      <w:color w:val="000000" w:themeColor="text1"/>
                      <w:spacing w:val="0"/>
                      <w:w w:val="100"/>
                      <w:kern w:val="0"/>
                      <w:position w:val="0"/>
                      <w:sz w:val="21"/>
                      <w:szCs w:val="21"/>
                      <w:highlight w:val="none"/>
                      <w:lang w:val="en-US" w:eastAsia="zh-CN"/>
                      <w14:textFill>
                        <w14:solidFill>
                          <w14:schemeClr w14:val="tx1"/>
                        </w14:solidFill>
                      </w14:textFill>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192" w:hRule="atLeast"/>
                <w:jc w:val="center"/>
              </w:trPr>
              <w:tc>
                <w:tcPr>
                  <w:tcW w:w="919" w:type="pct"/>
                  <w:vMerge w:val="continue"/>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p>
              </w:tc>
              <w:tc>
                <w:tcPr>
                  <w:tcW w:w="788"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颗粒物</w:t>
                  </w:r>
                </w:p>
              </w:tc>
              <w:tc>
                <w:tcPr>
                  <w:tcW w:w="1100"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1.0</w:t>
                  </w:r>
                </w:p>
              </w:tc>
              <w:tc>
                <w:tcPr>
                  <w:tcW w:w="2191" w:type="pct"/>
                  <w:vMerge w:val="continue"/>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192" w:hRule="atLeast"/>
                <w:jc w:val="center"/>
              </w:trPr>
              <w:tc>
                <w:tcPr>
                  <w:tcW w:w="919" w:type="pct"/>
                  <w:vMerge w:val="restar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t>厂区内（在厂房外设置监控点）</w:t>
                  </w:r>
                </w:p>
              </w:tc>
              <w:tc>
                <w:tcPr>
                  <w:tcW w:w="788" w:type="pct"/>
                  <w:vMerge w:val="restar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t>非甲烷总烃</w:t>
                  </w:r>
                </w:p>
              </w:tc>
              <w:tc>
                <w:tcPr>
                  <w:tcW w:w="1100"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（监控点处1h平均浓度值）</w:t>
                  </w:r>
                </w:p>
              </w:tc>
              <w:tc>
                <w:tcPr>
                  <w:tcW w:w="2191" w:type="pct"/>
                  <w:vMerge w:val="restar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《挥发性有机物无组织排放控制标准》（GB37822-2019）中</w:t>
                  </w:r>
                  <w:r>
                    <w:rPr>
                      <w:rFonts w:hint="default" w:ascii="Times New Roman" w:hAnsi="Times New Roman" w:cs="Times New Roman"/>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t>附录A表A.1厂区内VOCs无组织排放监控要求</w:t>
                  </w:r>
                  <w:r>
                    <w:rPr>
                      <w:rFonts w:hint="default" w:ascii="Times New Roman" w:hAnsi="Times New Roman" w:cs="Times New Roman"/>
                      <w:color w:val="000000" w:themeColor="text1"/>
                      <w:spacing w:val="0"/>
                      <w:w w:val="100"/>
                      <w:kern w:val="0"/>
                      <w:position w:val="0"/>
                      <w:sz w:val="21"/>
                      <w:szCs w:val="21"/>
                      <w:highlight w:val="none"/>
                      <w:lang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92" w:hRule="atLeast"/>
                <w:jc w:val="center"/>
              </w:trPr>
              <w:tc>
                <w:tcPr>
                  <w:tcW w:w="919" w:type="pct"/>
                  <w:vMerge w:val="continue"/>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eastAsia="zh-CN"/>
                      <w14:textFill>
                        <w14:solidFill>
                          <w14:schemeClr w14:val="tx1"/>
                        </w14:solidFill>
                      </w14:textFill>
                    </w:rPr>
                  </w:pPr>
                </w:p>
              </w:tc>
              <w:tc>
                <w:tcPr>
                  <w:tcW w:w="788" w:type="pct"/>
                  <w:vMerge w:val="continue"/>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14:textFill>
                        <w14:solidFill>
                          <w14:schemeClr w14:val="tx1"/>
                        </w14:solidFill>
                      </w14:textFill>
                    </w:rPr>
                  </w:pPr>
                </w:p>
              </w:tc>
              <w:tc>
                <w:tcPr>
                  <w:tcW w:w="1100" w:type="pct"/>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0"/>
                      <w:position w:val="0"/>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0"/>
                      <w:kern w:val="0"/>
                      <w:position w:val="0"/>
                      <w:sz w:val="21"/>
                      <w:szCs w:val="21"/>
                      <w:highlight w:val="none"/>
                      <w:lang w:val="en-US" w:eastAsia="zh-CN"/>
                      <w14:textFill>
                        <w14:solidFill>
                          <w14:schemeClr w14:val="tx1"/>
                        </w14:solidFill>
                      </w14:textFill>
                    </w:rPr>
                    <w:t>（监控点处任意一次浓度值）</w:t>
                  </w:r>
                </w:p>
              </w:tc>
              <w:tc>
                <w:tcPr>
                  <w:tcW w:w="2191" w:type="pct"/>
                  <w:vMerge w:val="continue"/>
                  <w:tcBorders>
                    <w:tl2br w:val="nil"/>
                    <w:tr2bl w:val="nil"/>
                  </w:tcBorders>
                  <w:noWrap w:val="0"/>
                  <w:vAlign w:val="center"/>
                </w:tcPr>
                <w:p>
                  <w:pPr>
                    <w:pStyle w:val="306"/>
                    <w:keepNext w:val="0"/>
                    <w:keepLines w:val="0"/>
                    <w:pageBreakBefore w:val="0"/>
                    <w:widowControl w:val="0"/>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color w:val="000000" w:themeColor="text1"/>
                      <w:spacing w:val="0"/>
                      <w:w w:val="100"/>
                      <w:kern w:val="0"/>
                      <w:position w:val="0"/>
                      <w:sz w:val="21"/>
                      <w:szCs w:val="21"/>
                      <w:highlight w:val="none"/>
                      <w14:textFill>
                        <w14:solidFill>
                          <w14:schemeClr w14:val="tx1"/>
                        </w14:solidFill>
                      </w14:textFill>
                    </w:rPr>
                  </w:pPr>
                </w:p>
              </w:tc>
            </w:tr>
          </w:tbl>
          <w:p>
            <w:pPr>
              <w:pageBreakBefore w:val="0"/>
              <w:kinsoku/>
              <w:wordWrap/>
              <w:bidi w:val="0"/>
              <w:adjustRightInd/>
              <w:snapToGrid/>
              <w:spacing w:before="120" w:beforeLines="50" w:line="360" w:lineRule="auto"/>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2</w:t>
            </w:r>
            <w:r>
              <w:rPr>
                <w:rFonts w:hint="eastAsia" w:cs="Times New Roman"/>
                <w:b/>
                <w:bCs/>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废水</w:t>
            </w:r>
          </w:p>
          <w:p>
            <w:pPr>
              <w:pageBreakBefore w:val="0"/>
              <w:kinsoku/>
              <w:wordWrap/>
              <w:bidi w:val="0"/>
              <w:adjustRightInd/>
              <w:snapToGrid/>
              <w:spacing w:line="360" w:lineRule="auto"/>
              <w:ind w:firstLine="480" w:firstLineChars="200"/>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项目运营期废水执行《污水</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综合排放</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标准》（GB</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8978-1996</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）表</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4</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中</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三</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级</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标准</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规定</w:t>
            </w:r>
            <w:r>
              <w:rPr>
                <w:rFonts w:hint="default" w:ascii="Times New Roman" w:hAnsi="Times New Roman" w:eastAsia="宋体" w:cs="Times New Roman"/>
                <w:caps w:val="0"/>
                <w:color w:val="000000" w:themeColor="text1"/>
                <w:spacing w:val="0"/>
                <w:kern w:val="0"/>
                <w:position w:val="0"/>
                <w:sz w:val="24"/>
                <w:highlight w:val="none"/>
                <w:lang w:eastAsia="zh-CN"/>
                <w14:textFill>
                  <w14:solidFill>
                    <w14:schemeClr w14:val="tx1"/>
                  </w14:solidFill>
                </w14:textFill>
              </w:rPr>
              <w:t>的排放浓度</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限值，具体指标详见表3-</w:t>
            </w:r>
            <w:r>
              <w:rPr>
                <w:rFonts w:hint="eastAsia" w:cs="Times New Roman"/>
                <w:caps w:val="0"/>
                <w:color w:val="000000" w:themeColor="text1"/>
                <w:spacing w:val="0"/>
                <w:kern w:val="0"/>
                <w:position w:val="0"/>
                <w:sz w:val="24"/>
                <w:highlight w:val="none"/>
                <w:lang w:val="en-US" w:eastAsia="zh-CN"/>
                <w14:textFill>
                  <w14:solidFill>
                    <w14:schemeClr w14:val="tx1"/>
                  </w14:solidFill>
                </w14:textFill>
              </w:rPr>
              <w:t>4</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w:t>
            </w:r>
          </w:p>
          <w:p>
            <w:pPr>
              <w:pStyle w:val="304"/>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表3-</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 xml:space="preserve"> </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污水</w:t>
            </w:r>
            <w:r>
              <w:rPr>
                <w:rFonts w:hint="default" w:ascii="Times New Roman" w:hAnsi="Times New Roman" w:eastAsia="宋体" w:cs="Times New Roman"/>
                <w:b/>
                <w:bCs/>
                <w:color w:val="000000" w:themeColor="text1"/>
                <w:spacing w:val="0"/>
                <w:w w:val="100"/>
                <w:kern w:val="0"/>
                <w:position w:val="0"/>
                <w:sz w:val="21"/>
                <w:szCs w:val="21"/>
                <w:highlight w:val="none"/>
                <w:lang w:val="en-US" w:eastAsia="zh-CN"/>
                <w14:textFill>
                  <w14:solidFill>
                    <w14:schemeClr w14:val="tx1"/>
                  </w14:solidFill>
                </w14:textFill>
              </w:rPr>
              <w:t>综合排放</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标准</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pacing w:val="0"/>
                <w:w w:val="100"/>
                <w:kern w:val="0"/>
                <w:position w:val="0"/>
                <w:sz w:val="21"/>
                <w:szCs w:val="21"/>
                <w:highlight w:val="none"/>
                <w:lang w:val="en-US" w:eastAsia="zh-CN"/>
                <w14:textFill>
                  <w14:solidFill>
                    <w14:schemeClr w14:val="tx1"/>
                  </w14:solidFill>
                </w14:textFill>
              </w:rPr>
              <w:t>三级标准</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规定</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排放浓度</w:t>
            </w:r>
            <w:r>
              <w:rPr>
                <w:rFonts w:hint="default" w:ascii="Times New Roman" w:hAnsi="Times New Roman" w:eastAsia="宋体" w:cs="Times New Roman"/>
                <w:b/>
                <w:bCs/>
                <w:color w:val="000000" w:themeColor="text1"/>
                <w:spacing w:val="0"/>
                <w:w w:val="100"/>
                <w:kern w:val="0"/>
                <w:position w:val="0"/>
                <w:sz w:val="21"/>
                <w:szCs w:val="21"/>
                <w:highlight w:val="none"/>
                <w14:textFill>
                  <w14:solidFill>
                    <w14:schemeClr w14:val="tx1"/>
                  </w14:solidFill>
                </w14:textFill>
              </w:rPr>
              <w:t>限值  （单位：mg/L）</w:t>
            </w:r>
          </w:p>
          <w:tbl>
            <w:tblPr>
              <w:tblStyle w:val="4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201"/>
              <w:gridCol w:w="1326"/>
              <w:gridCol w:w="1176"/>
              <w:gridCol w:w="1154"/>
              <w:gridCol w:w="1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93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lang w:val="en-US" w:eastAsia="zh-CN"/>
                      <w14:textFill>
                        <w14:solidFill>
                          <w14:schemeClr w14:val="tx1"/>
                        </w14:solidFill>
                      </w14:textFill>
                    </w:rPr>
                    <w:t>p</w:t>
                  </w: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cr/>
                  </w: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H</w:t>
                  </w:r>
                </w:p>
              </w:tc>
              <w:tc>
                <w:tcPr>
                  <w:tcW w:w="72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COD</w:t>
                  </w:r>
                </w:p>
              </w:tc>
              <w:tc>
                <w:tcPr>
                  <w:tcW w:w="795"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BOD</w:t>
                  </w:r>
                  <w:r>
                    <w:rPr>
                      <w:rFonts w:hint="default" w:ascii="Times New Roman" w:hAnsi="Times New Roman" w:eastAsia="宋体" w:cs="Times New Roman"/>
                      <w:caps w:val="0"/>
                      <w:color w:val="000000" w:themeColor="text1"/>
                      <w:spacing w:val="0"/>
                      <w:kern w:val="0"/>
                      <w:position w:val="0"/>
                      <w:szCs w:val="21"/>
                      <w:highlight w:val="none"/>
                      <w:vertAlign w:val="subscript"/>
                      <w14:textFill>
                        <w14:solidFill>
                          <w14:schemeClr w14:val="tx1"/>
                        </w14:solidFill>
                      </w14:textFill>
                    </w:rPr>
                    <w:t>5</w:t>
                  </w:r>
                </w:p>
              </w:tc>
              <w:tc>
                <w:tcPr>
                  <w:tcW w:w="705"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SS</w:t>
                  </w:r>
                </w:p>
              </w:tc>
              <w:tc>
                <w:tcPr>
                  <w:tcW w:w="69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氨氮</w:t>
                  </w:r>
                </w:p>
              </w:tc>
              <w:tc>
                <w:tcPr>
                  <w:tcW w:w="1153"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3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6.</w:t>
                  </w:r>
                  <w:r>
                    <w:rPr>
                      <w:rFonts w:hint="default" w:ascii="Times New Roman" w:hAnsi="Times New Roman" w:eastAsia="宋体" w:cs="Times New Roman"/>
                      <w:caps w:val="0"/>
                      <w:color w:val="000000" w:themeColor="text1"/>
                      <w:spacing w:val="0"/>
                      <w:kern w:val="0"/>
                      <w:position w:val="0"/>
                      <w:szCs w:val="21"/>
                      <w:highlight w:val="none"/>
                      <w:lang w:val="en-US" w:eastAsia="zh-CN"/>
                      <w14:textFill>
                        <w14:solidFill>
                          <w14:schemeClr w14:val="tx1"/>
                        </w14:solidFill>
                      </w14:textFill>
                    </w:rPr>
                    <w:t>0</w:t>
                  </w:r>
                  <w:r>
                    <w:rPr>
                      <w:rFonts w:hint="default" w:ascii="Times New Roman" w:hAnsi="Times New Roman" w:eastAsia="宋体" w:cs="Times New Roman"/>
                      <w:caps w:val="0"/>
                      <w:color w:val="000000" w:themeColor="text1"/>
                      <w:spacing w:val="0"/>
                      <w:kern w:val="0"/>
                      <w:position w:val="0"/>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9.</w:t>
                  </w:r>
                  <w:r>
                    <w:rPr>
                      <w:rFonts w:hint="default" w:ascii="Times New Roman" w:hAnsi="Times New Roman" w:eastAsia="宋体" w:cs="Times New Roman"/>
                      <w:caps w:val="0"/>
                      <w:color w:val="000000" w:themeColor="text1"/>
                      <w:spacing w:val="0"/>
                      <w:kern w:val="0"/>
                      <w:position w:val="0"/>
                      <w:szCs w:val="21"/>
                      <w:highlight w:val="none"/>
                      <w:lang w:val="en-US" w:eastAsia="zh-CN"/>
                      <w14:textFill>
                        <w14:solidFill>
                          <w14:schemeClr w14:val="tx1"/>
                        </w14:solidFill>
                      </w14:textFill>
                    </w:rPr>
                    <w:t>0</w:t>
                  </w:r>
                </w:p>
              </w:tc>
              <w:tc>
                <w:tcPr>
                  <w:tcW w:w="72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≤500</w:t>
                  </w:r>
                </w:p>
              </w:tc>
              <w:tc>
                <w:tcPr>
                  <w:tcW w:w="795"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≤3</w:t>
                  </w:r>
                  <w:r>
                    <w:rPr>
                      <w:rFonts w:hint="default" w:ascii="Times New Roman" w:hAnsi="Times New Roman" w:eastAsia="宋体" w:cs="Times New Roman"/>
                      <w:caps w:val="0"/>
                      <w:color w:val="000000" w:themeColor="text1"/>
                      <w:spacing w:val="0"/>
                      <w:kern w:val="0"/>
                      <w:position w:val="0"/>
                      <w:szCs w:val="21"/>
                      <w:highlight w:val="none"/>
                      <w:lang w:val="en-US" w:eastAsia="zh-CN"/>
                      <w14:textFill>
                        <w14:solidFill>
                          <w14:schemeClr w14:val="tx1"/>
                        </w14:solidFill>
                      </w14:textFill>
                    </w:rPr>
                    <w:t>0</w:t>
                  </w: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0</w:t>
                  </w:r>
                </w:p>
              </w:tc>
              <w:tc>
                <w:tcPr>
                  <w:tcW w:w="705"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≤400</w:t>
                  </w:r>
                </w:p>
              </w:tc>
              <w:tc>
                <w:tcPr>
                  <w:tcW w:w="692"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lang w:val="en-US" w:eastAsia="zh-CN"/>
                      <w14:textFill>
                        <w14:solidFill>
                          <w14:schemeClr w14:val="tx1"/>
                        </w14:solidFill>
                      </w14:textFill>
                    </w:rPr>
                    <w:t>--</w:t>
                  </w:r>
                </w:p>
              </w:tc>
              <w:tc>
                <w:tcPr>
                  <w:tcW w:w="1153"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t>≤100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3</w:t>
            </w:r>
            <w:r>
              <w:rPr>
                <w:rFonts w:hint="eastAsia" w:cs="Times New Roman"/>
                <w:b/>
                <w:bCs/>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施工期噪声执行《建筑施工厂界环境噪声排放标准》（GB12523-2011），具体见表3-</w:t>
            </w:r>
            <w:r>
              <w:rPr>
                <w:rFonts w:hint="eastAsia" w:cs="Times New Roman"/>
                <w:caps w:val="0"/>
                <w:color w:val="000000" w:themeColor="text1"/>
                <w:spacing w:val="0"/>
                <w:kern w:val="0"/>
                <w:position w:val="0"/>
                <w:sz w:val="24"/>
                <w:highlight w:val="none"/>
                <w:lang w:val="en-US" w:eastAsia="zh-CN"/>
                <w14:textFill>
                  <w14:solidFill>
                    <w14:schemeClr w14:val="tx1"/>
                  </w14:solidFill>
                </w14:textFill>
              </w:rPr>
              <w:t>5</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；营运期噪声排放执行《工业企业厂界环境噪声排放标准》（GB12348-2008）中</w:t>
            </w:r>
            <w:r>
              <w:rPr>
                <w:rFonts w:hint="default"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2</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类</w:t>
            </w:r>
            <w:r>
              <w:rPr>
                <w:rFonts w:hint="eastAsia" w:ascii="Times New Roman" w:hAnsi="Times New Roman" w:eastAsia="宋体" w:cs="Times New Roman"/>
                <w:caps w:val="0"/>
                <w:color w:val="000000" w:themeColor="text1"/>
                <w:spacing w:val="0"/>
                <w:kern w:val="0"/>
                <w:position w:val="0"/>
                <w:sz w:val="24"/>
                <w:highlight w:val="none"/>
                <w:lang w:val="en-US" w:eastAsia="zh-CN"/>
                <w14:textFill>
                  <w14:solidFill>
                    <w14:schemeClr w14:val="tx1"/>
                  </w14:solidFill>
                </w14:textFill>
              </w:rPr>
              <w:t>区标准限值</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，具体见表3-</w:t>
            </w:r>
            <w:r>
              <w:rPr>
                <w:rFonts w:hint="eastAsia" w:cs="Times New Roman"/>
                <w:caps w:val="0"/>
                <w:color w:val="000000" w:themeColor="text1"/>
                <w:spacing w:val="0"/>
                <w:kern w:val="0"/>
                <w:position w:val="0"/>
                <w:sz w:val="24"/>
                <w:highlight w:val="none"/>
                <w:lang w:val="en-US" w:eastAsia="zh-CN"/>
                <w14:textFill>
                  <w14:solidFill>
                    <w14:schemeClr w14:val="tx1"/>
                  </w14:solidFill>
                </w14:textFill>
              </w:rPr>
              <w:t>6</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w:t>
            </w:r>
          </w:p>
          <w:p>
            <w:pPr>
              <w:pStyle w:val="304"/>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pPr>
          </w:p>
          <w:p>
            <w:pPr>
              <w:pStyle w:val="304"/>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pPr>
          </w:p>
          <w:p>
            <w:pPr>
              <w:pStyle w:val="304"/>
              <w:keepNext w:val="0"/>
              <w:keepLines w:val="0"/>
              <w:pageBreakBefore w:val="0"/>
              <w:widowControl w:val="0"/>
              <w:kinsoku/>
              <w:wordWrap/>
              <w:overflowPunct/>
              <w:topLinePunct w:val="0"/>
              <w:autoSpaceDE/>
              <w:autoSpaceDN/>
              <w:bidi w:val="0"/>
              <w:adjustRightInd w:val="0"/>
              <w:snapToGrid w:val="0"/>
              <w:ind w:firstLine="422" w:firstLineChars="200"/>
              <w:jc w:val="both"/>
              <w:textAlignment w:val="auto"/>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表3-</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 xml:space="preserve">  </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 xml:space="preserve"> 《建筑施工厂界环境噪声排放标准》   </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 xml:space="preserve"> 单位：dB（A）</w:t>
            </w:r>
          </w:p>
          <w:tbl>
            <w:tblPr>
              <w:tblStyle w:val="4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53"/>
              <w:gridCol w:w="3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0" w:hRule="atLeast"/>
                <w:jc w:val="center"/>
              </w:trPr>
              <w:tc>
                <w:tcPr>
                  <w:tcW w:w="261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kern w:val="0"/>
                      <w:position w:val="0"/>
                      <w:highlight w:val="none"/>
                      <w14:textFill>
                        <w14:solidFill>
                          <w14:schemeClr w14:val="tx1"/>
                        </w14:solidFill>
                      </w14:textFill>
                    </w:rPr>
                    <w:t>昼间</w:t>
                  </w:r>
                </w:p>
              </w:tc>
              <w:tc>
                <w:tcPr>
                  <w:tcW w:w="2388"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kern w:val="0"/>
                      <w:position w:val="0"/>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61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highlight w:val="none"/>
                      <w14:textFill>
                        <w14:solidFill>
                          <w14:schemeClr w14:val="tx1"/>
                        </w14:solidFill>
                      </w14:textFill>
                    </w:rPr>
                    <w:t>70</w:t>
                  </w:r>
                </w:p>
              </w:tc>
              <w:tc>
                <w:tcPr>
                  <w:tcW w:w="2388"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highlight w:val="none"/>
                      <w14:textFill>
                        <w14:solidFill>
                          <w14:schemeClr w14:val="tx1"/>
                        </w14:solidFill>
                      </w14:textFill>
                    </w:rPr>
                    <w:t>55</w:t>
                  </w:r>
                </w:p>
              </w:tc>
            </w:tr>
          </w:tbl>
          <w:p>
            <w:pPr>
              <w:pStyle w:val="304"/>
              <w:keepNext w:val="0"/>
              <w:keepLines w:val="0"/>
              <w:pageBreakBefore w:val="0"/>
              <w:widowControl w:val="0"/>
              <w:kinsoku/>
              <w:wordWrap/>
              <w:overflowPunct/>
              <w:topLinePunct w:val="0"/>
              <w:autoSpaceDE/>
              <w:autoSpaceDN/>
              <w:bidi w:val="0"/>
              <w:adjustRightInd w:val="0"/>
              <w:snapToGrid w:val="0"/>
              <w:spacing w:before="157" w:beforeLines="50"/>
              <w:ind w:firstLine="422" w:firstLineChars="200"/>
              <w:jc w:val="both"/>
              <w:textAlignment w:val="auto"/>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表3-</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 xml:space="preserve">   </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 xml:space="preserve"> 《工业企业厂界环境噪声排放标准》（节选） </w:t>
            </w:r>
            <w:r>
              <w:rPr>
                <w:rFonts w:hint="eastAsia" w:ascii="Times New Roman" w:cs="Times New Roman"/>
                <w:b/>
                <w:bCs/>
                <w:color w:val="000000" w:themeColor="text1"/>
                <w:spacing w:val="0"/>
                <w:w w:val="10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0"/>
                <w:w w:val="100"/>
                <w:kern w:val="0"/>
                <w:position w:val="0"/>
                <w:sz w:val="21"/>
                <w:szCs w:val="21"/>
                <w:highlight w:val="none"/>
                <w:lang w:eastAsia="zh-CN"/>
                <w14:textFill>
                  <w14:solidFill>
                    <w14:schemeClr w14:val="tx1"/>
                  </w14:solidFill>
                </w14:textFill>
              </w:rPr>
              <w:t xml:space="preserve"> 单位：dB（A）</w:t>
            </w:r>
          </w:p>
          <w:tbl>
            <w:tblPr>
              <w:tblStyle w:val="4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7"/>
              <w:gridCol w:w="2778"/>
              <w:gridCol w:w="2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6" w:type="pct"/>
                  <w:vMerge w:val="restart"/>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t>类别</w:t>
                  </w:r>
                </w:p>
              </w:tc>
              <w:tc>
                <w:tcPr>
                  <w:tcW w:w="3333" w:type="pct"/>
                  <w:gridSpan w:val="2"/>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t>标</w:t>
                  </w:r>
                  <w: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cr/>
                  </w:r>
                  <w: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6" w:type="pct"/>
                  <w:vMerge w:val="continue"/>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pPr>
                </w:p>
              </w:tc>
              <w:tc>
                <w:tcPr>
                  <w:tcW w:w="1666" w:type="pct"/>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t>昼间</w:t>
                  </w:r>
                </w:p>
              </w:tc>
              <w:tc>
                <w:tcPr>
                  <w:tcW w:w="1667" w:type="pct"/>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pacing w:val="0"/>
                      <w:kern w:val="0"/>
                      <w:position w:val="0"/>
                      <w:sz w:val="21"/>
                      <w:szCs w:val="21"/>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66" w:type="pct"/>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caps w:val="0"/>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1"/>
                      <w:szCs w:val="21"/>
                      <w:highlight w:val="none"/>
                      <w:lang w:val="en-US" w:eastAsia="zh-CN"/>
                      <w14:textFill>
                        <w14:solidFill>
                          <w14:schemeClr w14:val="tx1"/>
                        </w14:solidFill>
                      </w14:textFill>
                    </w:rPr>
                    <w:t>2</w:t>
                  </w:r>
                </w:p>
              </w:tc>
              <w:tc>
                <w:tcPr>
                  <w:tcW w:w="1666" w:type="pct"/>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caps w:val="0"/>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1"/>
                      <w:szCs w:val="21"/>
                      <w:highlight w:val="none"/>
                      <w14:textFill>
                        <w14:solidFill>
                          <w14:schemeClr w14:val="tx1"/>
                        </w14:solidFill>
                      </w14:textFill>
                    </w:rPr>
                    <w:t>6</w:t>
                  </w:r>
                  <w:r>
                    <w:rPr>
                      <w:rFonts w:hint="default" w:ascii="Times New Roman" w:hAnsi="Times New Roman" w:eastAsia="宋体" w:cs="Times New Roman"/>
                      <w:caps w:val="0"/>
                      <w:color w:val="000000" w:themeColor="text1"/>
                      <w:spacing w:val="0"/>
                      <w:kern w:val="0"/>
                      <w:position w:val="0"/>
                      <w:sz w:val="21"/>
                      <w:szCs w:val="21"/>
                      <w:highlight w:val="none"/>
                      <w:lang w:val="en-US" w:eastAsia="zh-CN"/>
                      <w14:textFill>
                        <w14:solidFill>
                          <w14:schemeClr w14:val="tx1"/>
                        </w14:solidFill>
                      </w14:textFill>
                    </w:rPr>
                    <w:t>0</w:t>
                  </w:r>
                </w:p>
              </w:tc>
              <w:tc>
                <w:tcPr>
                  <w:tcW w:w="1667" w:type="pct"/>
                  <w:tcBorders>
                    <w:tl2br w:val="nil"/>
                    <w:tr2bl w:val="nil"/>
                  </w:tcBorders>
                  <w:noWrap w:val="0"/>
                  <w:vAlign w:val="center"/>
                </w:tcPr>
                <w:p>
                  <w:pPr>
                    <w:pStyle w:val="22"/>
                    <w:pageBreakBefore w:val="0"/>
                    <w:tabs>
                      <w:tab w:val="left" w:pos="0"/>
                      <w:tab w:val="left" w:pos="1365"/>
                    </w:tabs>
                    <w:kinsoku/>
                    <w:wordWrap/>
                    <w:bidi w:val="0"/>
                    <w:adjustRightInd/>
                    <w:snapToGrid/>
                    <w:jc w:val="center"/>
                    <w:rPr>
                      <w:rFonts w:hint="default" w:ascii="Times New Roman" w:hAnsi="Times New Roman" w:eastAsia="宋体" w:cs="Times New Roman"/>
                      <w: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1"/>
                      <w:szCs w:val="21"/>
                      <w:highlight w:val="none"/>
                      <w:lang w:val="en-US" w:eastAsia="zh-CN"/>
                      <w14:textFill>
                        <w14:solidFill>
                          <w14:schemeClr w14:val="tx1"/>
                        </w14:solidFill>
                      </w14:textFill>
                    </w:rPr>
                    <w:t>50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4</w:t>
            </w:r>
            <w:r>
              <w:rPr>
                <w:rFonts w:hint="eastAsia" w:cs="Times New Roman"/>
                <w:b/>
                <w:bCs/>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bCs/>
                <w:caps w:val="0"/>
                <w:color w:val="000000" w:themeColor="text1"/>
                <w:spacing w:val="0"/>
                <w:kern w:val="0"/>
                <w:position w:val="0"/>
                <w:sz w:val="24"/>
                <w:highlight w:val="none"/>
                <w14:textFill>
                  <w14:solidFill>
                    <w14:schemeClr w14:val="tx1"/>
                  </w14:solidFill>
                </w14:textFill>
              </w:rPr>
              <w:t>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一般固体废物执行《</w:t>
            </w:r>
            <w:r>
              <w:rPr>
                <w:rFonts w:hint="default" w:ascii="Times New Roman" w:hAnsi="Times New Roman" w:eastAsia="宋体" w:cs="Times New Roman"/>
                <w:caps w:val="0"/>
                <w:color w:val="000000" w:themeColor="text1"/>
                <w:spacing w:val="0"/>
                <w:kern w:val="0"/>
                <w:position w:val="0"/>
                <w:sz w:val="24"/>
                <w:highlight w:val="none"/>
                <w:lang w:eastAsia="zh-CN"/>
                <w14:textFill>
                  <w14:solidFill>
                    <w14:schemeClr w14:val="tx1"/>
                  </w14:solidFill>
                </w14:textFill>
              </w:rPr>
              <w:t>一般工业固体废物贮存和填埋污染控制标准</w:t>
            </w: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》（GB 18599-2020）中的相关规定</w:t>
            </w:r>
            <w:r>
              <w:rPr>
                <w:rFonts w:hint="default" w:ascii="Times New Roman" w:hAnsi="Times New Roman" w:eastAsia="宋体" w:cs="Times New Roman"/>
                <w: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lang w:val="en-US" w:eastAsia="zh-CN"/>
                <w14:textFill>
                  <w14:solidFill>
                    <w14:schemeClr w14:val="tx1"/>
                  </w14:solidFill>
                </w14:textFill>
              </w:rPr>
              <w:t>危险废物执行</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危险废物贮存污染控制标准</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GB 18597-2023</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中相关要求</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w:t>
            </w:r>
            <w:r>
              <w:rPr>
                <w:rFonts w:hint="eastAsia" w:cs="Times New Roman"/>
                <w:color w:val="000000" w:themeColor="text1"/>
                <w:spacing w:val="0"/>
                <w:kern w:val="0"/>
                <w:position w:val="0"/>
                <w:sz w:val="24"/>
                <w:szCs w:val="24"/>
                <w:highlight w:val="none"/>
                <w:lang w:val="en-US" w:eastAsia="zh-CN"/>
                <w14:textFill>
                  <w14:solidFill>
                    <w14:schemeClr w14:val="tx1"/>
                  </w14:solidFill>
                </w14:textFill>
              </w:rPr>
              <w:t>还原土</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执行</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《油气田钻井固体废物综合利用污染控制要求》（DB65/T3997-2017）</w:t>
            </w:r>
            <w:r>
              <w:rPr>
                <w:rFonts w:hint="default" w:ascii="Times New Roman" w:hAnsi="Times New Roman" w:eastAsia="宋体" w:cs="Times New Roman"/>
                <w:color w:val="000000" w:themeColor="text1"/>
                <w:spacing w:val="0"/>
                <w:kern w:val="0"/>
                <w:position w:val="0"/>
                <w:sz w:val="24"/>
                <w:szCs w:val="24"/>
                <w:highlight w:val="none"/>
                <w:lang w:eastAsia="zh-CN"/>
                <w14:textFill>
                  <w14:solidFill>
                    <w14:schemeClr w14:val="tx1"/>
                  </w14:solidFill>
                </w14:textFill>
              </w:rPr>
              <w:t>《土壤环境质量 建设用地土壤污染风险管控标准（试行）》（GB36600-2018）第二类用地土壤污染风险筛选值要求</w:t>
            </w:r>
            <w: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t>。</w:t>
            </w:r>
          </w:p>
          <w:p>
            <w:pPr>
              <w:pStyle w:val="2"/>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pStyle w:val="2"/>
              <w:rPr>
                <w:rFonts w:hint="default" w:ascii="Times New Roman" w:hAnsi="Times New Roman" w:eastAsia="宋体" w:cs="Times New Roman"/>
                <w:color w:val="000000" w:themeColor="text1"/>
                <w:spacing w:val="0"/>
                <w:kern w:val="0"/>
                <w:position w:val="0"/>
                <w:sz w:val="24"/>
                <w:szCs w:val="24"/>
                <w:highlight w:val="none"/>
                <w14:textFill>
                  <w14:solidFill>
                    <w14:schemeClr w14:val="tx1"/>
                  </w14:solidFill>
                </w14:textFill>
              </w:rPr>
            </w:pPr>
          </w:p>
          <w:p>
            <w:pPr>
              <w:pStyle w:val="2"/>
              <w:ind w:left="0" w:leftChars="0" w:firstLine="0" w:firstLineChars="0"/>
              <w:rPr>
                <w:rFonts w:hint="default"/>
                <w:color w:val="000000" w:themeColor="text1"/>
                <w:lang w:val="en-US" w:eastAsia="zh-CN"/>
                <w14:textFill>
                  <w14:solidFill>
                    <w14:schemeClr w14:val="tx1"/>
                  </w14:solidFill>
                </w14:textFill>
              </w:rPr>
            </w:pPr>
          </w:p>
          <w:p>
            <w:pPr>
              <w:rPr>
                <w:rFonts w:hint="default"/>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18" w:hRule="atLeast"/>
          <w:jc w:val="center"/>
        </w:trPr>
        <w:tc>
          <w:tcPr>
            <w:tcW w:w="509" w:type="dxa"/>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总量</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控制</w:t>
            </w:r>
          </w:p>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position w:val="0"/>
                <w:sz w:val="24"/>
                <w:highlight w:val="none"/>
                <w14:textFill>
                  <w14:solidFill>
                    <w14:schemeClr w14:val="tx1"/>
                  </w14:solidFill>
                </w14:textFill>
              </w:rPr>
              <w:t>指标</w:t>
            </w:r>
          </w:p>
        </w:tc>
        <w:tc>
          <w:tcPr>
            <w:tcW w:w="8552" w:type="dxa"/>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lang w:val="en-US" w:eastAsia="zh-CN" w:bidi="ar-SA"/>
                <w14:textFill>
                  <w14:solidFill>
                    <w14:schemeClr w14:val="tx1"/>
                  </w14:solidFill>
                </w14:textFill>
              </w:rPr>
              <w:t>本项目运营期无总量控制类污染物排放，因此不设总量控制指标。</w:t>
            </w:r>
          </w:p>
        </w:tc>
      </w:tr>
    </w:tbl>
    <w:p>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宋体"/>
          <w:b/>
          <w:caps w:val="0"/>
          <w:snapToGrid w:val="0"/>
          <w:color w:val="000000" w:themeColor="text1"/>
          <w:sz w:val="30"/>
          <w:szCs w:val="30"/>
          <w:highlight w:val="none"/>
          <w14:textFill>
            <w14:solidFill>
              <w14:schemeClr w14:val="tx1"/>
            </w14:solidFill>
          </w14:textFill>
        </w:rPr>
      </w:pPr>
      <w:r>
        <w:rPr>
          <w:rFonts w:ascii="Times New Roman" w:hAnsi="Times New Roman" w:eastAsia="宋体"/>
          <w:caps w:val="0"/>
          <w:snapToGrid w:val="0"/>
          <w:color w:val="000000" w:themeColor="text1"/>
          <w:sz w:val="36"/>
          <w:szCs w:val="36"/>
          <w:highlight w:val="none"/>
          <w14:textFill>
            <w14:solidFill>
              <w14:schemeClr w14:val="tx1"/>
            </w14:solidFill>
          </w14:textFill>
        </w:rPr>
        <w:br w:type="page"/>
      </w:r>
      <w:bookmarkStart w:id="8" w:name="_Toc12627"/>
      <w:bookmarkStart w:id="9" w:name="_Toc20803"/>
      <w:r>
        <w:rPr>
          <w:rFonts w:ascii="Times New Roman" w:hAnsi="Times New Roman" w:eastAsia="宋体"/>
          <w:b/>
          <w:caps w:val="0"/>
          <w:snapToGrid w:val="0"/>
          <w:color w:val="000000" w:themeColor="text1"/>
          <w:sz w:val="30"/>
          <w:szCs w:val="30"/>
          <w:highlight w:val="none"/>
          <w14:textFill>
            <w14:solidFill>
              <w14:schemeClr w14:val="tx1"/>
            </w14:solidFill>
          </w14:textFill>
        </w:rPr>
        <w:t>四、主要环境影响和保护措施</w:t>
      </w:r>
      <w:bookmarkEnd w:id="8"/>
      <w:bookmarkEnd w:id="9"/>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491"/>
        <w:gridCol w:w="865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91" w:type="dxa"/>
            <w:tcBorders>
              <w:tl2br w:val="nil"/>
              <w:tr2bl w:val="nil"/>
            </w:tcBorders>
            <w:noWrap w:val="0"/>
            <w:tcMar>
              <w:left w:w="28" w:type="dxa"/>
              <w:right w:w="28" w:type="dxa"/>
            </w:tcMar>
            <w:vAlign w:val="center"/>
          </w:tcPr>
          <w:p>
            <w:pPr>
              <w:pStyle w:val="43"/>
              <w:keepLines w:val="0"/>
              <w:pageBreakBefore w:val="0"/>
              <w:kinsoku/>
              <w:wordWrap/>
              <w:overflowPunct/>
              <w:bidi w:val="0"/>
              <w:adjustRightInd w:val="0"/>
              <w:snapToGrid w:val="0"/>
              <w:spacing w:before="0" w:beforeAutospacing="0" w:after="0" w:afterAutospacing="0"/>
              <w:ind w:left="0" w:right="0"/>
              <w:jc w:val="cente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t>施工</w:t>
            </w:r>
          </w:p>
          <w:p>
            <w:pPr>
              <w:pStyle w:val="43"/>
              <w:keepLines w:val="0"/>
              <w:pageBreakBefore w:val="0"/>
              <w:kinsoku/>
              <w:wordWrap/>
              <w:overflowPunct/>
              <w:bidi w:val="0"/>
              <w:adjustRightInd w:val="0"/>
              <w:snapToGrid w:val="0"/>
              <w:spacing w:before="0" w:beforeAutospacing="0" w:after="0" w:afterAutospacing="0"/>
              <w:ind w:left="0" w:right="0"/>
              <w:jc w:val="cente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t>期环</w:t>
            </w:r>
          </w:p>
          <w:p>
            <w:pPr>
              <w:pStyle w:val="43"/>
              <w:keepLines w:val="0"/>
              <w:pageBreakBefore w:val="0"/>
              <w:kinsoku/>
              <w:wordWrap/>
              <w:overflowPunct/>
              <w:bidi w:val="0"/>
              <w:adjustRightInd w:val="0"/>
              <w:snapToGrid w:val="0"/>
              <w:spacing w:before="0" w:beforeAutospacing="0" w:after="0" w:afterAutospacing="0"/>
              <w:ind w:left="0" w:right="0"/>
              <w:jc w:val="cente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t>境保</w:t>
            </w:r>
          </w:p>
          <w:p>
            <w:pPr>
              <w:pStyle w:val="43"/>
              <w:keepLines w:val="0"/>
              <w:pageBreakBefore w:val="0"/>
              <w:kinsoku/>
              <w:wordWrap/>
              <w:overflowPunct/>
              <w:bidi w:val="0"/>
              <w:adjustRightInd w:val="0"/>
              <w:snapToGrid w:val="0"/>
              <w:spacing w:before="0" w:beforeAutospacing="0" w:after="0" w:afterAutospacing="0"/>
              <w:ind w:left="0" w:right="0"/>
              <w:jc w:val="cente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t>护措</w:t>
            </w:r>
          </w:p>
          <w:p>
            <w:pPr>
              <w:pStyle w:val="43"/>
              <w:keepLines w:val="0"/>
              <w:pageBreakBefore w:val="0"/>
              <w:kinsoku/>
              <w:wordWrap/>
              <w:overflowPunct/>
              <w:bidi w:val="0"/>
              <w:adjustRightInd w:val="0"/>
              <w:snapToGrid w:val="0"/>
              <w:spacing w:before="0" w:beforeAutospacing="0" w:after="0" w:afterAutospacing="0"/>
              <w:ind w:left="0" w:right="0"/>
              <w:jc w:val="center"/>
              <w:rPr>
                <w:rFonts w:hint="default" w:ascii="Times New Roman" w:hAnsi="Times New Roman" w:eastAsia="宋体" w:cs="Times New Roman"/>
                <w:bCs/>
                <w:caps w:val="0"/>
                <w:smallCaps w:val="0"/>
                <w:color w:val="000000" w:themeColor="text1"/>
                <w:spacing w:val="0"/>
                <w:kern w:val="0"/>
                <w:position w:val="0"/>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Cs w:val="24"/>
                <w:highlight w:val="none"/>
                <w14:textFill>
                  <w14:solidFill>
                    <w14:schemeClr w14:val="tx1"/>
                  </w14:solidFill>
                </w14:textFill>
              </w:rPr>
              <w:t>施</w:t>
            </w:r>
          </w:p>
        </w:tc>
        <w:tc>
          <w:tcPr>
            <w:tcW w:w="8650" w:type="dxa"/>
            <w:tcBorders>
              <w:tl2br w:val="nil"/>
              <w:tr2bl w:val="nil"/>
            </w:tcBorders>
            <w:noWrap w:val="0"/>
            <w:vAlign w:val="top"/>
          </w:tcPr>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eastAsia="zh-CN"/>
                <w14:textFill>
                  <w14:solidFill>
                    <w14:schemeClr w14:val="tx1"/>
                  </w14:solidFill>
                </w14:textFill>
              </w:rPr>
              <w:t>本项目</w:t>
            </w:r>
            <w:r>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t>施工</w:t>
            </w:r>
            <w:r>
              <w:rPr>
                <w:rFonts w:hint="eastAsia" w:hAnsi="Times New Roman" w:cs="Times New Roman"/>
                <w:caps w:val="0"/>
                <w:smallCaps w:val="0"/>
                <w:color w:val="000000" w:themeColor="text1"/>
                <w:spacing w:val="0"/>
                <w:kern w:val="0"/>
                <w:position w:val="0"/>
                <w:highlight w:val="none"/>
                <w:lang w:eastAsia="zh-CN"/>
                <w14:textFill>
                  <w14:solidFill>
                    <w14:schemeClr w14:val="tx1"/>
                  </w14:solidFill>
                </w14:textFill>
              </w:rPr>
              <w:t>期间</w:t>
            </w:r>
            <w:r>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t>对环境的影响主要表现为施工期间产生的扬尘、废水、噪声和施工固废等对环境的影响</w:t>
            </w:r>
            <w:r>
              <w:rPr>
                <w:rFonts w:hint="eastAsia" w:hAnsi="Times New Roman" w:cs="Times New Roman"/>
                <w:caps w:val="0"/>
                <w:smallCaps w:val="0"/>
                <w:color w:val="000000" w:themeColor="text1"/>
                <w:spacing w:val="0"/>
                <w:kern w:val="0"/>
                <w:position w:val="0"/>
                <w:highlight w:val="none"/>
                <w:lang w:eastAsia="zh-CN"/>
                <w14:textFill>
                  <w14:solidFill>
                    <w14:schemeClr w14:val="tx1"/>
                  </w14:solidFill>
                </w14:textFill>
              </w:rPr>
              <w:t>。</w:t>
            </w:r>
            <w:r>
              <w:rPr>
                <w:rFonts w:hint="eastAsia" w:hAnsi="Times New Roman" w:cs="Times New Roman"/>
                <w:caps w:val="0"/>
                <w:smallCaps w:val="0"/>
                <w:color w:val="000000" w:themeColor="text1"/>
                <w:spacing w:val="0"/>
                <w:kern w:val="0"/>
                <w:position w:val="0"/>
                <w:highlight w:val="none"/>
                <w:lang w:val="en-US" w:eastAsia="zh-CN"/>
                <w14:textFill>
                  <w14:solidFill>
                    <w14:schemeClr w14:val="tx1"/>
                  </w14:solidFill>
                </w14:textFill>
              </w:rPr>
              <w:t>施工期在项目占地范围内设置施工临时生活区，为移动式彩板房，施工期不设置供暖设施。</w:t>
            </w:r>
          </w:p>
          <w:p>
            <w:pPr>
              <w:pStyle w:val="219"/>
              <w:keepLines w:val="0"/>
              <w:pageBreakBefore w:val="0"/>
              <w:kinsoku/>
              <w:wordWrap/>
              <w:overflowPunct/>
              <w:bidi w:val="0"/>
              <w:adjustRightInd w:val="0"/>
              <w:snapToGrid w:val="0"/>
              <w:spacing w:before="0" w:after="0"/>
              <w:ind w:left="0" w:leftChars="0" w:right="0" w:firstLine="0" w:firstLineChars="0"/>
              <w:rPr>
                <w:rFonts w:hint="default" w:ascii="Times New Roman" w:hAnsi="Times New Roman" w:eastAsia="宋体" w:cs="Times New Roman"/>
                <w:b/>
                <w:bCs/>
                <w:caps w:val="0"/>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position w:val="0"/>
                <w:highlight w:val="none"/>
                <w14:textFill>
                  <w14:solidFill>
                    <w14:schemeClr w14:val="tx1"/>
                  </w14:solidFill>
                </w14:textFill>
              </w:rPr>
              <w:t>1</w:t>
            </w:r>
            <w:r>
              <w:rPr>
                <w:rFonts w:hint="eastAsia" w:hAnsi="Times New Roman" w:cs="Times New Roman"/>
                <w:b/>
                <w:bCs/>
                <w:caps w:val="0"/>
                <w:smallCaps w:val="0"/>
                <w:color w:val="000000" w:themeColor="text1"/>
                <w:spacing w:val="0"/>
                <w:kern w:val="0"/>
                <w:position w:val="0"/>
                <w:highlight w:val="none"/>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kern w:val="0"/>
                <w:position w:val="0"/>
                <w:highlight w:val="none"/>
                <w14:textFill>
                  <w14:solidFill>
                    <w14:schemeClr w14:val="tx1"/>
                  </w14:solidFill>
                </w14:textFill>
              </w:rPr>
              <w:t>施工期废气污染防治措施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施工期扬尘主要分为厂区土建施工产生扬尘和运输产生的扬尘，包括土方施工、土方和水泥砂石等建筑料运输、装卸、堆存产生一定的扬尘，作业产生的扬尘与气候有关，大风时对下风向的污染严重；同时运输车辆产生道路扬尘。上述施工扬尘若不采取有效控制措施，可能对周边环境空气产生污染影响。为最大限度地控制施工期间对周边环境空气质量的不良影响，拟采取以下大气污染防治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1）建设单位应指定专人负责施工现场扬尘污染措施的实施和监督。施工工地出入口须设立环境保护监督牌，注明项目名称、建设单位、施工单位、防治扬尘污染现场监督员姓名和联系电话、项目工期、环保措施、举报电话等内容；</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（2）施工工地周边百分百围挡。施工</w:t>
            </w:r>
            <w:r>
              <w:rPr>
                <w:rFonts w:hint="eastAsia" w:hAnsi="Times New Roman" w:cs="Times New Roman"/>
                <w:caps w:val="0"/>
                <w:smallCaps w:val="0"/>
                <w:color w:val="000000" w:themeColor="text1"/>
                <w:spacing w:val="0"/>
                <w:kern w:val="0"/>
                <w:position w:val="0"/>
                <w:highlight w:val="none"/>
                <w:lang w:val="en-US" w:eastAsia="zh-CN"/>
                <w14:textFill>
                  <w14:solidFill>
                    <w14:schemeClr w14:val="tx1"/>
                  </w14:solidFill>
                </w14:textFill>
              </w:rPr>
              <w:t>场地</w:t>
            </w: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周边须设置不低于2m的硬质围墙或围挡，严禁敞开式作业；</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（3）物料堆放百分百覆盖。施工</w:t>
            </w:r>
            <w:r>
              <w:rPr>
                <w:rFonts w:hint="eastAsia" w:hAnsi="Times New Roman" w:cs="Times New Roman"/>
                <w:caps w:val="0"/>
                <w:smallCaps w:val="0"/>
                <w:color w:val="000000" w:themeColor="text1"/>
                <w:spacing w:val="0"/>
                <w:kern w:val="0"/>
                <w:position w:val="0"/>
                <w:highlight w:val="none"/>
                <w:lang w:val="en-US" w:eastAsia="zh-CN"/>
                <w14:textFill>
                  <w14:solidFill>
                    <w14:schemeClr w14:val="tx1"/>
                  </w14:solidFill>
                </w14:textFill>
              </w:rPr>
              <w:t>场地</w:t>
            </w: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内堆放易产生扬尘污染物料的，必须密闭存放或覆盖。工程主体施工阶段必须使用密目式安全网进行封闭；</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（4）出入车辆百分之百冲洗。施工工地现场出入口应设置车辆冲洗台以及配套的排水、泥浆沉淀设施，冲洗设施到位，车辆在驶出工地前，应将车轮、车身冲洗干净，不得带泥上路；</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（5）土方开挖阶段，应对施工现场的车行道路进行简易硬化，并辅以洒水等降尘措施；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（6）施工期间，工地内从建筑上层将具有粉尘逸散性的物料、渣土或废弃物输送至地面时，应采取密闭方式输送，不得凌空抛撒；</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（7）出现五级以上大风天气时，禁止进行土方等易产生扬尘污染的施工作业；</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（8）施工场地应保持整洁，应采用吸尘或水冲洗的方法清洁施工</w:t>
            </w:r>
            <w:r>
              <w:rPr>
                <w:rFonts w:hint="eastAsia" w:hAnsi="Times New Roman" w:cs="Times New Roman"/>
                <w:caps w:val="0"/>
                <w:smallCaps w:val="0"/>
                <w:color w:val="000000" w:themeColor="text1"/>
                <w:spacing w:val="0"/>
                <w:kern w:val="0"/>
                <w:position w:val="0"/>
                <w:highlight w:val="none"/>
                <w:lang w:val="en-US" w:eastAsia="zh-CN"/>
                <w14:textFill>
                  <w14:solidFill>
                    <w14:schemeClr w14:val="tx1"/>
                  </w14:solidFill>
                </w14:textFill>
              </w:rPr>
              <w:t>场地</w:t>
            </w: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道路积尘，不得在未实施洒水等抑尘措施情况下进行直接清扫；</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（9）建筑垃圾运输车辆必须严密覆盖，严禁撒漏，同时应限制车辆行驶速度。</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（10）施工单位必须选用符合国家标准的施工机械和运输工具，确保其废气排放符合国家有关标准。并通过加强车辆和机械设备维护保养，减少不必要的空转时间，以控制机械尾气排放。</w:t>
            </w:r>
          </w:p>
          <w:p>
            <w:pPr>
              <w:pStyle w:val="219"/>
              <w:keepLines w:val="0"/>
              <w:pageBreakBefore w:val="0"/>
              <w:kinsoku/>
              <w:wordWrap/>
              <w:overflowPunct/>
              <w:bidi w:val="0"/>
              <w:adjustRightInd w:val="0"/>
              <w:snapToGrid w:val="0"/>
              <w:spacing w:before="0" w:after="0"/>
              <w:ind w:left="0" w:leftChars="0" w:right="0" w:firstLine="0" w:firstLineChars="0"/>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t>2</w:t>
            </w:r>
            <w:r>
              <w:rPr>
                <w:rFonts w:hint="eastAsia" w:hAnsi="Times New Roman" w:cs="Times New Roman"/>
                <w:b/>
                <w:bCs/>
                <w:caps w:val="0"/>
                <w:smallCaps w:val="0"/>
                <w:color w:val="000000" w:themeColor="text1"/>
                <w:spacing w:val="0"/>
                <w:kern w:val="0"/>
                <w:position w:val="0"/>
                <w:highlight w:val="none"/>
                <w:lang w:val="en-US"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t>施工期水环境保护措施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（1）施工废水</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施工废水主要为混凝土养护废水和设备、工具清洗废水，产生量较小，主要污染物为SS。工地设置临时沉淀池，少量施工废水不直接排放，应集中收集，经过临时沉淀池沉淀后，用于洒水抑尘，对周围环境影响较小。</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（2）生活污水</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施工生活污水可排入防渗生活污水暂存池，施工期结束后运至</w:t>
            </w:r>
            <w:r>
              <w:rPr>
                <w:rFonts w:hint="eastAsia"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尉犁县</w:t>
            </w: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污水处理厂处理。</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本项目与地表水不存在水力联系， 施工</w:t>
            </w:r>
            <w:r>
              <w:rPr>
                <w:rFonts w:hint="eastAsia" w:hAnsi="Times New Roman" w:cs="Times New Roman"/>
                <w:caps w:val="0"/>
                <w:smallCaps w:val="0"/>
                <w:color w:val="000000" w:themeColor="text1"/>
                <w:spacing w:val="0"/>
                <w:kern w:val="0"/>
                <w:position w:val="0"/>
                <w:highlight w:val="none"/>
                <w:lang w:val="en-US" w:eastAsia="zh-CN"/>
                <w14:textFill>
                  <w14:solidFill>
                    <w14:schemeClr w14:val="tx1"/>
                  </w14:solidFill>
                </w14:textFill>
              </w:rPr>
              <w:t>期间</w:t>
            </w: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污水处理措施得当，不会对地下水环境造成不利影响。</w:t>
            </w:r>
          </w:p>
          <w:p>
            <w:pPr>
              <w:pStyle w:val="219"/>
              <w:keepLines w:val="0"/>
              <w:pageBreakBefore w:val="0"/>
              <w:kinsoku/>
              <w:wordWrap/>
              <w:overflowPunct/>
              <w:bidi w:val="0"/>
              <w:adjustRightInd w:val="0"/>
              <w:snapToGrid w:val="0"/>
              <w:spacing w:before="0" w:after="0"/>
              <w:ind w:left="0" w:leftChars="0" w:right="0" w:firstLine="0" w:firstLineChars="0"/>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t>3</w:t>
            </w:r>
            <w:r>
              <w:rPr>
                <w:rFonts w:hint="eastAsia" w:hAnsi="Times New Roman" w:cs="Times New Roman"/>
                <w:b/>
                <w:bCs/>
                <w:caps w:val="0"/>
                <w:smallCaps w:val="0"/>
                <w:color w:val="000000" w:themeColor="text1"/>
                <w:spacing w:val="0"/>
                <w:kern w:val="0"/>
                <w:position w:val="0"/>
                <w:highlight w:val="none"/>
                <w:lang w:val="en-US"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t>施工期噪声控制措施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为最大限度避免和减轻施工及运输噪声对周围声环境的不利影响，本评价对施工期噪声控制提出以下要求和建议：</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（1）建设单位应要求施工单位使用低噪声、低振动的机械设备类型，并在 施工中设专人对其进行保养维护，对设备使用人员进行培训，严格按操作规范使用各类机械。</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（2）应合理安排施工作业，避免高噪设备集中施工造成局部噪声过高。</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t>（3）运输车辆进出工地时应低速行驶，少鸣笛或不鸣笛。</w:t>
            </w:r>
          </w:p>
          <w:p>
            <w:pPr>
              <w:pStyle w:val="219"/>
              <w:keepLines w:val="0"/>
              <w:pageBreakBefore w:val="0"/>
              <w:kinsoku/>
              <w:wordWrap/>
              <w:overflowPunct/>
              <w:bidi w:val="0"/>
              <w:adjustRightInd w:val="0"/>
              <w:snapToGrid w:val="0"/>
              <w:spacing w:before="0" w:after="0"/>
              <w:ind w:left="0" w:leftChars="0" w:right="0" w:firstLine="0" w:firstLineChars="0"/>
              <w:rPr>
                <w:rFonts w:hint="default" w:ascii="Times New Roman" w:hAnsi="Times New Roman" w:eastAsia="宋体" w:cs="Times New Roman"/>
                <w:b/>
                <w:bCs/>
                <w:caps w:val="0"/>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position w:val="0"/>
                <w:highlight w:val="none"/>
                <w14:textFill>
                  <w14:solidFill>
                    <w14:schemeClr w14:val="tx1"/>
                  </w14:solidFill>
                </w14:textFill>
              </w:rPr>
              <w:t>4</w:t>
            </w:r>
            <w:r>
              <w:rPr>
                <w:rFonts w:hint="eastAsia" w:hAnsi="Times New Roman" w:cs="Times New Roman"/>
                <w:b/>
                <w:bCs/>
                <w:caps w:val="0"/>
                <w:smallCaps w:val="0"/>
                <w:color w:val="000000" w:themeColor="text1"/>
                <w:spacing w:val="0"/>
                <w:kern w:val="0"/>
                <w:position w:val="0"/>
                <w:highlight w:val="none"/>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kern w:val="0"/>
                <w:position w:val="0"/>
                <w:highlight w:val="none"/>
                <w14:textFill>
                  <w14:solidFill>
                    <w14:schemeClr w14:val="tx1"/>
                  </w14:solidFill>
                </w14:textFill>
              </w:rPr>
              <w:t>施工期固体废物环境影响减缓措施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t>为减轻施工期固体废物对周围环境产生的不利影响，本评价要求施工单位采取以下防范措施：</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t>①工程土方施工应对挖方定点堆放，多余土方用于场地平整。</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②施工单位应指派专人负责施工区固体废物的收集及转运工作，</w:t>
            </w:r>
            <w:r>
              <w:rPr>
                <w:rFonts w:hint="eastAsia" w:hAnsi="Times New Roman" w:cs="Times New Roman"/>
                <w:caps w:val="0"/>
                <w:smallCaps w:val="0"/>
                <w:color w:val="000000" w:themeColor="text1"/>
                <w:spacing w:val="0"/>
                <w:kern w:val="0"/>
                <w:position w:val="0"/>
                <w:sz w:val="24"/>
                <w:highlight w:val="none"/>
                <w:lang w:val="en-US" w:eastAsia="zh-CN"/>
                <w14:textFill>
                  <w14:solidFill>
                    <w14:schemeClr w14:val="tx1"/>
                  </w14:solidFill>
                </w14:textFill>
              </w:rPr>
              <w:t>施工固废中可利用部分优先进行综合利用，其余部分清运至住建部门指定地点。</w:t>
            </w:r>
          </w:p>
          <w:p>
            <w:pPr>
              <w:pStyle w:val="219"/>
              <w:keepLines w:val="0"/>
              <w:pageBreakBefore w:val="0"/>
              <w:kinsoku/>
              <w:wordWrap/>
              <w:overflowPunct/>
              <w:bidi w:val="0"/>
              <w:adjustRightInd w:val="0"/>
              <w:snapToGrid w:val="0"/>
              <w:spacing w:before="0" w:after="0"/>
              <w:ind w:left="0" w:right="0"/>
              <w:rPr>
                <w:rFonts w:hint="default" w:ascii="Times New Roman" w:hAnsi="Times New Roman" w:eastAsia="宋体" w:cs="Times New Roman"/>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highlight w:val="none"/>
                <w14:textFill>
                  <w14:solidFill>
                    <w14:schemeClr w14:val="tx1"/>
                  </w14:solidFill>
                </w14:textFill>
              </w:rPr>
              <w:t>③提倡文明施工，严禁施工人员产生的生活垃圾随地乱扔。</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91" w:type="dxa"/>
            <w:tcBorders>
              <w:tl2br w:val="nil"/>
              <w:tr2bl w:val="nil"/>
            </w:tcBorders>
            <w:noWrap w:val="0"/>
            <w:tcMar>
              <w:left w:w="28" w:type="dxa"/>
              <w:right w:w="28" w:type="dxa"/>
            </w:tcMar>
            <w:vAlign w:val="center"/>
          </w:tcPr>
          <w:p>
            <w:pPr>
              <w:keepLines w:val="0"/>
              <w:pageBreakBefore w:val="0"/>
              <w:kinsoku/>
              <w:wordWrap/>
              <w:overflowPunct/>
              <w:bidi w:val="0"/>
              <w:adjustRightInd w:val="0"/>
              <w:snapToGrid w:val="0"/>
              <w:ind w:left="0" w:right="0"/>
              <w:jc w:val="cente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t>运营</w:t>
            </w:r>
          </w:p>
          <w:p>
            <w:pPr>
              <w:keepLines w:val="0"/>
              <w:pageBreakBefore w:val="0"/>
              <w:kinsoku/>
              <w:wordWrap/>
              <w:overflowPunct/>
              <w:bidi w:val="0"/>
              <w:adjustRightInd w:val="0"/>
              <w:snapToGrid w:val="0"/>
              <w:ind w:left="0" w:right="0"/>
              <w:jc w:val="cente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t>期环</w:t>
            </w:r>
          </w:p>
          <w:p>
            <w:pPr>
              <w:keepLines w:val="0"/>
              <w:pageBreakBefore w:val="0"/>
              <w:kinsoku/>
              <w:wordWrap/>
              <w:overflowPunct/>
              <w:bidi w:val="0"/>
              <w:adjustRightInd w:val="0"/>
              <w:snapToGrid w:val="0"/>
              <w:ind w:left="0" w:right="0"/>
              <w:jc w:val="cente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t>境影</w:t>
            </w:r>
          </w:p>
          <w:p>
            <w:pPr>
              <w:keepLines w:val="0"/>
              <w:pageBreakBefore w:val="0"/>
              <w:kinsoku/>
              <w:wordWrap/>
              <w:overflowPunct/>
              <w:bidi w:val="0"/>
              <w:adjustRightInd w:val="0"/>
              <w:snapToGrid w:val="0"/>
              <w:ind w:left="0" w:right="0"/>
              <w:jc w:val="cente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t>响和</w:t>
            </w:r>
          </w:p>
          <w:p>
            <w:pPr>
              <w:keepLines w:val="0"/>
              <w:pageBreakBefore w:val="0"/>
              <w:kinsoku/>
              <w:wordWrap/>
              <w:overflowPunct/>
              <w:bidi w:val="0"/>
              <w:adjustRightInd w:val="0"/>
              <w:snapToGrid w:val="0"/>
              <w:ind w:left="0" w:right="0"/>
              <w:jc w:val="cente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t>保护</w:t>
            </w:r>
          </w:p>
          <w:p>
            <w:pPr>
              <w:keepLines w:val="0"/>
              <w:pageBreakBefore w:val="0"/>
              <w:kinsoku/>
              <w:wordWrap/>
              <w:overflowPunct/>
              <w:bidi w:val="0"/>
              <w:adjustRightInd w:val="0"/>
              <w:snapToGrid w:val="0"/>
              <w:ind w:left="0" w:right="0"/>
              <w:jc w:val="cente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Cs/>
                <w:caps w:val="0"/>
                <w:smallCaps w:val="0"/>
                <w:color w:val="000000" w:themeColor="text1"/>
                <w:spacing w:val="0"/>
                <w:kern w:val="0"/>
                <w:position w:val="0"/>
                <w:sz w:val="24"/>
                <w:highlight w:val="none"/>
                <w14:textFill>
                  <w14:solidFill>
                    <w14:schemeClr w14:val="tx1"/>
                  </w14:solidFill>
                </w14:textFill>
              </w:rPr>
              <w:t>措施</w:t>
            </w:r>
          </w:p>
        </w:tc>
        <w:tc>
          <w:tcPr>
            <w:tcW w:w="8650" w:type="dxa"/>
            <w:tcBorders>
              <w:tl2br w:val="nil"/>
              <w:tr2bl w:val="nil"/>
            </w:tcBorders>
            <w:noWrap w:val="0"/>
            <w:vAlign w:val="top"/>
          </w:tcPr>
          <w:p>
            <w:pPr>
              <w:keepLines w:val="0"/>
              <w:pageBreakBefore w:val="0"/>
              <w:kinsoku/>
              <w:wordWrap/>
              <w:overflowPunct/>
              <w:bidi w:val="0"/>
              <w:adjustRightInd w:val="0"/>
              <w:snapToGrid w:val="0"/>
              <w:spacing w:line="360" w:lineRule="auto"/>
              <w:ind w:left="0" w:right="0"/>
              <w:rPr>
                <w:rFonts w:hint="default" w:ascii="Times New Roman" w:hAnsi="Times New Roman" w:eastAsia="宋体" w:cs="Times New Roman"/>
                <w:b/>
                <w:bCs/>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position w:val="0"/>
                <w:sz w:val="24"/>
                <w:highlight w:val="none"/>
                <w14:textFill>
                  <w14:solidFill>
                    <w14:schemeClr w14:val="tx1"/>
                  </w14:solidFill>
                </w14:textFill>
              </w:rPr>
              <w:t>1</w:t>
            </w:r>
            <w:r>
              <w:rPr>
                <w:rFonts w:hint="eastAsia" w:cs="Times New Roman"/>
                <w:b/>
                <w:bCs/>
                <w:caps w:val="0"/>
                <w:smallCaps w:val="0"/>
                <w:color w:val="000000" w:themeColor="text1"/>
                <w:spacing w:val="0"/>
                <w:kern w:val="0"/>
                <w:position w:val="0"/>
                <w:sz w:val="24"/>
                <w:highlight w:val="none"/>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pacing w:val="0"/>
                <w:kern w:val="0"/>
                <w:position w:val="0"/>
                <w:sz w:val="24"/>
                <w:highlight w:val="none"/>
                <w14:textFill>
                  <w14:solidFill>
                    <w14:schemeClr w14:val="tx1"/>
                  </w14:solidFill>
                </w14:textFill>
              </w:rPr>
              <w:t>大气环境影响分析</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eastAsia="宋体" w:cs="Times New Roman"/>
                <w:b/>
                <w:bCs w:val="0"/>
                <w:caps w:val="0"/>
                <w:smallCaps w:val="0"/>
                <w:color w:val="000000" w:themeColor="text1"/>
                <w:spacing w:val="0"/>
                <w:kern w:val="0"/>
                <w:position w:val="0"/>
                <w:sz w:val="24"/>
                <w:highlight w:val="none"/>
                <w:lang w:eastAsia="zh-CN"/>
                <w14:textFill>
                  <w14:solidFill>
                    <w14:schemeClr w14:val="tx1"/>
                  </w14:solidFill>
                </w14:textFill>
              </w:rPr>
            </w:pPr>
            <w:r>
              <w:rPr>
                <w:rFonts w:hint="default" w:ascii="Times New Roman" w:hAnsi="Times New Roman" w:eastAsia="宋体" w:cs="Times New Roman"/>
                <w:b/>
                <w:bCs w:val="0"/>
                <w:caps w:val="0"/>
                <w:smallCaps w:val="0"/>
                <w:color w:val="000000" w:themeColor="text1"/>
                <w:spacing w:val="0"/>
                <w:kern w:val="0"/>
                <w:position w:val="0"/>
                <w:sz w:val="24"/>
                <w:highlight w:val="none"/>
                <w:lang w:eastAsia="zh-CN"/>
                <w14:textFill>
                  <w14:solidFill>
                    <w14:schemeClr w14:val="tx1"/>
                  </w14:solidFill>
                </w14:textFill>
              </w:rPr>
              <w:t>1.1废气源强分析</w:t>
            </w:r>
          </w:p>
          <w:p>
            <w:pPr>
              <w:pStyle w:val="275"/>
              <w:keepLines w:val="0"/>
              <w:pageBreakBefore w:val="0"/>
              <w:kinsoku/>
              <w:wordWrap/>
              <w:overflowPunct/>
              <w:bidi w:val="0"/>
              <w:adjustRightInd w:val="0"/>
              <w:snapToGrid w:val="0"/>
              <w:ind w:left="0" w:right="0" w:firstLine="480"/>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pP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磺化泥浆废弃物主要是油田钻井过程中随钻带出的泥浆、沙土等混合物。根据项目特点及污染物排放情况，本项目</w:t>
            </w:r>
            <w:r>
              <w:rPr>
                <w:rFonts w:hint="default" w:ascii="Times New Roman" w:hAnsi="Times New Roman" w:eastAsia="宋体" w:cs="Times New Roman"/>
                <w:b w:val="0"/>
                <w:bCs/>
                <w:caps w:val="0"/>
                <w:smallCaps w:val="0"/>
                <w:color w:val="000000" w:themeColor="text1"/>
                <w:spacing w:val="0"/>
                <w:kern w:val="0"/>
                <w:position w:val="0"/>
                <w:sz w:val="24"/>
                <w:highlight w:val="none"/>
                <w14:textFill>
                  <w14:solidFill>
                    <w14:schemeClr w14:val="tx1"/>
                  </w14:solidFill>
                </w14:textFill>
              </w:rPr>
              <w:t>运营期大气污染物主要包括：还原土堆</w:t>
            </w: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存和装车</w:t>
            </w:r>
            <w:r>
              <w:rPr>
                <w:rFonts w:hint="default" w:ascii="Times New Roman" w:hAnsi="Times New Roman" w:eastAsia="宋体" w:cs="Times New Roman"/>
                <w:b w:val="0"/>
                <w:bCs/>
                <w:caps w:val="0"/>
                <w:smallCaps w:val="0"/>
                <w:color w:val="000000" w:themeColor="text1"/>
                <w:spacing w:val="0"/>
                <w:kern w:val="0"/>
                <w:position w:val="0"/>
                <w:sz w:val="24"/>
                <w:highlight w:val="none"/>
                <w14:textFill>
                  <w14:solidFill>
                    <w14:schemeClr w14:val="tx1"/>
                  </w14:solidFill>
                </w14:textFill>
              </w:rPr>
              <w:t>过程中产生的少量扬尘（TSP）</w:t>
            </w: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；本项目</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废弃磺化泥浆</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废弃物中含有用于改善钻井泥浆性能的有机处理剂，暂存过程中可能会有</w:t>
            </w:r>
            <w:r>
              <w:rPr>
                <w:rFonts w:hint="default" w:ascii="Times New Roman" w:hAnsi="Times New Roman" w:eastAsia="宋体" w:cs="Times New Roman"/>
                <w:b w:val="0"/>
                <w:bCs/>
                <w:caps w:val="0"/>
                <w:smallCaps w:val="0"/>
                <w:color w:val="000000" w:themeColor="text1"/>
                <w:spacing w:val="0"/>
                <w:kern w:val="0"/>
                <w:position w:val="0"/>
                <w:sz w:val="24"/>
                <w:highlight w:val="none"/>
                <w14:textFill>
                  <w14:solidFill>
                    <w14:schemeClr w14:val="tx1"/>
                  </w14:solidFill>
                </w14:textFill>
              </w:rPr>
              <w:t>少量挥发性有机物</w:t>
            </w: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（以</w:t>
            </w:r>
            <w:r>
              <w:rPr>
                <w:rFonts w:hint="default" w:ascii="Times New Roman" w:hAnsi="Times New Roman" w:eastAsia="宋体" w:cs="Times New Roman"/>
                <w:b w:val="0"/>
                <w:bCs/>
                <w:caps w:val="0"/>
                <w:smallCaps w:val="0"/>
                <w:color w:val="000000" w:themeColor="text1"/>
                <w:spacing w:val="0"/>
                <w:kern w:val="0"/>
                <w:position w:val="0"/>
                <w:sz w:val="24"/>
                <w:highlight w:val="none"/>
                <w14:textFill>
                  <w14:solidFill>
                    <w14:schemeClr w14:val="tx1"/>
                  </w14:solidFill>
                </w14:textFill>
              </w:rPr>
              <w:t>非甲烷总烃</w:t>
            </w: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计）。</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1.1.1颗粒物</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1.1.1.1还原土堆场粉尘产生量及排放量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（1）颗粒物产生量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本项目还原土堆场</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起尘量核算参考《排放源统计调查产排污核算方法和系数手册》（公告202年第24号）附表2《固体物料堆存颗粒物产排污核算系数手册》中颗粒物产生量计算公式：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object>
                <v:shape id="_x0000_i1025" o:spt="75" type="#_x0000_t75" style="height:20pt;width:250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式中：P--指颗粒物产生量（单位：t）；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960" w:firstLineChars="4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ZC</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y</w:t>
            </w:r>
            <w:r>
              <w:rPr>
                <w:rFonts w:hint="default" w:ascii="Times New Roman" w:hAnsi="Times New Roman" w:eastAsia="宋体" w:cs="Times New Roman"/>
                <w:smallCaps w:val="0"/>
                <w:color w:val="000000" w:themeColor="text1"/>
                <w:spacing w:val="0"/>
                <w:kern w:val="0"/>
                <w:position w:val="0"/>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指装卸扬尘产生量（单位：t）；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960" w:firstLineChars="4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FC</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y</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--指风蚀扬尘产生量（单位：t）；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960" w:firstLineChars="4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N</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c</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--指物料运载车次（单位：车），取</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5167</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车；</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960" w:firstLineChars="4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D--指单车平均运载量（单位：t/车），取</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30</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t/车；</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720" w:firstLineChars="3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（a/b）--指装卸扬尘概化系数（单位：千克/吨），a指各省风速概化系数，取0.0011，b指物料含水率概化系数，取</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0.0151</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960" w:firstLineChars="4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E</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f</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--指堆场风蚀扬尘概化系数（单位：kg/m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）取</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41.5808</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firstLine="960" w:firstLineChars="4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-指堆场占地面积（单位：平方米），取</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9000</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经计算本项目还原土储存及装卸起尘量为</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759.747</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（2）颗粒排放量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还原土场粉尘排放量核算参考《固体物料堆存颗粒物产排污核算系数手册》中颗粒物排放量计算公式：</w:t>
            </w:r>
          </w:p>
          <w:p>
            <w:pPr>
              <w:pStyle w:val="2"/>
              <w:pageBreakBefore w:val="0"/>
              <w:wordWrap/>
              <w:overflowPunct/>
              <w:bidi w:val="0"/>
              <w:adjustRightInd w:val="0"/>
              <w:snapToGrid w:val="0"/>
              <w:spacing w:line="360" w:lineRule="auto"/>
              <w:ind w:left="0" w:leftChars="0" w:right="0" w:firstLine="0" w:firstLineChars="0"/>
              <w:jc w:val="cente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object>
                <v:shape id="_x0000_i1026" o:spt="75" type="#_x0000_t75" style="height:18pt;width:126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式中：P--指颗粒物产生量（单位：t）；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U</w:t>
            </w:r>
            <w:r>
              <w:rPr>
                <w:rFonts w:hint="default" w:ascii="Times New Roman" w:hAnsi="Times New Roman" w:cs="Times New Roman"/>
                <w:smallCaps w:val="0"/>
                <w:color w:val="000000" w:themeColor="text1"/>
                <w:spacing w:val="0"/>
                <w:kern w:val="0"/>
                <w:position w:val="0"/>
                <w:sz w:val="24"/>
                <w:szCs w:val="24"/>
                <w:highlight w:val="none"/>
                <w:vertAlign w:val="subscript"/>
                <w:lang w:val="en-US" w:eastAsia="zh-CN" w:bidi="ar"/>
                <w14:textFill>
                  <w14:solidFill>
                    <w14:schemeClr w14:val="tx1"/>
                  </w14:solidFill>
                </w14:textFill>
              </w:rPr>
              <w:t>c</w:t>
            </w: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--指颗粒物排放量（单位：t）；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C</w:t>
            </w:r>
            <w:r>
              <w:rPr>
                <w:rFonts w:hint="default" w:ascii="Times New Roman" w:hAnsi="Times New Roman" w:cs="Times New Roman"/>
                <w:smallCaps w:val="0"/>
                <w:color w:val="000000" w:themeColor="text1"/>
                <w:spacing w:val="0"/>
                <w:kern w:val="0"/>
                <w:position w:val="0"/>
                <w:sz w:val="24"/>
                <w:szCs w:val="24"/>
                <w:highlight w:val="none"/>
                <w:vertAlign w:val="subscript"/>
                <w:lang w:val="en-US" w:eastAsia="zh-CN" w:bidi="ar"/>
                <w14:textFill>
                  <w14:solidFill>
                    <w14:schemeClr w14:val="tx1"/>
                  </w14:solidFill>
                </w14:textFill>
              </w:rPr>
              <w:t>m</w:t>
            </w: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--指颗粒物控制措施控制效率（单位：%），本项目</w:t>
            </w:r>
            <w:r>
              <w:rPr>
                <w:rFonts w:hint="eastAsia" w:cs="Times New Roman"/>
                <w:smallCaps w:val="0"/>
                <w:color w:val="000000" w:themeColor="text1"/>
                <w:spacing w:val="0"/>
                <w:kern w:val="0"/>
                <w:position w:val="0"/>
                <w:sz w:val="24"/>
                <w:szCs w:val="24"/>
                <w:highlight w:val="none"/>
                <w:lang w:val="en-US" w:eastAsia="zh-CN" w:bidi="ar"/>
                <w14:textFill>
                  <w14:solidFill>
                    <w14:schemeClr w14:val="tx1"/>
                  </w14:solidFill>
                </w14:textFill>
              </w:rPr>
              <w:t>设置不低于堆高的围挡、</w:t>
            </w: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苫盖、</w:t>
            </w:r>
            <w:r>
              <w:rPr>
                <w:rFonts w:hint="eastAsia" w:cs="Times New Roman"/>
                <w:smallCaps w:val="0"/>
                <w:color w:val="000000" w:themeColor="text1"/>
                <w:spacing w:val="0"/>
                <w:kern w:val="0"/>
                <w:position w:val="0"/>
                <w:sz w:val="24"/>
                <w:szCs w:val="24"/>
                <w:highlight w:val="none"/>
                <w:lang w:val="en-US" w:eastAsia="zh-CN" w:bidi="ar"/>
                <w14:textFill>
                  <w14:solidFill>
                    <w14:schemeClr w14:val="tx1"/>
                  </w14:solidFill>
                </w14:textFill>
              </w:rPr>
              <w:t>洒水</w:t>
            </w: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抑尘等措施，控制效率取86%；</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T</w:t>
            </w:r>
            <w:r>
              <w:rPr>
                <w:rFonts w:hint="default" w:ascii="Times New Roman" w:hAnsi="Times New Roman" w:cs="Times New Roman"/>
                <w:smallCaps w:val="0"/>
                <w:color w:val="000000" w:themeColor="text1"/>
                <w:spacing w:val="0"/>
                <w:kern w:val="0"/>
                <w:position w:val="0"/>
                <w:sz w:val="24"/>
                <w:szCs w:val="24"/>
                <w:highlight w:val="none"/>
                <w:vertAlign w:val="subscript"/>
                <w:lang w:val="en-US" w:eastAsia="zh-CN" w:bidi="ar"/>
                <w14:textFill>
                  <w14:solidFill>
                    <w14:schemeClr w14:val="tx1"/>
                  </w14:solidFill>
                </w14:textFill>
              </w:rPr>
              <w:t>m</w:t>
            </w: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--指堆场类型控制效率（单位：%），堆场封闭取99%、半封闭堆场取60%，敞开式堆场取0%。本项目还原土场场控制效率取0%。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经计算，本项目还原土场装卸场尘和风蚀扬尘颗粒物排放量为</w:t>
            </w:r>
            <w:r>
              <w:rPr>
                <w:rFonts w:hint="eastAsia" w:cs="Times New Roman"/>
                <w:smallCaps w:val="0"/>
                <w:color w:val="000000" w:themeColor="text1"/>
                <w:spacing w:val="0"/>
                <w:kern w:val="0"/>
                <w:position w:val="0"/>
                <w:sz w:val="24"/>
                <w:szCs w:val="24"/>
                <w:highlight w:val="none"/>
                <w:lang w:val="en-US" w:eastAsia="zh-CN" w:bidi="ar"/>
                <w14:textFill>
                  <w14:solidFill>
                    <w14:schemeClr w14:val="tx1"/>
                  </w14:solidFill>
                </w14:textFill>
              </w:rPr>
              <w:t>106.365</w:t>
            </w:r>
            <w:r>
              <w:rPr>
                <w:rFonts w:hint="default" w:ascii="Times New Roman" w:hAnsi="Times New Roman" w:cs="Times New Roman"/>
                <w:smallCaps w:val="0"/>
                <w:color w:val="000000" w:themeColor="text1"/>
                <w:spacing w:val="0"/>
                <w:kern w:val="0"/>
                <w:position w:val="0"/>
                <w:sz w:val="24"/>
                <w:szCs w:val="24"/>
                <w:highlight w:val="none"/>
                <w:lang w:val="en-US" w:eastAsia="zh-CN" w:bidi="ar"/>
                <w14:textFill>
                  <w14:solidFill>
                    <w14:schemeClr w14:val="tx1"/>
                  </w14:solidFill>
                </w14:textFill>
              </w:rPr>
              <w:t>t/a，呈无组织面源排放。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1.1.1.2厂区道路运输粉尘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本项目泥浆和还原土等原辅料均采用汽车运输，本项目各物料在运输过程中会产生道路扬尘。本项目原辅料及产品年总运输量约36万t/a，需要载重为30t的汽车12000辆·次/a。由于项目汽车运输量很大，载重车辆频繁的进出厂区引起道路扬尘量增加。本项目厂区道路起尘扬尘的计算公式如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360" w:lineRule="auto"/>
              <w:ind w:left="0" w:right="0" w:firstLine="0" w:firstLineChars="0"/>
              <w:jc w:val="center"/>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
                <w14:textFill>
                  <w14:solidFill>
                    <w14:schemeClr w14:val="tx1"/>
                  </w14:solidFill>
                </w14:textFill>
              </w:rPr>
              <w:drawing>
                <wp:inline distT="0" distB="0" distL="114300" distR="114300">
                  <wp:extent cx="2143125" cy="676910"/>
                  <wp:effectExtent l="0" t="0" r="9525" b="8890"/>
                  <wp:docPr id="4" name="图片 47" descr="微信截图_202207211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7" descr="微信截图_20220721105250"/>
                          <pic:cNvPicPr>
                            <a:picLocks noChangeAspect="1"/>
                          </pic:cNvPicPr>
                        </pic:nvPicPr>
                        <pic:blipFill>
                          <a:blip r:embed="rId15"/>
                          <a:stretch>
                            <a:fillRect/>
                          </a:stretch>
                        </pic:blipFill>
                        <pic:spPr>
                          <a:xfrm>
                            <a:off x="0" y="0"/>
                            <a:ext cx="2143125" cy="6769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式中：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Q</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bidi="ar"/>
                <w14:textFill>
                  <w14:solidFill>
                    <w14:schemeClr w14:val="tx1"/>
                  </w14:solidFill>
                </w14:textFill>
              </w:rPr>
              <w:t>p′</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--道路扬尘量（kg/a）；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Q</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bidi="ar"/>
                <w14:textFill>
                  <w14:solidFill>
                    <w14:schemeClr w14:val="tx1"/>
                  </w14:solidFill>
                </w14:textFill>
              </w:rPr>
              <w:t>p</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--每辆汽车行驶扬尘量（kg/km辆）；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V--车辆速度（15km/h）；</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W--车辆载重（30t/辆）；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P--道路灰尘覆盖量，路面状况以m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路面灰尘覆盖率表示，kg/m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（以0.1kg/m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bidi="ar"/>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L--运距（0.5km）；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Q--运输量（36万t/a）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M--车辆载重（30t/辆）；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
                <w14:textFill>
                  <w14:solidFill>
                    <w14:schemeClr w14:val="tx1"/>
                  </w14:solidFill>
                </w14:textFill>
              </w:rPr>
              <w:t>经计算车辆行驶扬尘为0.409kg/km·辆，预计运输产尘量4.908t/a。采取的措施为：加强对车辆的管理，限定转运车辆在厂内的行驶速度，车辆车厢采用密闭式箱体货车。同时进场道路须全部硬化，对车辆行驶的路面实施洒水抑尘，采取以上措施后，控尘效率约为74%，厂区道路扬尘无组织排放量为1.276t/a。</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1.1.1.3车辆尾气</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bCs/>
                <w:smallCaps w:val="0"/>
                <w:color w:val="000000" w:themeColor="text1"/>
                <w:spacing w:val="0"/>
                <w:kern w:val="0"/>
                <w:position w:val="0"/>
                <w:highlight w:val="none"/>
                <w:shd w:val="clear" w:color="auto" w:fill="auto"/>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项目运营期使用的运输车辆、挖掘机、铲车</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以柴油为燃料，均会产生一定量废气，包括CO、HC、NOx等，考虑其排放量不大，影响范围有限，且</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车辆运输</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路线长、面积大，污染源较分散，故可以认为其对环境影响比较小。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1.1.2挥发性有机物（以非甲烷总烃计）</w:t>
            </w:r>
          </w:p>
          <w:p>
            <w:pPr>
              <w:pStyle w:val="275"/>
              <w:keepLines w:val="0"/>
              <w:pageBreakBefore w:val="0"/>
              <w:kinsoku/>
              <w:wordWrap/>
              <w:overflowPunct/>
              <w:bidi w:val="0"/>
              <w:adjustRightInd w:val="0"/>
              <w:snapToGrid w:val="0"/>
              <w:ind w:left="0" w:right="0" w:firstLine="480"/>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本项目</w:t>
            </w:r>
            <w:r>
              <w:rPr>
                <w:rFonts w:hint="default" w:ascii="Times New Roman" w:hAnsi="Times New Roman" w:eastAsia="宋体" w:cs="Times New Roman"/>
                <w:b w:val="0"/>
                <w:bCs/>
                <w:caps w:val="0"/>
                <w:smallCaps w:val="0"/>
                <w:color w:val="000000" w:themeColor="text1"/>
                <w:spacing w:val="0"/>
                <w:kern w:val="0"/>
                <w:position w:val="0"/>
                <w:sz w:val="24"/>
                <w:highlight w:val="none"/>
                <w14:textFill>
                  <w14:solidFill>
                    <w14:schemeClr w14:val="tx1"/>
                  </w14:solidFill>
                </w14:textFill>
              </w:rPr>
              <w:t>磺化泥浆废弃物暂存产生的少量挥发性有机物</w:t>
            </w: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（以</w:t>
            </w:r>
            <w:r>
              <w:rPr>
                <w:rFonts w:hint="default" w:ascii="Times New Roman" w:hAnsi="Times New Roman" w:eastAsia="宋体" w:cs="Times New Roman"/>
                <w:b w:val="0"/>
                <w:bCs/>
                <w:caps w:val="0"/>
                <w:smallCaps w:val="0"/>
                <w:color w:val="000000" w:themeColor="text1"/>
                <w:spacing w:val="0"/>
                <w:kern w:val="0"/>
                <w:position w:val="0"/>
                <w:sz w:val="24"/>
                <w:highlight w:val="none"/>
                <w14:textFill>
                  <w14:solidFill>
                    <w14:schemeClr w14:val="tx1"/>
                  </w14:solidFill>
                </w14:textFill>
              </w:rPr>
              <w:t>非甲烷总烃</w:t>
            </w:r>
            <w:r>
              <w:rPr>
                <w:rFonts w:hint="default" w:ascii="Times New Roman" w:hAnsi="Times New Roman" w:eastAsia="宋体" w:cs="Times New Roman"/>
                <w:b w:val="0"/>
                <w:bCs/>
                <w:caps w:val="0"/>
                <w:smallCaps w:val="0"/>
                <w:color w:val="000000" w:themeColor="text1"/>
                <w:spacing w:val="0"/>
                <w:kern w:val="0"/>
                <w:position w:val="0"/>
                <w:sz w:val="24"/>
                <w:highlight w:val="none"/>
                <w:lang w:eastAsia="zh-CN"/>
                <w14:textFill>
                  <w14:solidFill>
                    <w14:schemeClr w14:val="tx1"/>
                  </w14:solidFill>
                </w14:textFill>
              </w:rPr>
              <w:t>计）主要来源于原料</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废弃磺化泥浆</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废弃物中含有用于改善钻井泥浆性能的有机处理剂，有机处理剂主要为磺化酚醛树脂、羧甲基纤维素、磺化褐煤树脂等高分子有机物质。由于目前尚无准确计算磺化泥浆储存及处理过程非甲烷总烃排放的数学模型，本次评价采用类比法，参考与本项目工程原料相似、处理工艺相近的同类含磺化泥浆弃物处置项目非甲烷总烃产生系数，收集了《</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轮台县三和源石油工程建设有限责任公司尉犁分公司</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 xml:space="preserve">20万吨/年磺化泥浆无害化处置建设项目竣工环境保护验收监测报告表》中的验收监测数据，采用《大气环境影响评价实用技术》 </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王栋成等编著；中国标准出版社；2010年9月出版）中推荐的无组织排放测通风量反推法进行计算，计算公式如下：</w:t>
            </w:r>
          </w:p>
          <w:p>
            <w:pPr>
              <w:pStyle w:val="275"/>
              <w:keepLines w:val="0"/>
              <w:pageBreakBefore w:val="0"/>
              <w:kinsoku/>
              <w:wordWrap/>
              <w:overflowPunct/>
              <w:bidi w:val="0"/>
              <w:adjustRightInd w:val="0"/>
              <w:snapToGrid w:val="0"/>
              <w:ind w:left="0" w:leftChars="0" w:right="0" w:firstLine="0" w:firstLineChars="0"/>
              <w:jc w:val="cente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drawing>
                <wp:inline distT="0" distB="0" distL="114300" distR="114300">
                  <wp:extent cx="1751965" cy="285750"/>
                  <wp:effectExtent l="0" t="0" r="635" b="0"/>
                  <wp:docPr id="5" name="IM 524"/>
                  <wp:cNvGraphicFramePr/>
                  <a:graphic xmlns:a="http://schemas.openxmlformats.org/drawingml/2006/main">
                    <a:graphicData uri="http://schemas.openxmlformats.org/drawingml/2006/picture">
                      <pic:pic xmlns:pic="http://schemas.openxmlformats.org/drawingml/2006/picture">
                        <pic:nvPicPr>
                          <pic:cNvPr id="5" name="IM 524"/>
                          <pic:cNvPicPr/>
                        </pic:nvPicPr>
                        <pic:blipFill>
                          <a:blip r:embed="rId16"/>
                          <a:stretch>
                            <a:fillRect/>
                          </a:stretch>
                        </pic:blipFill>
                        <pic:spPr>
                          <a:xfrm>
                            <a:off x="0" y="0"/>
                            <a:ext cx="1751965" cy="285750"/>
                          </a:xfrm>
                          <a:prstGeom prst="rect">
                            <a:avLst/>
                          </a:prstGeom>
                          <a:noFill/>
                          <a:ln>
                            <a:noFill/>
                          </a:ln>
                        </pic:spPr>
                      </pic:pic>
                    </a:graphicData>
                  </a:graphic>
                </wp:inline>
              </w:drawing>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式中：Q--建设项目的无组织排放量（kg/h）；</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U--采样期间地i个测点上的平均风速，取2.0m/s；</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C</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i</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--为该测点的污染物浓度（mg/m³）；</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C</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0</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--上风向对照点的污染物浓度（mg/m³）；</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S</w:t>
            </w:r>
            <w:r>
              <w:rPr>
                <w:rFonts w:hint="default" w:ascii="Times New Roman" w:hAnsi="Times New Roman" w:eastAsia="宋体" w:cs="Times New Roman"/>
                <w:smallCaps w:val="0"/>
                <w:color w:val="000000" w:themeColor="text1"/>
                <w:spacing w:val="0"/>
                <w:kern w:val="0"/>
                <w:position w:val="0"/>
                <w:sz w:val="24"/>
                <w:szCs w:val="24"/>
                <w:highlight w:val="none"/>
                <w:vertAlign w:val="subscript"/>
                <w:lang w:val="en-US" w:eastAsia="zh-CN"/>
                <w14:textFill>
                  <w14:solidFill>
                    <w14:schemeClr w14:val="tx1"/>
                  </w14:solidFill>
                </w14:textFill>
              </w:rPr>
              <w:t>i</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--测点所代表的那一部分断面面积，取10m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Φ--平均风向与测点断面间的夹角，取45°。</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同类工程验收监测数据见表4-1。</w:t>
            </w:r>
          </w:p>
          <w:p>
            <w:pPr>
              <w:keepNext w:val="0"/>
              <w:keepLines w:val="0"/>
              <w:pageBreakBefore w:val="0"/>
              <w:widowControl w:val="0"/>
              <w:kinsoku/>
              <w:wordWrap/>
              <w:overflowPunct/>
              <w:topLinePunct w:val="0"/>
              <w:autoSpaceDE/>
              <w:autoSpaceDN/>
              <w:bidi w:val="0"/>
              <w:adjustRightInd w:val="0"/>
              <w:snapToGrid w:val="0"/>
              <w:ind w:left="0" w:right="0" w:firstLine="422" w:firstLineChars="200"/>
              <w:jc w:val="both"/>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highlight w:val="none"/>
                <w14:textFill>
                  <w14:solidFill>
                    <w14:schemeClr w14:val="tx1"/>
                  </w14:solidFill>
                </w14:textFill>
              </w:rPr>
              <w:t>表</w:t>
            </w:r>
            <w:r>
              <w:rPr>
                <w:rFonts w:hint="default" w:ascii="Times New Roman" w:hAnsi="Times New Roman" w:eastAsia="Times New Roman" w:cs="Times New Roman"/>
                <w:b/>
                <w:bCs/>
                <w:smallCaps w:val="0"/>
                <w:color w:val="000000" w:themeColor="text1"/>
                <w:spacing w:val="0"/>
                <w:kern w:val="0"/>
                <w:position w:val="0"/>
                <w:highlight w:val="none"/>
                <w14:textFill>
                  <w14:solidFill>
                    <w14:schemeClr w14:val="tx1"/>
                  </w14:solidFill>
                </w14:textFill>
              </w:rPr>
              <w:t>4-</w:t>
            </w:r>
            <w:r>
              <w:rPr>
                <w:rFonts w:hint="default"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t>1</w:t>
            </w:r>
            <w:r>
              <w:rPr>
                <w:rFonts w:hint="default" w:ascii="Times New Roman" w:hAnsi="Times New Roman" w:eastAsia="Times New Roman" w:cs="Times New Roman"/>
                <w:b/>
                <w:bCs/>
                <w:smallCaps w:val="0"/>
                <w:color w:val="000000" w:themeColor="text1"/>
                <w:spacing w:val="0"/>
                <w:kern w:val="0"/>
                <w:position w:val="0"/>
                <w:highlight w:val="none"/>
                <w14:textFill>
                  <w14:solidFill>
                    <w14:schemeClr w14:val="tx1"/>
                  </w14:solidFill>
                </w14:textFill>
              </w:rPr>
              <w:t xml:space="preserve">   </w:t>
            </w:r>
            <w:r>
              <w:rPr>
                <w:rFonts w:hint="eastAsia" w:eastAsia="宋体" w:cs="Times New Roman"/>
                <w:b/>
                <w:bCs/>
                <w:smallCaps w:val="0"/>
                <w:color w:val="000000" w:themeColor="text1"/>
                <w:spacing w:val="0"/>
                <w:kern w:val="0"/>
                <w:position w:val="0"/>
                <w:highlight w:val="none"/>
                <w:lang w:val="en-US" w:eastAsia="zh-CN"/>
                <w14:textFill>
                  <w14:solidFill>
                    <w14:schemeClr w14:val="tx1"/>
                  </w14:solidFill>
                </w14:textFill>
              </w:rPr>
              <w:t xml:space="preserve">           </w:t>
            </w:r>
            <w:r>
              <w:rPr>
                <w:rFonts w:hint="default" w:ascii="Times New Roman" w:hAnsi="Times New Roman" w:eastAsia="Times New Roman" w:cs="Times New Roman"/>
                <w:b/>
                <w:bCs/>
                <w:smallCaps w:val="0"/>
                <w:color w:val="000000" w:themeColor="text1"/>
                <w:spacing w:val="0"/>
                <w:kern w:val="0"/>
                <w:position w:val="0"/>
                <w:highlight w:val="none"/>
                <w14:textFill>
                  <w14:solidFill>
                    <w14:schemeClr w14:val="tx1"/>
                  </w14:solidFill>
                </w14:textFill>
              </w:rPr>
              <w:t xml:space="preserve"> </w:t>
            </w:r>
            <w:r>
              <w:rPr>
                <w:rFonts w:hint="default" w:ascii="Times New Roman" w:hAnsi="Times New Roman" w:cs="Times New Roman"/>
                <w:b/>
                <w:bCs/>
                <w:smallCaps w:val="0"/>
                <w:color w:val="000000" w:themeColor="text1"/>
                <w:spacing w:val="0"/>
                <w:kern w:val="0"/>
                <w:position w:val="0"/>
                <w:highlight w:val="none"/>
                <w14:textFill>
                  <w14:solidFill>
                    <w14:schemeClr w14:val="tx1"/>
                  </w14:solidFill>
                </w14:textFill>
              </w:rPr>
              <w:t>同类工程厂界非甲烷总烃监测数据一览表</w:t>
            </w:r>
          </w:p>
          <w:tbl>
            <w:tblPr>
              <w:tblStyle w:val="4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0"/>
              <w:gridCol w:w="2339"/>
              <w:gridCol w:w="1216"/>
              <w:gridCol w:w="976"/>
              <w:gridCol w:w="734"/>
              <w:gridCol w:w="734"/>
              <w:gridCol w:w="734"/>
              <w:gridCol w:w="7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采样日期</w:t>
                  </w:r>
                </w:p>
              </w:tc>
              <w:tc>
                <w:tcPr>
                  <w:tcW w:w="2355"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检测项目</w:t>
                  </w:r>
                </w:p>
              </w:tc>
              <w:tc>
                <w:tcPr>
                  <w:tcW w:w="2206" w:type="dxa"/>
                  <w:gridSpan w:val="2"/>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采样点位</w:t>
                  </w:r>
                </w:p>
              </w:tc>
              <w:tc>
                <w:tcPr>
                  <w:tcW w:w="2950" w:type="dxa"/>
                  <w:gridSpan w:val="4"/>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检测结果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2206" w:type="dxa"/>
                  <w:gridSpan w:val="2"/>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第1次</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第2次</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第3次</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第4次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2025.03.1</w:t>
                  </w:r>
                </w:p>
              </w:tc>
              <w:tc>
                <w:tcPr>
                  <w:tcW w:w="2355"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非甲烷总烃（mg/m</w:t>
                  </w:r>
                  <w:r>
                    <w:rPr>
                      <w:rFonts w:hint="default" w:ascii="Times New Roman" w:hAnsi="Times New Roman" w:eastAsia="宋体" w:cs="Times New Roman"/>
                      <w:smallCaps w:val="0"/>
                      <w:color w:val="000000" w:themeColor="text1"/>
                      <w:spacing w:val="0"/>
                      <w:kern w:val="0"/>
                      <w:position w:val="0"/>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w:t>
                  </w:r>
                </w:p>
              </w:tc>
              <w:tc>
                <w:tcPr>
                  <w:tcW w:w="1224"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厂界上风向</w:t>
                  </w: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1#监测点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0.66</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0.58</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0.61</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1224"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厂界下风向</w:t>
                  </w: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2#监测点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0.66</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0.62</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0.63</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1224"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3#监测点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0.73</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0.68</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0.71</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1224"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4#监测点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0.66</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0.68</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0.73</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2025.03.2</w:t>
                  </w:r>
                </w:p>
              </w:tc>
              <w:tc>
                <w:tcPr>
                  <w:tcW w:w="2355"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非甲烷总烃（mg/m</w:t>
                  </w:r>
                  <w:r>
                    <w:rPr>
                      <w:rFonts w:hint="default" w:ascii="Times New Roman" w:hAnsi="Times New Roman" w:eastAsia="宋体" w:cs="Times New Roman"/>
                      <w:smallCaps w:val="0"/>
                      <w:color w:val="000000" w:themeColor="text1"/>
                      <w:spacing w:val="0"/>
                      <w:kern w:val="0"/>
                      <w:position w:val="0"/>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w:t>
                  </w:r>
                </w:p>
              </w:tc>
              <w:tc>
                <w:tcPr>
                  <w:tcW w:w="1224"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厂界上风向</w:t>
                  </w: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1#监测点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0.48</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0.50</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0.56</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1224" w:type="dxa"/>
                  <w:vMerge w:val="restart"/>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厂界下风向</w:t>
                  </w: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2#监测点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0.57</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0.65</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0.66</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14:textFill>
                        <w14:solidFill>
                          <w14:schemeClr w14:val="tx1"/>
                        </w14:solidFill>
                      </w14:textFill>
                    </w:rPr>
                  </w:pPr>
                </w:p>
              </w:tc>
              <w:tc>
                <w:tcPr>
                  <w:tcW w:w="1224"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3#监测点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0.66</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0.63</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0.64</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976"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2355"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1224" w:type="dxa"/>
                  <w:vMerge w:val="continue"/>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p>
              </w:tc>
              <w:tc>
                <w:tcPr>
                  <w:tcW w:w="982"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4#监测点</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0.58</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0.64</w:t>
                  </w:r>
                </w:p>
              </w:tc>
              <w:tc>
                <w:tcPr>
                  <w:tcW w:w="739"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0.58</w:t>
                  </w:r>
                </w:p>
              </w:tc>
              <w:tc>
                <w:tcPr>
                  <w:tcW w:w="733" w:type="dxa"/>
                  <w:tcBorders>
                    <w:tl2br w:val="nil"/>
                    <w:tr2bl w:val="nil"/>
                  </w:tcBorders>
                  <w:noWrap w:val="0"/>
                  <w:vAlign w:val="center"/>
                </w:tcPr>
                <w:p>
                  <w:pPr>
                    <w:pStyle w:val="318"/>
                    <w:pageBreakBefore w:val="0"/>
                    <w:suppressLineNumbers w:val="0"/>
                    <w:wordWrap/>
                    <w:overflowPunct/>
                    <w:bidi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lang w:val="en-US" w:eastAsia="zh-CN"/>
                      <w14:textFill>
                        <w14:solidFill>
                          <w14:schemeClr w14:val="tx1"/>
                        </w14:solidFill>
                      </w14:textFill>
                    </w:rPr>
                    <w:t>0.58</w:t>
                  </w:r>
                </w:p>
              </w:tc>
            </w:tr>
          </w:tbl>
          <w:p>
            <w:pPr>
              <w:pStyle w:val="302"/>
              <w:pageBreakBefore w:val="0"/>
              <w:wordWrap/>
              <w:overflowPunct/>
              <w:bidi w:val="0"/>
              <w:adjustRightInd w:val="0"/>
              <w:snapToGrid w:val="0"/>
              <w:spacing w:line="365" w:lineRule="auto"/>
              <w:ind w:left="0" w:right="0" w:firstLine="420"/>
              <w:jc w:val="both"/>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计算可知Q为0.00</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945</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kg/h，</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类比项目</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1000</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磺化泥浆废弃物堆场和7</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0</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00m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还原</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土堆场，合计面积约</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80</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00m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，则非甲烷总烃产生量为</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1.18125</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mg/h·m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，该项目采用的化学法处理磺化泥浆为敞开式处理，因此污染物产生系数具有可类比性</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w:t>
            </w:r>
          </w:p>
          <w:p>
            <w:pPr>
              <w:pStyle w:val="302"/>
              <w:pageBreakBefore w:val="0"/>
              <w:wordWrap/>
              <w:overflowPunct/>
              <w:bidi w:val="0"/>
              <w:adjustRightInd w:val="0"/>
              <w:snapToGrid w:val="0"/>
              <w:spacing w:line="365" w:lineRule="auto"/>
              <w:ind w:left="0" w:right="0" w:firstLine="420"/>
              <w:jc w:val="both"/>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本项目磺化泥浆</w:t>
            </w:r>
            <w:r>
              <w:rPr>
                <w:rFonts w:hint="default" w:ascii="Times New Roman" w:hAnsi="Times New Roman" w:eastAsia="宋体" w:cs="Times New Roman"/>
                <w:smallCaps w:val="0"/>
                <w:snapToGrid w:val="0"/>
                <w:color w:val="000000" w:themeColor="text1"/>
                <w:spacing w:val="0"/>
                <w:kern w:val="0"/>
                <w:position w:val="0"/>
                <w:sz w:val="24"/>
                <w:szCs w:val="24"/>
                <w:highlight w:val="none"/>
                <w:lang w:eastAsia="zh-CN"/>
                <w14:textFill>
                  <w14:solidFill>
                    <w14:schemeClr w14:val="tx1"/>
                  </w14:solidFill>
                </w14:textFill>
              </w:rPr>
              <w:t>堆存在</w:t>
            </w:r>
            <w:r>
              <w:rPr>
                <w:rFonts w:hint="default" w:ascii="Times New Roman" w:hAnsi="Times New Roman" w:cs="Times New Roman"/>
                <w:smallCaps w:val="0"/>
                <w:snapToGrid w:val="0"/>
                <w:color w:val="000000" w:themeColor="text1"/>
                <w:spacing w:val="0"/>
                <w:kern w:val="0"/>
                <w:position w:val="0"/>
                <w:sz w:val="24"/>
                <w:szCs w:val="24"/>
                <w:highlight w:val="none"/>
                <w:lang w:eastAsia="zh-CN"/>
                <w14:textFill>
                  <w14:solidFill>
                    <w14:schemeClr w14:val="tx1"/>
                  </w14:solidFill>
                </w14:textFill>
              </w:rPr>
              <w:t>岩屑处理池</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占地面积为</w:t>
            </w:r>
            <w:r>
              <w:rPr>
                <w:rFonts w:hint="default" w:ascii="Times New Roman" w:hAnsi="Times New Roman" w:cs="Times New Roman"/>
                <w:smallCaps w:val="0"/>
                <w:snapToGrid w:val="0"/>
                <w:color w:val="000000" w:themeColor="text1"/>
                <w:spacing w:val="0"/>
                <w:kern w:val="0"/>
                <w:position w:val="0"/>
                <w:sz w:val="24"/>
                <w:szCs w:val="24"/>
                <w:highlight w:val="none"/>
                <w:lang w:val="en-US" w:eastAsia="zh-CN"/>
                <w14:textFill>
                  <w14:solidFill>
                    <w14:schemeClr w14:val="tx1"/>
                  </w14:solidFill>
                </w14:textFill>
              </w:rPr>
              <w:t>2415</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m</w:t>
            </w:r>
            <w:r>
              <w:rPr>
                <w:rFonts w:hint="default" w:ascii="Times New Roman" w:hAnsi="Times New Roman" w:eastAsia="宋体" w:cs="Times New Roman"/>
                <w:smallCaps w:val="0"/>
                <w:snapToGrid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w:t>
            </w:r>
            <w:r>
              <w:rPr>
                <w:rFonts w:hint="default" w:ascii="Times New Roman" w:hAnsi="Times New Roman" w:eastAsia="宋体" w:cs="Times New Roman"/>
                <w:smallCaps w:val="0"/>
                <w:snapToGrid w:val="0"/>
                <w:color w:val="000000" w:themeColor="text1"/>
                <w:spacing w:val="0"/>
                <w:kern w:val="0"/>
                <w:position w:val="0"/>
                <w:sz w:val="24"/>
                <w:szCs w:val="24"/>
                <w:highlight w:val="none"/>
                <w:lang w:eastAsia="zh-CN"/>
                <w14:textFill>
                  <w14:solidFill>
                    <w14:schemeClr w14:val="tx1"/>
                  </w14:solidFill>
                </w14:textFill>
              </w:rPr>
              <w:t>还原土堆场</w:t>
            </w:r>
            <w:r>
              <w:rPr>
                <w:rFonts w:hint="default" w:ascii="Times New Roman" w:hAnsi="Times New Roman" w:cs="Times New Roman"/>
                <w:smallCaps w:val="0"/>
                <w:snapToGrid w:val="0"/>
                <w:color w:val="000000" w:themeColor="text1"/>
                <w:spacing w:val="0"/>
                <w:kern w:val="0"/>
                <w:position w:val="0"/>
                <w:sz w:val="24"/>
                <w:szCs w:val="24"/>
                <w:highlight w:val="none"/>
                <w:lang w:val="en-US" w:eastAsia="zh-CN"/>
                <w14:textFill>
                  <w14:solidFill>
                    <w14:schemeClr w14:val="tx1"/>
                  </w14:solidFill>
                </w14:textFill>
              </w:rPr>
              <w:t>90</w:t>
            </w:r>
            <w:r>
              <w:rPr>
                <w:rFonts w:hint="default" w:ascii="Times New Roman" w:hAnsi="Times New Roman" w:eastAsia="宋体" w:cs="Times New Roman"/>
                <w:smallCaps w:val="0"/>
                <w:snapToGrid w:val="0"/>
                <w:color w:val="000000" w:themeColor="text1"/>
                <w:spacing w:val="0"/>
                <w:kern w:val="0"/>
                <w:position w:val="0"/>
                <w:sz w:val="24"/>
                <w:szCs w:val="24"/>
                <w:highlight w:val="none"/>
                <w:lang w:val="en-US" w:eastAsia="zh-CN"/>
                <w14:textFill>
                  <w14:solidFill>
                    <w14:schemeClr w14:val="tx1"/>
                  </w14:solidFill>
                </w14:textFill>
              </w:rPr>
              <w:t>00</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m</w:t>
            </w:r>
            <w:r>
              <w:rPr>
                <w:rFonts w:hint="default" w:ascii="Times New Roman" w:hAnsi="Times New Roman" w:eastAsia="宋体" w:cs="Times New Roman"/>
                <w:smallCaps w:val="0"/>
                <w:snapToGrid w:val="0"/>
                <w:color w:val="000000" w:themeColor="text1"/>
                <w:spacing w:val="0"/>
                <w:kern w:val="0"/>
                <w:position w:val="0"/>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，则本工程厂区非甲烷总烃产生量其计0.0</w:t>
            </w:r>
            <w:r>
              <w:rPr>
                <w:rFonts w:hint="default" w:ascii="Times New Roman" w:hAnsi="Times New Roman" w:cs="Times New Roman"/>
                <w:smallCaps w:val="0"/>
                <w:snapToGrid w:val="0"/>
                <w:color w:val="000000" w:themeColor="text1"/>
                <w:spacing w:val="0"/>
                <w:kern w:val="0"/>
                <w:position w:val="0"/>
                <w:sz w:val="24"/>
                <w:szCs w:val="24"/>
                <w:highlight w:val="none"/>
                <w:lang w:val="en-US" w:eastAsia="zh-CN"/>
                <w14:textFill>
                  <w14:solidFill>
                    <w14:schemeClr w14:val="tx1"/>
                  </w14:solidFill>
                </w14:textFill>
              </w:rPr>
              <w:t>1348</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kg/h</w:t>
            </w:r>
            <w:r>
              <w:rPr>
                <w:rFonts w:hint="default" w:ascii="Times New Roman" w:hAnsi="Times New Roman" w:eastAsia="宋体" w:cs="Times New Roman"/>
                <w:smallCaps w:val="0"/>
                <w:snapToGrid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cs="Times New Roman"/>
                <w:smallCaps w:val="0"/>
                <w:snapToGrid w:val="0"/>
                <w:color w:val="000000" w:themeColor="text1"/>
                <w:spacing w:val="0"/>
                <w:kern w:val="0"/>
                <w:position w:val="0"/>
                <w:sz w:val="24"/>
                <w:szCs w:val="24"/>
                <w:highlight w:val="none"/>
                <w:lang w:val="en-US" w:eastAsia="zh-CN"/>
                <w14:textFill>
                  <w14:solidFill>
                    <w14:schemeClr w14:val="tx1"/>
                  </w14:solidFill>
                </w14:textFill>
              </w:rPr>
              <w:t>0.118</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t/a</w:t>
            </w:r>
            <w:r>
              <w:rPr>
                <w:rFonts w:hint="default" w:ascii="Times New Roman" w:hAnsi="Times New Roman" w:eastAsia="宋体" w:cs="Times New Roman"/>
                <w:smallCaps w:val="0"/>
                <w:snapToGrid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smallCaps w:val="0"/>
                <w:snapToGrid w:val="0"/>
                <w:color w:val="000000" w:themeColor="text1"/>
                <w:spacing w:val="0"/>
                <w:kern w:val="0"/>
                <w:position w:val="0"/>
                <w:sz w:val="24"/>
                <w:szCs w:val="24"/>
                <w:highlight w:val="none"/>
                <w14:textFill>
                  <w14:solidFill>
                    <w14:schemeClr w14:val="tx1"/>
                  </w14:solidFill>
                </w14:textFill>
              </w:rPr>
              <w:t>呈无组织排放。</w:t>
            </w:r>
          </w:p>
          <w:p>
            <w:pPr>
              <w:keepNext w:val="0"/>
              <w:keepLines w:val="0"/>
              <w:pageBreakBefore w:val="0"/>
              <w:widowControl w:val="0"/>
              <w:kinsoku/>
              <w:wordWrap/>
              <w:overflowPunct/>
              <w:topLinePunct w:val="0"/>
              <w:autoSpaceDE/>
              <w:autoSpaceDN/>
              <w:bidi w:val="0"/>
              <w:adjustRightInd w:val="0"/>
              <w:snapToGrid w:val="0"/>
              <w:ind w:left="0" w:right="0" w:firstLine="422" w:firstLineChars="200"/>
              <w:jc w:val="both"/>
              <w:textAlignment w:val="auto"/>
              <w:rPr>
                <w:rFonts w:hint="default" w:ascii="Times New Roman" w:hAnsi="Times New Roman" w:eastAsia="宋体" w:cs="Times New Roman"/>
                <w:b/>
                <w:bCs/>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highlight w:val="none"/>
                <w14:textFill>
                  <w14:solidFill>
                    <w14:schemeClr w14:val="tx1"/>
                  </w14:solidFill>
                </w14:textFill>
              </w:rPr>
              <w:t>表4-</w:t>
            </w:r>
            <w:r>
              <w:rPr>
                <w:rFonts w:hint="default"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t>2</w:t>
            </w:r>
            <w:r>
              <w:rPr>
                <w:rFonts w:hint="default" w:ascii="Times New Roman" w:hAnsi="Times New Roman" w:eastAsia="宋体" w:cs="Times New Roman"/>
                <w:b/>
                <w:bCs/>
                <w:smallCaps w:val="0"/>
                <w:color w:val="000000" w:themeColor="text1"/>
                <w:spacing w:val="0"/>
                <w:kern w:val="0"/>
                <w:position w:val="0"/>
                <w:highlight w:val="none"/>
                <w14:textFill>
                  <w14:solidFill>
                    <w14:schemeClr w14:val="tx1"/>
                  </w14:solidFill>
                </w14:textFill>
              </w:rPr>
              <w:t xml:space="preserve"> </w:t>
            </w:r>
            <w:r>
              <w:rPr>
                <w:rFonts w:hint="eastAsia"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t xml:space="preserve">               </w:t>
            </w:r>
            <w:r>
              <w:rPr>
                <w:rFonts w:hint="default" w:ascii="Times New Roman" w:hAnsi="Times New Roman" w:eastAsia="宋体" w:cs="Times New Roman"/>
                <w:b/>
                <w:bCs/>
                <w:smallCaps w:val="0"/>
                <w:color w:val="000000" w:themeColor="text1"/>
                <w:spacing w:val="0"/>
                <w:kern w:val="0"/>
                <w:position w:val="0"/>
                <w:highlight w:val="none"/>
                <w14:textFill>
                  <w14:solidFill>
                    <w14:schemeClr w14:val="tx1"/>
                  </w14:solidFill>
                </w14:textFill>
              </w:rPr>
              <w:t xml:space="preserve">  项目非甲烷总烃产排情况</w:t>
            </w:r>
          </w:p>
          <w:tbl>
            <w:tblPr>
              <w:tblStyle w:val="29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859"/>
              <w:gridCol w:w="1223"/>
              <w:gridCol w:w="773"/>
              <w:gridCol w:w="616"/>
              <w:gridCol w:w="1033"/>
              <w:gridCol w:w="876"/>
              <w:gridCol w:w="1013"/>
              <w:gridCol w:w="10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41" w:hRule="atLeast"/>
                <w:jc w:val="center"/>
              </w:trPr>
              <w:tc>
                <w:tcPr>
                  <w:tcW w:w="110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产污环节</w:t>
                  </w:r>
                </w:p>
              </w:tc>
              <w:tc>
                <w:tcPr>
                  <w:tcW w:w="72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污染物</w:t>
                  </w:r>
                </w:p>
              </w:tc>
              <w:tc>
                <w:tcPr>
                  <w:tcW w:w="458"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产生量</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t/a</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w:t>
                  </w:r>
                </w:p>
              </w:tc>
              <w:tc>
                <w:tcPr>
                  <w:tcW w:w="36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防治措施</w:t>
                  </w:r>
                </w:p>
              </w:tc>
              <w:tc>
                <w:tcPr>
                  <w:tcW w:w="61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排放形式</w:t>
                  </w:r>
                </w:p>
              </w:tc>
              <w:tc>
                <w:tcPr>
                  <w:tcW w:w="51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 xml:space="preserve">排放量 </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t/a</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w:t>
                  </w:r>
                </w:p>
              </w:tc>
              <w:tc>
                <w:tcPr>
                  <w:tcW w:w="600"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 xml:space="preserve">排放速率 </w:t>
                  </w: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kg/h</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w:t>
                  </w:r>
                </w:p>
              </w:tc>
              <w:tc>
                <w:tcPr>
                  <w:tcW w:w="61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标准限值 mg/m</w:t>
                  </w:r>
                  <w:r>
                    <w:rPr>
                      <w:rFonts w:hint="default" w:ascii="Times New Roman" w:hAnsi="Times New Roman" w:cs="Times New Roman"/>
                      <w:smallCaps w:val="0"/>
                      <w:color w:val="000000" w:themeColor="text1"/>
                      <w:spacing w:val="0"/>
                      <w:kern w:val="0"/>
                      <w:position w:val="0"/>
                      <w:highlight w:val="none"/>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483" w:hRule="atLeast"/>
                <w:jc w:val="center"/>
              </w:trPr>
              <w:tc>
                <w:tcPr>
                  <w:tcW w:w="110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岩屑处理池、还原土堆场</w:t>
                  </w:r>
                </w:p>
              </w:tc>
              <w:tc>
                <w:tcPr>
                  <w:tcW w:w="72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非甲烷总烃</w:t>
                  </w:r>
                </w:p>
              </w:tc>
              <w:tc>
                <w:tcPr>
                  <w:tcW w:w="458"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0.118</w:t>
                  </w:r>
                </w:p>
              </w:tc>
              <w:tc>
                <w:tcPr>
                  <w:tcW w:w="36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w:t>
                  </w:r>
                </w:p>
              </w:tc>
              <w:tc>
                <w:tcPr>
                  <w:tcW w:w="61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无组织</w:t>
                  </w:r>
                </w:p>
              </w:tc>
              <w:tc>
                <w:tcPr>
                  <w:tcW w:w="51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0.118</w:t>
                  </w:r>
                </w:p>
              </w:tc>
              <w:tc>
                <w:tcPr>
                  <w:tcW w:w="600"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t>0.013</w:t>
                  </w:r>
                </w:p>
              </w:tc>
              <w:tc>
                <w:tcPr>
                  <w:tcW w:w="61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4.0</w:t>
                  </w:r>
                </w:p>
              </w:tc>
            </w:tr>
          </w:tbl>
          <w:p>
            <w:pPr>
              <w:keepNext w:val="0"/>
              <w:keepLines w:val="0"/>
              <w:pageBreakBefore w:val="0"/>
              <w:widowControl w:val="0"/>
              <w:kinsoku/>
              <w:wordWrap/>
              <w:overflowPunct/>
              <w:topLinePunct w:val="0"/>
              <w:autoSpaceDE/>
              <w:autoSpaceDN/>
              <w:bidi w:val="0"/>
              <w:adjustRightInd w:val="0"/>
              <w:snapToGrid w:val="0"/>
              <w:spacing w:before="157" w:beforeLines="50"/>
              <w:ind w:left="0" w:right="0" w:firstLine="422" w:firstLineChars="200"/>
              <w:jc w:val="both"/>
              <w:textAlignment w:val="auto"/>
              <w:rPr>
                <w:rFonts w:hint="default"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t xml:space="preserve">表4-3   </w:t>
            </w:r>
            <w:r>
              <w:rPr>
                <w:rFonts w:hint="eastAsia"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t xml:space="preserve">              </w:t>
            </w:r>
            <w:r>
              <w:rPr>
                <w:rFonts w:hint="default" w:ascii="Times New Roman" w:hAnsi="Times New Roman" w:eastAsia="宋体" w:cs="Times New Roman"/>
                <w:b/>
                <w:bCs/>
                <w:smallCaps w:val="0"/>
                <w:color w:val="000000" w:themeColor="text1"/>
                <w:spacing w:val="0"/>
                <w:kern w:val="0"/>
                <w:position w:val="0"/>
                <w:highlight w:val="none"/>
                <w:lang w:val="en-US" w:eastAsia="zh-CN"/>
                <w14:textFill>
                  <w14:solidFill>
                    <w14:schemeClr w14:val="tx1"/>
                  </w14:solidFill>
                </w14:textFill>
              </w:rPr>
              <w:t>本项目运营期废气产排情况一览表</w:t>
            </w:r>
          </w:p>
          <w:tbl>
            <w:tblPr>
              <w:tblStyle w:val="48"/>
              <w:tblW w:w="8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1371"/>
              <w:gridCol w:w="1494"/>
              <w:gridCol w:w="2520"/>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jc w:val="center"/>
              </w:trPr>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排放源</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污染物</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产生量</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t/a</w:t>
                  </w:r>
                  <w:r>
                    <w:rPr>
                      <w:rFonts w:hint="eastAsia"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w:t>
                  </w:r>
                </w:p>
              </w:tc>
              <w:tc>
                <w:tcPr>
                  <w:tcW w:w="1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控制方法</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排放</w:t>
                  </w:r>
                  <w:r>
                    <w:rPr>
                      <w:rFonts w:hint="default" w:ascii="Times New Roman" w:hAnsi="Times New Roman"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量</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t/a</w:t>
                  </w:r>
                  <w:r>
                    <w:rPr>
                      <w:rFonts w:hint="eastAsia" w:cs="Times New Roman"/>
                      <w:b/>
                      <w:bCs/>
                      <w:smallCaps w:val="0"/>
                      <w:color w:val="000000" w:themeColor="text1"/>
                      <w:spacing w:val="0"/>
                      <w:kern w:val="0"/>
                      <w:position w:val="0"/>
                      <w:sz w:val="21"/>
                      <w:szCs w:val="21"/>
                      <w:highlight w:val="none"/>
                      <w:lang w:val="en-US" w:eastAsia="zh-CN" w:bidi="ar-SA"/>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还原土场</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（卸卸、堆存工序）</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TSP</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mallCaps w:val="0"/>
                      <w:color w:val="000000" w:themeColor="text1"/>
                      <w:spacing w:val="0"/>
                      <w:kern w:val="0"/>
                      <w:position w:val="0"/>
                      <w:sz w:val="21"/>
                      <w:szCs w:val="21"/>
                      <w:highlight w:val="none"/>
                      <w:lang w:val="en-US" w:eastAsia="zh-CN" w:bidi="ar-SA"/>
                      <w14:textFill>
                        <w14:solidFill>
                          <w14:schemeClr w14:val="tx1"/>
                        </w14:solidFill>
                      </w14:textFill>
                    </w:rPr>
                    <w:t>759.747</w:t>
                  </w:r>
                </w:p>
              </w:tc>
              <w:tc>
                <w:tcPr>
                  <w:tcW w:w="1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不低于堆土高度的围挡、</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苫盖</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洒水</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抑尘等措施</w:t>
                  </w:r>
                  <w: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t>，控制效率86%</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mallCaps w:val="0"/>
                      <w:color w:val="000000" w:themeColor="text1"/>
                      <w:spacing w:val="0"/>
                      <w:kern w:val="0"/>
                      <w:position w:val="0"/>
                      <w:sz w:val="21"/>
                      <w:szCs w:val="21"/>
                      <w:highlight w:val="none"/>
                      <w:lang w:val="en-US" w:eastAsia="zh-CN" w:bidi="ar-SA"/>
                      <w14:textFill>
                        <w14:solidFill>
                          <w14:schemeClr w14:val="tx1"/>
                        </w14:solidFill>
                      </w14:textFill>
                    </w:rPr>
                    <w:t>106.365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7" w:hRule="atLeast"/>
                <w:jc w:val="center"/>
              </w:trPr>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车辆运输</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TSP</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t>4.908</w:t>
                  </w:r>
                </w:p>
              </w:tc>
              <w:tc>
                <w:tcPr>
                  <w:tcW w:w="1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eastAsia" w:cs="Times New Roman"/>
                      <w:smallCaps w:val="0"/>
                      <w:color w:val="000000" w:themeColor="text1"/>
                      <w:spacing w:val="0"/>
                      <w:kern w:val="0"/>
                      <w:position w:val="0"/>
                      <w:sz w:val="21"/>
                      <w:szCs w:val="21"/>
                      <w:highlight w:val="none"/>
                      <w:lang w:val="en-US" w:eastAsia="zh-CN" w:bidi="ar-SA"/>
                      <w14:textFill>
                        <w14:solidFill>
                          <w14:schemeClr w14:val="tx1"/>
                        </w14:solidFill>
                      </w14:textFill>
                    </w:rPr>
                    <w:t>控制车速、</w:t>
                  </w: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洒水抑尘，控尘效率74%</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b w:val="0"/>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sz w:val="21"/>
                      <w:szCs w:val="21"/>
                      <w:highlight w:val="none"/>
                      <w:vertAlign w:val="baseline"/>
                      <w:lang w:val="en-US" w:eastAsia="zh-CN"/>
                      <w14:textFill>
                        <w14:solidFill>
                          <w14:schemeClr w14:val="tx1"/>
                        </w14:solidFill>
                      </w14:textFill>
                    </w:rPr>
                    <w:t>1.276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2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磺化泥浆</w:t>
                  </w:r>
                </w:p>
              </w:tc>
              <w:tc>
                <w:tcPr>
                  <w:tcW w:w="8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非甲烷总烃</w:t>
                  </w:r>
                </w:p>
              </w:tc>
              <w:tc>
                <w:tcPr>
                  <w:tcW w:w="8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t>0.118</w:t>
                  </w:r>
                </w:p>
              </w:tc>
              <w:tc>
                <w:tcPr>
                  <w:tcW w:w="14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t>/</w:t>
                  </w:r>
                </w:p>
              </w:tc>
              <w:tc>
                <w:tcPr>
                  <w:tcW w:w="5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contextualSpacing/>
                    <w:jc w:val="center"/>
                    <w:textAlignment w:val="auto"/>
                    <w:rPr>
                      <w:rFonts w:hint="default" w:ascii="Times New Roman" w:hAnsi="Times New Roman" w:cs="Times New Roman"/>
                      <w:b w:val="0"/>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sz w:val="21"/>
                      <w:szCs w:val="21"/>
                      <w:highlight w:val="none"/>
                      <w:vertAlign w:val="baseline"/>
                      <w:lang w:val="en-US" w:eastAsia="zh-CN"/>
                      <w14:textFill>
                        <w14:solidFill>
                          <w14:schemeClr w14:val="tx1"/>
                        </w14:solidFill>
                      </w14:textFill>
                    </w:rPr>
                    <w:t>0.118</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cs="Times New Roman"/>
                <w:b/>
                <w:bCs/>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t>1.2废气治理措施及可行性</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shd w:val="clear" w:color="auto" w:fill="auto"/>
                <w:lang w:val="en-US" w:eastAsia="zh-CN" w:bidi="ar-SA"/>
                <w14:textFill>
                  <w14:solidFill>
                    <w14:schemeClr w14:val="tx1"/>
                  </w14:solidFill>
                </w14:textFill>
              </w:rPr>
              <w:t>1.2.1废气防治措施</w:t>
            </w:r>
          </w:p>
          <w:p>
            <w:pPr>
              <w:pStyle w:val="275"/>
              <w:keepLines w:val="0"/>
              <w:pageBreakBefore w:val="0"/>
              <w:kinsoku/>
              <w:wordWrap/>
              <w:overflowPunct/>
              <w:bidi w:val="0"/>
              <w:adjustRightInd w:val="0"/>
              <w:snapToGrid w:val="0"/>
              <w:ind w:left="0" w:leftChars="0" w:right="0" w:firstLine="480" w:firstLineChars="200"/>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（1）定期对本项目的设施设备进行检查，确保设备正常运行；</w:t>
            </w:r>
          </w:p>
          <w:p>
            <w:pPr>
              <w:pStyle w:val="275"/>
              <w:keepLines w:val="0"/>
              <w:pageBreakBefore w:val="0"/>
              <w:kinsoku/>
              <w:wordWrap/>
              <w:overflowPunct/>
              <w:bidi w:val="0"/>
              <w:adjustRightInd w:val="0"/>
              <w:snapToGrid w:val="0"/>
              <w:ind w:left="0" w:leftChars="0" w:right="0" w:firstLine="480" w:firstLineChars="200"/>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（2）还原土在暂存过程中</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设置不低于堆放高度的严密围挡</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，并采取篷布覆盖、洒水降尘等措施，可有效降低粉尘对周围环境的影响。</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并应尽可能缩短暂存时间，及时运出厂区。</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shd w:val="clear" w:color="auto" w:fill="auto"/>
                <w:lang w:val="en-US" w:eastAsia="zh-CN" w:bidi="ar-SA"/>
                <w14:textFill>
                  <w14:solidFill>
                    <w14:schemeClr w14:val="tx1"/>
                  </w14:solidFill>
                </w14:textFill>
              </w:rPr>
              <w:t>1.2.1措施的可行性</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根据《工业料堆场扬尘整治规范》（DB 65/T 4061-2017）中工业料堆场分类，本项目所在地属于一般控制区，堆场的规模在300～10000m³，还原土粒径主要为0.5～13mm的颗粒，故本项目堆场属于Ⅱ类料堆场。对于Ⅱ类料堆场可采取的扬尘防治方案包括：“①筒仓；②圆形料仓；③其他全封闭性仓库；④半封闭仓库+喷洒水/覆盖/喷洒抑尘剂/干雾抑尘；⑤防风抑尘网（墙）+喷洒水/覆盖/喷洒抑尘剂/干雾抑尘”。本项目拟对还原土堆场采取</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不低于堆高的严密围挡墙、</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苫盖、</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洒水</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抑尘等措施，满足《工业料堆场扬尘整治规范》（DB 65/T 4061—2017）中相关要求。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根据《排污许可证申请与核发技术规范 工业固体废物和危险废物治理》 （HJ1033-2019）6.污染防治可行技术要求-6.2废气-a</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一般工业固体废物贮存、处置场应采取防止粉尘污染的措施，大气污染物排放应满足GB16297无组织排放要求。本项目进厂原料废弃磺化泥浆物料中含水率较高，不属于粉状物料，不易起尘；还原土堆放过程会产生少量扬尘。项目还原土堆场采取</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不低于堆高的严密围挡墙、</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苫盖、</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洒水</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抑尘等措施后，项目颗粒物厂界排放浓度可满足《大气污染物综合排放标准》</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GB16297-1996) 表2无组织排放限值要求（1.0mg/m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），符合《排污许可证申请与核发技术规范 工业固体废物和危险废物治理》（HJ1033-2019）要求。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（2）同类型案例参考分析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①参考《塔中钻井磺化泥浆废弃物撬装式无害化处理项目竣工环境保护验收监测报告表》，该项目位于新疆和田地区民丰县北部，塔三联北700m处，建设一套撬装化磺化泥浆废弃物处置装置</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化学水洗工艺</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，并配套建设磺化泥浆废弃物堆场、合格泥土堆场、应急罐等公辅设施。设计磺化泥浆废弃物处理规模21万m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/a (25m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/h) ，验收期间实际生产能力为16万m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/a (20m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/h) 。项目磺化泥浆废弃物处置过程产生的非甲烷总烃通过厂房侧面窗户等以无组织形式排放，合格泥土堆场产生的颗粒物无组织排放。项目验收监测期间，厂界无组织颗粒物及非甲烷总烃浓度满足《大气污染物综合排放标准》（GB16297-1996）表2相关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②参考《巴州华洋石油技术服务有限公司磺化泥浆无害化处理轮南环保站项目竣工环境保护验收监测报告表》，该项目位于巴州尉犁</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县</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轮南镇轮南小区东环路以西，该站采用化学氧化工艺，处置轮南区域历史遗留及钻井作业点产生的磺化泥浆废弃物，原料组分与本项目相似；处理规模为15万m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/a（500m</w:t>
            </w:r>
            <w:r>
              <w:rPr>
                <w:rFonts w:hint="default" w:ascii="Times New Roman" w:hAnsi="Times New Roman" w:eastAsia="宋体"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/d），处置工艺原理与本项目化学氧化工艺原理相似</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。项目磺化泥浆废弃物处置过程中，磺化泥浆暂存池和装置区废气无组织排放，合格泥土堆场产生的颗粒物无组织排放。项目验收监测期间，厂界无组织颗粒物浓度满足《大气污染物综合排放标准》</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GB16297- 1996</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表2相关标准要求，非甲烷总烃浓度满足《挥发性有机物无组织排放控制标准》</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GB37822-2019) 非甲烷总烃无组织排放限值要求。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③参考《轮台县三和源石油工程建设有限责任公司尉犁分公司20万吨/年磺化泥浆无害化处置建设项目竣工环境保护验收监测报告表》，该项目位于尉犁县肖塘地区，处理规模为20万m</w:t>
            </w:r>
            <w:r>
              <w:rPr>
                <w:rFonts w:hint="eastAsia"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a，该项目对磺化泥浆废弃物采用化学氧化法进行无害化处理；验收监测结果显示，厂界无组织颗粒物浓度满足《大气污染物综合排放标准》（GB16297- 1996）表2相关标准要求，非甲烷总烃浓度满足《挥发性有机物无组织排放控制标准》（GB37822-2019) 非甲烷总烃无组织排放限值要求。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本项目与以上</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三</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个项目采取的工艺流程相似，处理规模</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近似</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，则本项目产生的污染物相对较少，具有可类比性，因此本项目采取的废气治理措施可行。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t>1.3废气自行监测</w:t>
            </w:r>
          </w:p>
          <w:p>
            <w:pPr>
              <w:pStyle w:val="114"/>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pPr>
            <w:r>
              <w:rPr>
                <w:rStyle w:val="115"/>
                <w:rFonts w:hint="default" w:ascii="Times New Roman" w:hAnsi="Times New Roman" w:eastAsia="宋体" w:cs="Times New Roman"/>
                <w:bCs/>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t>本项目按照《排污单位自行监测技术指南 总则》（HJ 819-2017）</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《排污许可申请与核技术规范 工业固体废</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物和</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危险废物治理》（HJ 1033-2019）《排污单位自行监测技术指南 工业固体废物和危险废物治理》（HJ 1250-2022）</w:t>
            </w:r>
            <w:r>
              <w:rPr>
                <w:rStyle w:val="115"/>
                <w:rFonts w:hint="default" w:ascii="Times New Roman" w:hAnsi="Times New Roman" w:eastAsia="宋体" w:cs="Times New Roman"/>
                <w:bCs/>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t>要求，制定本项目的废气自行监测计划见表4-4</w:t>
            </w:r>
            <w:r>
              <w:rPr>
                <w:rFonts w:hint="default" w:ascii="Times New Roman" w:hAnsi="Times New Roman" w:eastAsia="宋体" w:cs="Times New Roman"/>
                <w:smallCaps w:val="0"/>
                <w:color w:val="000000" w:themeColor="text1"/>
                <w:spacing w:val="0"/>
                <w:kern w:val="0"/>
                <w:position w:val="0"/>
                <w:sz w:val="24"/>
                <w:szCs w:val="24"/>
                <w:highlight w:val="none"/>
                <w:shd w:val="clear" w:color="auto" w:fill="auto"/>
                <w:lang w:val="en-US" w:eastAsia="zh-CN"/>
                <w14:textFill>
                  <w14:solidFill>
                    <w14:schemeClr w14:val="tx1"/>
                  </w14:solidFill>
                </w14:textFill>
              </w:rPr>
              <w:t>。</w:t>
            </w:r>
          </w:p>
          <w:p>
            <w:pPr>
              <w:pStyle w:val="11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422" w:firstLineChars="200"/>
              <w:jc w:val="both"/>
              <w:textAlignment w:val="auto"/>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eastAsia="zh-CN"/>
                <w14:textFill>
                  <w14:solidFill>
                    <w14:schemeClr w14:val="tx1"/>
                  </w14:solidFill>
                </w14:textFill>
              </w:rPr>
              <w:t>表</w:t>
            </w:r>
            <w:r>
              <w:rPr>
                <w:rFonts w:hint="default" w:ascii="Times New Roman" w:hAnsi="Times New Roman"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4-4</w:t>
            </w:r>
            <w:r>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 xml:space="preserve"> </w:t>
            </w:r>
            <w:r>
              <w:rPr>
                <w:rFonts w:hint="eastAsia"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 xml:space="preserve">                  </w:t>
            </w:r>
            <w:r>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 xml:space="preserve">   </w:t>
            </w:r>
            <w:r>
              <w:rPr>
                <w:rFonts w:hint="default" w:ascii="Times New Roman" w:hAnsi="Times New Roman"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废气</w:t>
            </w:r>
            <w:r>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eastAsia="zh-CN"/>
                <w14:textFill>
                  <w14:solidFill>
                    <w14:schemeClr w14:val="tx1"/>
                  </w14:solidFill>
                </w14:textFill>
              </w:rPr>
              <w:t>监测计划</w:t>
            </w:r>
          </w:p>
          <w:tbl>
            <w:tblPr>
              <w:tblStyle w:val="4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00"/>
              <w:gridCol w:w="1284"/>
              <w:gridCol w:w="1612"/>
              <w:gridCol w:w="42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7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t>监测点位</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14:textFill>
                        <w14:solidFill>
                          <w14:schemeClr w14:val="tx1"/>
                        </w14:solidFill>
                      </w14:textFill>
                    </w:rPr>
                    <w:t>监测</w:t>
                  </w:r>
                  <w:r>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t>指标</w:t>
                  </w:r>
                </w:p>
              </w:tc>
              <w:tc>
                <w:tcPr>
                  <w:tcW w:w="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14:textFill>
                        <w14:solidFill>
                          <w14:schemeClr w14:val="tx1"/>
                        </w14:solidFill>
                      </w14:textFill>
                    </w:rPr>
                    <w:t>监测频率</w:t>
                  </w:r>
                </w:p>
              </w:tc>
              <w:tc>
                <w:tcPr>
                  <w:tcW w:w="25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14:textFill>
                        <w14:solidFill>
                          <w14:schemeClr w14:val="tx1"/>
                        </w14:solidFill>
                      </w14:textFill>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71" w:type="pct"/>
                  <w:vMerge w:val="restart"/>
                  <w:tcBorders>
                    <w:tl2br w:val="nil"/>
                    <w:tr2bl w:val="nil"/>
                  </w:tcBorders>
                  <w:noWrap w:val="0"/>
                  <w:vAlign w:val="center"/>
                </w:tcPr>
                <w:p>
                  <w:pPr>
                    <w:pStyle w:val="38"/>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t>厂界</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t>颗粒物</w:t>
                  </w:r>
                </w:p>
              </w:tc>
              <w:tc>
                <w:tcPr>
                  <w:tcW w:w="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smallCaps w:val="0"/>
                      <w:snapToGrid w:val="0"/>
                      <w:color w:val="000000" w:themeColor="text1"/>
                      <w:spacing w:val="0"/>
                      <w:kern w:val="0"/>
                      <w:position w:val="0"/>
                      <w:sz w:val="21"/>
                      <w:szCs w:val="21"/>
                      <w:highlight w:val="none"/>
                      <w:shd w:val="clear" w:color="auto" w:fill="auto"/>
                      <w:lang w:val="en-US" w:eastAsia="zh-CN"/>
                      <w14:textFill>
                        <w14:solidFill>
                          <w14:schemeClr w14:val="tx1"/>
                        </w14:solidFill>
                      </w14:textFill>
                    </w:rPr>
                    <w:t>1次/季度</w:t>
                  </w:r>
                </w:p>
              </w:tc>
              <w:tc>
                <w:tcPr>
                  <w:tcW w:w="2511" w:type="pct"/>
                  <w:vMerge w:val="restart"/>
                  <w:tcBorders>
                    <w:tl2br w:val="nil"/>
                    <w:tr2bl w:val="nil"/>
                  </w:tcBorders>
                  <w:noWrap w:val="0"/>
                  <w:vAlign w:val="center"/>
                </w:tcPr>
                <w:p>
                  <w:pPr>
                    <w:pStyle w:val="47"/>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firstLine="0" w:firstLineChars="0"/>
                    <w:jc w:val="both"/>
                    <w:textAlignment w:val="auto"/>
                    <w:rPr>
                      <w:rFonts w:hint="default" w:ascii="Times New Roman" w:hAnsi="Times New Roman" w:eastAsia="宋体" w:cs="Times New Roman"/>
                      <w:b w:val="0"/>
                      <w:bCs/>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 w:val="0"/>
                      <w:bCs/>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t>《大气污染物综合排放标准》（GB16297- 1996）中无组织排放监控浓度限值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771" w:type="pct"/>
                  <w:vMerge w:val="continue"/>
                  <w:tcBorders>
                    <w:tl2br w:val="nil"/>
                    <w:tr2bl w:val="nil"/>
                  </w:tcBorders>
                  <w:noWrap w:val="0"/>
                  <w:vAlign w:val="center"/>
                </w:tcPr>
                <w:p>
                  <w:pPr>
                    <w:pStyle w:val="38"/>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pP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t>非甲烷总烃</w:t>
                  </w:r>
                </w:p>
              </w:tc>
              <w:tc>
                <w:tcPr>
                  <w:tcW w:w="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snapToGrid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cs="Times New Roman"/>
                      <w:smallCaps w:val="0"/>
                      <w:snapToGrid w:val="0"/>
                      <w:color w:val="000000" w:themeColor="text1"/>
                      <w:spacing w:val="0"/>
                      <w:kern w:val="0"/>
                      <w:position w:val="0"/>
                      <w:sz w:val="21"/>
                      <w:szCs w:val="21"/>
                      <w:highlight w:val="none"/>
                      <w:shd w:val="clear" w:color="auto" w:fill="auto"/>
                      <w:lang w:val="en-US" w:eastAsia="zh-CN"/>
                      <w14:textFill>
                        <w14:solidFill>
                          <w14:schemeClr w14:val="tx1"/>
                        </w14:solidFill>
                      </w14:textFill>
                    </w:rPr>
                    <w:t>1次/季度</w:t>
                  </w:r>
                </w:p>
              </w:tc>
              <w:tc>
                <w:tcPr>
                  <w:tcW w:w="2511" w:type="pct"/>
                  <w:vMerge w:val="continue"/>
                  <w:tcBorders>
                    <w:tl2br w:val="nil"/>
                    <w:tr2bl w:val="nil"/>
                  </w:tcBorders>
                  <w:noWrap w:val="0"/>
                  <w:vAlign w:val="center"/>
                </w:tcPr>
                <w:p>
                  <w:pPr>
                    <w:pStyle w:val="47"/>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firstLine="0" w:firstLineChars="0"/>
                    <w:jc w:val="both"/>
                    <w:textAlignment w:val="auto"/>
                    <w:rPr>
                      <w:rFonts w:hint="default" w:ascii="Times New Roman" w:hAnsi="Times New Roman" w:eastAsia="宋体" w:cs="Times New Roman"/>
                      <w:b w:val="0"/>
                      <w:bCs/>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jc w:val="center"/>
              </w:trPr>
              <w:tc>
                <w:tcPr>
                  <w:tcW w:w="771" w:type="pct"/>
                  <w:tcBorders>
                    <w:tl2br w:val="nil"/>
                    <w:tr2bl w:val="nil"/>
                  </w:tcBorders>
                  <w:noWrap w:val="0"/>
                  <w:vAlign w:val="center"/>
                </w:tcPr>
                <w:p>
                  <w:pPr>
                    <w:pStyle w:val="38"/>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t>岩屑处理池</w:t>
                  </w:r>
                  <w:r>
                    <w:rPr>
                      <w:rFonts w:hint="eastAsia"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t>下风向1m处</w:t>
                  </w:r>
                </w:p>
              </w:tc>
              <w:tc>
                <w:tcPr>
                  <w:tcW w:w="7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shd w:val="clear" w:color="auto" w:fill="auto"/>
                      <w:vertAlign w:val="baseline"/>
                      <w:lang w:val="en-US" w:eastAsia="zh-CN"/>
                      <w14:textFill>
                        <w14:solidFill>
                          <w14:schemeClr w14:val="tx1"/>
                        </w14:solidFill>
                      </w14:textFill>
                    </w:rPr>
                    <w:t>非甲烷总烃</w:t>
                  </w:r>
                </w:p>
              </w:tc>
              <w:tc>
                <w:tcPr>
                  <w:tcW w:w="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mallCaps w:val="0"/>
                      <w:snapToGrid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Cs w:val="21"/>
                      <w:highlight w:val="none"/>
                      <w:lang w:val="en-US" w:eastAsia="zh-CN"/>
                      <w14:textFill>
                        <w14:solidFill>
                          <w14:schemeClr w14:val="tx1"/>
                        </w14:solidFill>
                      </w14:textFill>
                    </w:rPr>
                    <w:t>1次/年</w:t>
                  </w:r>
                </w:p>
              </w:tc>
              <w:tc>
                <w:tcPr>
                  <w:tcW w:w="2511" w:type="pct"/>
                  <w:tcBorders>
                    <w:tl2br w:val="nil"/>
                    <w:tr2bl w:val="nil"/>
                  </w:tcBorders>
                  <w:noWrap w:val="0"/>
                  <w:vAlign w:val="center"/>
                </w:tcPr>
                <w:p>
                  <w:pPr>
                    <w:pStyle w:val="47"/>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0" w:leftChars="0" w:right="0" w:firstLine="0" w:firstLineChars="0"/>
                    <w:jc w:val="both"/>
                    <w:textAlignment w:val="auto"/>
                    <w:rPr>
                      <w:rFonts w:hint="default" w:ascii="Times New Roman" w:hAnsi="Times New Roman" w:eastAsia="宋体" w:cs="Times New Roman"/>
                      <w:b w:val="0"/>
                      <w:bCs/>
                      <w:smallCaps w:val="0"/>
                      <w:snapToGrid w:val="0"/>
                      <w:color w:val="000000" w:themeColor="text1"/>
                      <w:spacing w:val="0"/>
                      <w:kern w:val="0"/>
                      <w:position w:val="0"/>
                      <w:sz w:val="21"/>
                      <w:szCs w:val="21"/>
                      <w:highlight w:val="none"/>
                      <w:shd w:val="clear" w:color="auto" w:fill="auto"/>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《挥发性有机物无组织排放控制标准》（GB37822-2019）中“附录A表A.1无组织排放限值”</w:t>
                  </w:r>
                </w:p>
              </w:tc>
            </w:tr>
          </w:tbl>
          <w:p>
            <w:pPr>
              <w:pStyle w:val="275"/>
              <w:keepLines w:val="0"/>
              <w:pageBreakBefore w:val="0"/>
              <w:kinsoku/>
              <w:wordWrap/>
              <w:overflowPunct/>
              <w:bidi w:val="0"/>
              <w:adjustRightInd w:val="0"/>
              <w:snapToGrid w:val="0"/>
              <w:ind w:left="0" w:leftChars="0" w:right="0" w:firstLine="0" w:firstLineChars="0"/>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2</w:t>
            </w: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运营期水环境影响分析</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2.1水环境影响分析</w:t>
            </w:r>
          </w:p>
          <w:p>
            <w:pPr>
              <w:pStyle w:val="275"/>
              <w:keepLines w:val="0"/>
              <w:pageBreakBefore w:val="0"/>
              <w:kinsoku/>
              <w:wordWrap/>
              <w:overflowPunct/>
              <w:bidi w:val="0"/>
              <w:adjustRightInd w:val="0"/>
              <w:snapToGrid w:val="0"/>
              <w:ind w:left="0" w:right="0" w:firstLine="480"/>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本项目运营期产生的废水包括生产废水和工作人员产生的生活污水。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生产废水</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经污水处理设施处理后</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回用于配药，不对外排放。</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污水处理设施工艺采用“高级氧化+混凝沉淀”。</w:t>
            </w:r>
          </w:p>
          <w:p>
            <w:pPr>
              <w:pStyle w:val="275"/>
              <w:keepLines w:val="0"/>
              <w:pageBreakBefore w:val="0"/>
              <w:kinsoku/>
              <w:wordWrap/>
              <w:overflowPunct/>
              <w:bidi w:val="0"/>
              <w:adjustRightInd w:val="0"/>
              <w:snapToGrid w:val="0"/>
              <w:ind w:left="0" w:right="0" w:firstLine="480"/>
              <w:rPr>
                <w:rFonts w:hint="default" w:ascii="Times New Roman" w:hAnsi="Times New Roman" w:eastAsia="宋体" w:cs="Times New Roman"/>
                <w:caps w:val="0"/>
                <w:smallCaps w:val="0"/>
                <w:snapToGrid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项目生活污水排放量为</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144</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m</w:t>
            </w:r>
            <w:r>
              <w:rPr>
                <w:rFonts w:hint="default" w:ascii="Times New Roman" w:hAnsi="Times New Roman" w:eastAsia="宋体" w:cs="Times New Roman"/>
                <w:caps w:val="0"/>
                <w:smallCaps w:val="0"/>
                <w:color w:val="000000" w:themeColor="text1"/>
                <w:spacing w:val="0"/>
                <w:kern w:val="0"/>
                <w:position w:val="0"/>
                <w:sz w:val="24"/>
                <w:highlight w:val="none"/>
                <w:vertAlign w:val="superscript"/>
                <w14:textFill>
                  <w14:solidFill>
                    <w14:schemeClr w14:val="tx1"/>
                  </w14:solidFill>
                </w14:textFill>
              </w:rPr>
              <w:t>3</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/a</w:t>
            </w:r>
            <w:r>
              <w:rPr>
                <w:rFonts w:hint="default" w:ascii="Times New Roman" w:hAnsi="Times New Roman" w:eastAsia="宋体" w:cs="Times New Roman"/>
                <w:caps w:val="0"/>
                <w:smallCaps w:val="0"/>
                <w:color w:val="000000" w:themeColor="text1"/>
                <w:spacing w:val="0"/>
                <w:kern w:val="0"/>
                <w:position w:val="0"/>
                <w:sz w:val="24"/>
                <w:highlight w:val="none"/>
                <w:lang w:eastAsia="zh-CN"/>
                <w14:textFill>
                  <w14:solidFill>
                    <w14:schemeClr w14:val="tx1"/>
                  </w14:solidFill>
                </w14:textFill>
              </w:rPr>
              <w:t>，排入化粪池（</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15m</w:t>
            </w:r>
            <w:r>
              <w:rPr>
                <w:rFonts w:hint="default" w:ascii="Times New Roman" w:hAnsi="Times New Roman" w:eastAsia="宋体" w:cs="Times New Roman"/>
                <w:caps w:val="0"/>
                <w:smallCaps w:val="0"/>
                <w:color w:val="000000" w:themeColor="text1"/>
                <w:spacing w:val="0"/>
                <w:kern w:val="0"/>
                <w:positio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smallCaps w:val="0"/>
                <w:color w:val="000000" w:themeColor="text1"/>
                <w:spacing w:val="0"/>
                <w:kern w:val="0"/>
                <w:position w:val="0"/>
                <w:sz w:val="24"/>
                <w:highlight w:val="none"/>
                <w:lang w:eastAsia="zh-CN"/>
                <w14:textFill>
                  <w14:solidFill>
                    <w14:schemeClr w14:val="tx1"/>
                  </w14:solidFill>
                </w14:textFill>
              </w:rPr>
              <w:t>）预处理后</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，定期采用拉运至尉犁县污水处理厂处理。</w:t>
            </w:r>
            <w:r>
              <w:rPr>
                <w:rFonts w:hint="default" w:ascii="Times New Roman" w:hAnsi="Times New Roman" w:eastAsia="宋体" w:cs="Times New Roman"/>
                <w:caps w:val="0"/>
                <w:smallCaps w:val="0"/>
                <w:snapToGrid w:val="0"/>
                <w:color w:val="000000" w:themeColor="text1"/>
                <w:spacing w:val="0"/>
                <w:kern w:val="0"/>
                <w:position w:val="0"/>
                <w:sz w:val="24"/>
                <w:highlight w:val="none"/>
                <w:lang w:eastAsia="zh-CN"/>
                <w14:textFill>
                  <w14:solidFill>
                    <w14:schemeClr w14:val="tx1"/>
                  </w14:solidFill>
                </w14:textFill>
              </w:rPr>
              <w:t>生活</w:t>
            </w:r>
            <w:r>
              <w:rPr>
                <w:rFonts w:hint="default" w:ascii="Times New Roman" w:hAnsi="Times New Roman" w:eastAsia="宋体" w:cs="Times New Roman"/>
                <w:caps w:val="0"/>
                <w:smallCaps w:val="0"/>
                <w:snapToGrid w:val="0"/>
                <w:color w:val="000000" w:themeColor="text1"/>
                <w:spacing w:val="0"/>
                <w:kern w:val="0"/>
                <w:position w:val="0"/>
                <w:sz w:val="24"/>
                <w:highlight w:val="none"/>
                <w14:textFill>
                  <w14:solidFill>
                    <w14:schemeClr w14:val="tx1"/>
                  </w14:solidFill>
                </w14:textFill>
              </w:rPr>
              <w:t>排放浓度及排放量具体见表4-</w:t>
            </w:r>
            <w:r>
              <w:rPr>
                <w:rFonts w:hint="default" w:ascii="Times New Roman" w:hAnsi="Times New Roman" w:eastAsia="宋体" w:cs="Times New Roman"/>
                <w:caps w:val="0"/>
                <w:smallCaps w:val="0"/>
                <w:snapToGrid w:val="0"/>
                <w:color w:val="000000" w:themeColor="text1"/>
                <w:spacing w:val="0"/>
                <w:kern w:val="0"/>
                <w:position w:val="0"/>
                <w:sz w:val="24"/>
                <w:highlight w:val="none"/>
                <w:lang w:val="en-US" w:eastAsia="zh-CN"/>
                <w14:textFill>
                  <w14:solidFill>
                    <w14:schemeClr w14:val="tx1"/>
                  </w14:solidFill>
                </w14:textFill>
              </w:rPr>
              <w:t>5</w:t>
            </w:r>
            <w:r>
              <w:rPr>
                <w:rFonts w:hint="default" w:ascii="Times New Roman" w:hAnsi="Times New Roman" w:eastAsia="宋体" w:cs="Times New Roman"/>
                <w:caps w:val="0"/>
                <w:smallCaps w:val="0"/>
                <w:snapToGrid w:val="0"/>
                <w:color w:val="000000" w:themeColor="text1"/>
                <w:spacing w:val="0"/>
                <w:kern w:val="0"/>
                <w:position w:val="0"/>
                <w:sz w:val="24"/>
                <w:highlight w:val="none"/>
                <w14:textFill>
                  <w14:solidFill>
                    <w14:schemeClr w14:val="tx1"/>
                  </w14:solidFill>
                </w14:textFill>
              </w:rPr>
              <w:t>。</w:t>
            </w:r>
          </w:p>
          <w:p>
            <w:pPr>
              <w:pStyle w:val="114"/>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422" w:firstLineChars="200"/>
              <w:jc w:val="both"/>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 xml:space="preserve">表4-5  </w:t>
            </w:r>
            <w:r>
              <w:rPr>
                <w:rFonts w:hint="eastAsia" w:ascii="Times New Roman" w:hAnsi="Times New Roman" w:eastAsia="宋体"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 xml:space="preserve">             </w:t>
            </w:r>
            <w:r>
              <w:rPr>
                <w:rFonts w:hint="default" w:ascii="Times New Roman" w:hAnsi="Times New Roman" w:eastAsia="宋体" w:cs="Times New Roman"/>
                <w:b/>
                <w:bCs w:val="0"/>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 xml:space="preserve">  生活污水污染因子排放浓度及排放量</w:t>
            </w:r>
          </w:p>
          <w:tbl>
            <w:tblPr>
              <w:tblStyle w:val="4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643"/>
              <w:gridCol w:w="1262"/>
              <w:gridCol w:w="1154"/>
              <w:gridCol w:w="1085"/>
              <w:gridCol w:w="12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8" w:hRule="atLeast"/>
                <w:jc w:val="center"/>
              </w:trPr>
              <w:tc>
                <w:tcPr>
                  <w:tcW w:w="2160"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项   目</w:t>
                  </w:r>
                </w:p>
              </w:tc>
              <w:tc>
                <w:tcPr>
                  <w:tcW w:w="748"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COD</w:t>
                  </w:r>
                </w:p>
              </w:tc>
              <w:tc>
                <w:tcPr>
                  <w:tcW w:w="684"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BOD</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vertAlign w:val="subscript"/>
                      <w14:textFill>
                        <w14:solidFill>
                          <w14:schemeClr w14:val="tx1"/>
                        </w14:solidFill>
                      </w14:textFill>
                    </w:rPr>
                    <w:t>5</w:t>
                  </w:r>
                </w:p>
              </w:tc>
              <w:tc>
                <w:tcPr>
                  <w:tcW w:w="643"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SS</w:t>
                  </w:r>
                </w:p>
              </w:tc>
              <w:tc>
                <w:tcPr>
                  <w:tcW w:w="763"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NH</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vertAlign w:val="subscript"/>
                      <w14:textFill>
                        <w14:solidFill>
                          <w14:schemeClr w14:val="tx1"/>
                        </w14:solidFill>
                      </w14:textFill>
                    </w:rPr>
                    <w:t>3</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-N</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160"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排放</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浓度（mg/L）</w:t>
                  </w:r>
                </w:p>
              </w:tc>
              <w:tc>
                <w:tcPr>
                  <w:tcW w:w="748"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4</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0</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0</w:t>
                  </w:r>
                </w:p>
              </w:tc>
              <w:tc>
                <w:tcPr>
                  <w:tcW w:w="684"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200</w:t>
                  </w:r>
                </w:p>
              </w:tc>
              <w:tc>
                <w:tcPr>
                  <w:tcW w:w="643"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320</w:t>
                  </w:r>
                </w:p>
              </w:tc>
              <w:tc>
                <w:tcPr>
                  <w:tcW w:w="763"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8" w:hRule="atLeast"/>
                <w:jc w:val="center"/>
              </w:trPr>
              <w:tc>
                <w:tcPr>
                  <w:tcW w:w="2160"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排放</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量（t/a）</w:t>
                  </w:r>
                </w:p>
              </w:tc>
              <w:tc>
                <w:tcPr>
                  <w:tcW w:w="748" w:type="pct"/>
                  <w:tcBorders>
                    <w:tl2br w:val="nil"/>
                    <w:tr2bl w:val="nil"/>
                  </w:tcBorders>
                  <w:noWrap w:val="0"/>
                  <w:vAlign w:val="center"/>
                </w:tcPr>
                <w:p>
                  <w:pPr>
                    <w:keepNext w:val="0"/>
                    <w:keepLines w:val="0"/>
                    <w:pageBreakBefore w:val="0"/>
                    <w:widowControl/>
                    <w:suppressLineNumbers w:val="0"/>
                    <w:wordWrap/>
                    <w:overflowPunct/>
                    <w:bidi w:val="0"/>
                    <w:adjustRightInd w:val="0"/>
                    <w:snapToGrid w:val="0"/>
                    <w:ind w:left="0" w:right="0"/>
                    <w:jc w:val="center"/>
                    <w:textAlignment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smallCaps w:val="0"/>
                      <w:color w:val="000000" w:themeColor="text1"/>
                      <w:spacing w:val="0"/>
                      <w:kern w:val="0"/>
                      <w:position w:val="0"/>
                      <w:sz w:val="21"/>
                      <w:szCs w:val="21"/>
                      <w:highlight w:val="none"/>
                      <w:u w:val="none"/>
                      <w:lang w:val="en-US" w:eastAsia="zh-CN" w:bidi="ar"/>
                      <w14:textFill>
                        <w14:solidFill>
                          <w14:schemeClr w14:val="tx1"/>
                        </w14:solidFill>
                      </w14:textFill>
                    </w:rPr>
                    <w:t>0.0576</w:t>
                  </w:r>
                </w:p>
              </w:tc>
              <w:tc>
                <w:tcPr>
                  <w:tcW w:w="684" w:type="pct"/>
                  <w:tcBorders>
                    <w:tl2br w:val="nil"/>
                    <w:tr2bl w:val="nil"/>
                  </w:tcBorders>
                  <w:noWrap w:val="0"/>
                  <w:vAlign w:val="center"/>
                </w:tcPr>
                <w:p>
                  <w:pPr>
                    <w:keepNext w:val="0"/>
                    <w:keepLines w:val="0"/>
                    <w:pageBreakBefore w:val="0"/>
                    <w:widowControl/>
                    <w:suppressLineNumbers w:val="0"/>
                    <w:wordWrap/>
                    <w:overflowPunct/>
                    <w:bidi w:val="0"/>
                    <w:adjustRightInd w:val="0"/>
                    <w:snapToGrid w:val="0"/>
                    <w:ind w:left="0" w:right="0"/>
                    <w:jc w:val="center"/>
                    <w:textAlignment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smallCaps w:val="0"/>
                      <w:color w:val="000000" w:themeColor="text1"/>
                      <w:spacing w:val="0"/>
                      <w:kern w:val="0"/>
                      <w:position w:val="0"/>
                      <w:sz w:val="21"/>
                      <w:szCs w:val="21"/>
                      <w:highlight w:val="none"/>
                      <w:u w:val="none"/>
                      <w:lang w:val="en-US" w:eastAsia="zh-CN" w:bidi="ar"/>
                      <w14:textFill>
                        <w14:solidFill>
                          <w14:schemeClr w14:val="tx1"/>
                        </w14:solidFill>
                      </w14:textFill>
                    </w:rPr>
                    <w:t xml:space="preserve">0.0288 </w:t>
                  </w:r>
                </w:p>
              </w:tc>
              <w:tc>
                <w:tcPr>
                  <w:tcW w:w="643" w:type="pct"/>
                  <w:tcBorders>
                    <w:tl2br w:val="nil"/>
                    <w:tr2bl w:val="nil"/>
                  </w:tcBorders>
                  <w:noWrap w:val="0"/>
                  <w:vAlign w:val="center"/>
                </w:tcPr>
                <w:p>
                  <w:pPr>
                    <w:keepNext w:val="0"/>
                    <w:keepLines w:val="0"/>
                    <w:pageBreakBefore w:val="0"/>
                    <w:widowControl/>
                    <w:suppressLineNumbers w:val="0"/>
                    <w:wordWrap/>
                    <w:overflowPunct/>
                    <w:bidi w:val="0"/>
                    <w:adjustRightInd w:val="0"/>
                    <w:snapToGrid w:val="0"/>
                    <w:ind w:left="0" w:right="0"/>
                    <w:jc w:val="center"/>
                    <w:textAlignment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smallCaps w:val="0"/>
                      <w:color w:val="000000" w:themeColor="text1"/>
                      <w:spacing w:val="0"/>
                      <w:kern w:val="0"/>
                      <w:position w:val="0"/>
                      <w:sz w:val="21"/>
                      <w:szCs w:val="21"/>
                      <w:highlight w:val="none"/>
                      <w:u w:val="none"/>
                      <w:lang w:val="en-US" w:eastAsia="zh-CN" w:bidi="ar"/>
                      <w14:textFill>
                        <w14:solidFill>
                          <w14:schemeClr w14:val="tx1"/>
                        </w14:solidFill>
                      </w14:textFill>
                    </w:rPr>
                    <w:t xml:space="preserve">0.0461 </w:t>
                  </w:r>
                </w:p>
              </w:tc>
              <w:tc>
                <w:tcPr>
                  <w:tcW w:w="763" w:type="pct"/>
                  <w:tcBorders>
                    <w:tl2br w:val="nil"/>
                    <w:tr2bl w:val="nil"/>
                  </w:tcBorders>
                  <w:noWrap w:val="0"/>
                  <w:vAlign w:val="center"/>
                </w:tcPr>
                <w:p>
                  <w:pPr>
                    <w:keepNext w:val="0"/>
                    <w:keepLines w:val="0"/>
                    <w:pageBreakBefore w:val="0"/>
                    <w:widowControl/>
                    <w:suppressLineNumbers w:val="0"/>
                    <w:wordWrap/>
                    <w:overflowPunct/>
                    <w:bidi w:val="0"/>
                    <w:adjustRightInd w:val="0"/>
                    <w:snapToGrid w:val="0"/>
                    <w:ind w:left="0" w:right="0"/>
                    <w:jc w:val="center"/>
                    <w:textAlignment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smallCaps w:val="0"/>
                      <w:color w:val="000000" w:themeColor="text1"/>
                      <w:spacing w:val="0"/>
                      <w:kern w:val="0"/>
                      <w:position w:val="0"/>
                      <w:sz w:val="21"/>
                      <w:szCs w:val="21"/>
                      <w:highlight w:val="none"/>
                      <w:u w:val="none"/>
                      <w:lang w:val="en-US" w:eastAsia="zh-CN" w:bidi="ar"/>
                      <w14:textFill>
                        <w14:solidFill>
                          <w14:schemeClr w14:val="tx1"/>
                        </w14:solidFill>
                      </w14:textFill>
                    </w:rPr>
                    <w:t>0.0065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8" w:hRule="atLeast"/>
                <w:jc w:val="center"/>
              </w:trPr>
              <w:tc>
                <w:tcPr>
                  <w:tcW w:w="2160" w:type="pct"/>
                  <w:tcBorders>
                    <w:tl2br w:val="nil"/>
                    <w:tr2bl w:val="nil"/>
                  </w:tcBorders>
                  <w:noWrap w:val="0"/>
                  <w:vAlign w:val="center"/>
                </w:tcPr>
                <w:p>
                  <w:pPr>
                    <w:keepLines w:val="0"/>
                    <w:pageBreakBefore w:val="0"/>
                    <w:kinsoku/>
                    <w:wordWrap/>
                    <w:overflowPunct/>
                    <w:autoSpaceDE w:val="0"/>
                    <w:autoSpaceDN w:val="0"/>
                    <w:bidi w:val="0"/>
                    <w:adjustRightInd w:val="0"/>
                    <w:snapToGrid w:val="0"/>
                    <w:ind w:left="0" w:right="0"/>
                    <w:jc w:val="cente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GB</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8978-1996</w:t>
                  </w:r>
                  <w:r>
                    <w:rPr>
                      <w:rFonts w:hint="eastAsia"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中</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val="en-US" w:eastAsia="zh-CN"/>
                      <w14:textFill>
                        <w14:solidFill>
                          <w14:schemeClr w14:val="tx1"/>
                        </w14:solidFill>
                      </w14:textFill>
                    </w:rPr>
                    <w:t>三</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14:textFill>
                        <w14:solidFill>
                          <w14:schemeClr w14:val="tx1"/>
                        </w14:solidFill>
                      </w14:textFill>
                    </w:rPr>
                    <w:t>级标准</w:t>
                  </w:r>
                  <w:r>
                    <w:rPr>
                      <w:rFonts w:hint="default" w:ascii="Times New Roman" w:hAnsi="Times New Roman" w:eastAsia="宋体" w:cs="Times New Roman"/>
                      <w:caps w:val="0"/>
                      <w:smallCaps w:val="0"/>
                      <w:snapToGrid w:val="0"/>
                      <w:color w:val="000000" w:themeColor="text1"/>
                      <w:spacing w:val="0"/>
                      <w:kern w:val="0"/>
                      <w:position w:val="0"/>
                      <w:sz w:val="21"/>
                      <w:szCs w:val="21"/>
                      <w:highlight w:val="none"/>
                      <w:lang w:eastAsia="zh-CN"/>
                      <w14:textFill>
                        <w14:solidFill>
                          <w14:schemeClr w14:val="tx1"/>
                        </w14:solidFill>
                      </w14:textFill>
                    </w:rPr>
                    <w:t>限值</w:t>
                  </w:r>
                </w:p>
              </w:tc>
              <w:tc>
                <w:tcPr>
                  <w:tcW w:w="748" w:type="pct"/>
                  <w:tcBorders>
                    <w:tl2br w:val="nil"/>
                    <w:tr2bl w:val="nil"/>
                  </w:tcBorders>
                  <w:noWrap w:val="0"/>
                  <w:vAlign w:val="center"/>
                </w:tcPr>
                <w:p>
                  <w:pPr>
                    <w:keepLines w:val="0"/>
                    <w:pageBreakBefore w:val="0"/>
                    <w:kinsoku/>
                    <w:wordWrap/>
                    <w:overflowPunct/>
                    <w:bidi w:val="0"/>
                    <w:adjustRightInd w:val="0"/>
                    <w:snapToGrid w:val="0"/>
                    <w:ind w:left="0" w:right="0"/>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≤500</w:t>
                  </w:r>
                </w:p>
              </w:tc>
              <w:tc>
                <w:tcPr>
                  <w:tcW w:w="684" w:type="pct"/>
                  <w:tcBorders>
                    <w:tl2br w:val="nil"/>
                    <w:tr2bl w:val="nil"/>
                  </w:tcBorders>
                  <w:noWrap w:val="0"/>
                  <w:vAlign w:val="center"/>
                </w:tcPr>
                <w:p>
                  <w:pPr>
                    <w:keepLines w:val="0"/>
                    <w:pageBreakBefore w:val="0"/>
                    <w:kinsoku/>
                    <w:wordWrap/>
                    <w:overflowPunct/>
                    <w:bidi w:val="0"/>
                    <w:adjustRightInd w:val="0"/>
                    <w:snapToGrid w:val="0"/>
                    <w:ind w:left="0" w:right="0"/>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≤3</w:t>
                  </w:r>
                  <w: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0</w:t>
                  </w: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0</w:t>
                  </w:r>
                </w:p>
              </w:tc>
              <w:tc>
                <w:tcPr>
                  <w:tcW w:w="643" w:type="pct"/>
                  <w:tcBorders>
                    <w:tl2br w:val="nil"/>
                    <w:tr2bl w:val="nil"/>
                  </w:tcBorders>
                  <w:noWrap w:val="0"/>
                  <w:vAlign w:val="center"/>
                </w:tcPr>
                <w:p>
                  <w:pPr>
                    <w:keepLines w:val="0"/>
                    <w:pageBreakBefore w:val="0"/>
                    <w:kinsoku/>
                    <w:wordWrap/>
                    <w:overflowPunct/>
                    <w:bidi w:val="0"/>
                    <w:adjustRightInd w:val="0"/>
                    <w:snapToGrid w:val="0"/>
                    <w:ind w:left="0" w:right="0"/>
                    <w:jc w:val="cente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≤400</w:t>
                  </w:r>
                </w:p>
              </w:tc>
              <w:tc>
                <w:tcPr>
                  <w:tcW w:w="763" w:type="pct"/>
                  <w:tcBorders>
                    <w:tl2br w:val="nil"/>
                    <w:tr2bl w:val="nil"/>
                  </w:tcBorders>
                  <w:noWrap w:val="0"/>
                  <w:vAlign w:val="center"/>
                </w:tcPr>
                <w:p>
                  <w:pPr>
                    <w:keepLines w:val="0"/>
                    <w:pageBreakBefore w:val="0"/>
                    <w:kinsoku/>
                    <w:wordWrap/>
                    <w:overflowPunct/>
                    <w:bidi w:val="0"/>
                    <w:adjustRightInd w:val="0"/>
                    <w:snapToGrid w:val="0"/>
                    <w:ind w:left="0" w:right="0"/>
                    <w:jc w:val="cente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aps w:val="0"/>
                <w:smallCaps w:val="0"/>
                <w:snapToGrid w:val="0"/>
                <w:color w:val="000000" w:themeColor="text1"/>
                <w:spacing w:val="0"/>
                <w:kern w:val="0"/>
                <w:position w:val="0"/>
                <w:sz w:val="24"/>
                <w:highlight w:val="none"/>
                <w14:textFill>
                  <w14:solidFill>
                    <w14:schemeClr w14:val="tx1"/>
                  </w14:solidFill>
                </w14:textFill>
              </w:rPr>
              <w:t>由上表可知，污水排放浓度较低，</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满足《污水</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综合排放</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标准》（GB</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8978-1996</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）表</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4</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中</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三</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级</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标准</w:t>
            </w:r>
            <w:r>
              <w:rPr>
                <w:rFonts w:hint="default" w:ascii="Times New Roman" w:hAnsi="Times New Roman" w:eastAsia="宋体" w:cs="Times New Roman"/>
                <w:caps w:val="0"/>
                <w:smallCaps w:val="0"/>
                <w:color w:val="000000" w:themeColor="text1"/>
                <w:spacing w:val="0"/>
                <w:kern w:val="0"/>
                <w:position w:val="0"/>
                <w:sz w:val="24"/>
                <w:highlight w:val="none"/>
                <w14:textFill>
                  <w14:solidFill>
                    <w14:schemeClr w14:val="tx1"/>
                  </w14:solidFill>
                </w14:textFill>
              </w:rPr>
              <w:t>规定限值，</w:t>
            </w:r>
            <w:r>
              <w:rPr>
                <w:rFonts w:hint="default" w:ascii="Times New Roman" w:hAnsi="Times New Roman" w:eastAsia="宋体" w:cs="Times New Roman"/>
                <w:caps w:val="0"/>
                <w:smallCaps w:val="0"/>
                <w:color w:val="000000" w:themeColor="text1"/>
                <w:spacing w:val="0"/>
                <w:kern w:val="0"/>
                <w:position w:val="0"/>
                <w:sz w:val="24"/>
                <w:highlight w:val="none"/>
                <w:lang w:eastAsia="zh-CN"/>
                <w14:textFill>
                  <w14:solidFill>
                    <w14:schemeClr w14:val="tx1"/>
                  </w14:solidFill>
                </w14:textFill>
              </w:rPr>
              <w:t>定期抽运至</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定期采用拉运至尉犁县污水处理厂处理。</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本项目</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生活</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污水排放口属于间接排放，项目区周边无地表水体径流，项目产生的废水不和地表水及地下水产生水力联系，对项目区及周边环境影响甚微。</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4"/>
                <w:highlight w:val="none"/>
                <w14:textFill>
                  <w14:solidFill>
                    <w14:schemeClr w14:val="tx1"/>
                  </w14:solidFill>
                </w14:textFill>
              </w:rPr>
              <w:t>2.2 废水依托可行性</w:t>
            </w:r>
          </w:p>
          <w:p>
            <w:pPr>
              <w:pageBreakBefore w:val="0"/>
              <w:wordWrap/>
              <w:overflowPunct/>
              <w:bidi w:val="0"/>
              <w:adjustRightInd w:val="0"/>
              <w:snapToGrid w:val="0"/>
              <w:spacing w:line="360" w:lineRule="auto"/>
              <w:ind w:left="0" w:right="0" w:firstLine="480" w:firstLineChars="200"/>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尉犁县污水处理厂位于巴州尉犁县东北部，距县城解放路约4.2km。中心地理坐标为：东经86°17′58″、北纬41°21′43″。设计日处理能力为（本期）5000m</w:t>
            </w:r>
            <w:r>
              <w:rPr>
                <w:rFonts w:hint="default" w:ascii="Times New Roman" w:hAnsi="Times New Roman"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处理工艺为：格栅-沉砂池-A/0生物池+二沉池+高效沉淀池（深度处理工艺）+次氯酸钠消毒，设计出水水质达到《城镇污水处理厂污染物排放标准》（GB18918-2002）一级A标准后，夏季用于尉北防护林灌溉，冬季（3个月）尾水一部分排至现有污水处理厂稳定塘（容积为23.4万m</w:t>
            </w:r>
            <w:r>
              <w:rPr>
                <w:rFonts w:hint="default" w:ascii="Times New Roman" w:hAnsi="Times New Roman"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），一部分排至新建的尾水库（21.7万m</w:t>
            </w:r>
            <w:r>
              <w:rPr>
                <w:rFonts w:hint="default" w:ascii="Times New Roman" w:hAnsi="Times New Roman"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）。除臭采用活性氧离子法除臭工艺，污泥采用污泥浓缩脱水一体工艺。服务对象为尉犁县城镇生活废水和尉北工业园区、达西工业园区生活污水。</w:t>
            </w:r>
          </w:p>
          <w:p>
            <w:pPr>
              <w:pageBreakBefore w:val="0"/>
              <w:wordWrap/>
              <w:overflowPunct/>
              <w:bidi w:val="0"/>
              <w:adjustRightInd w:val="0"/>
              <w:snapToGrid w:val="0"/>
              <w:spacing w:line="360" w:lineRule="auto"/>
              <w:ind w:left="0" w:right="0" w:firstLine="480" w:firstLineChars="200"/>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尉犁科发再生水有限公司于2019年06月11日，进行了首次排污许可证申请工作，排污许可证编号为91652823MA77CK2F1H001Y，</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于</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2024年7月1日进行重新申请，排污许可证编号为91652823MA77CK2F1H001C。</w:t>
            </w:r>
          </w:p>
          <w:p>
            <w:pPr>
              <w:pageBreakBefore w:val="0"/>
              <w:wordWrap/>
              <w:overflowPunct/>
              <w:bidi w:val="0"/>
              <w:adjustRightInd w:val="0"/>
              <w:snapToGrid w:val="0"/>
              <w:spacing w:line="360" w:lineRule="auto"/>
              <w:ind w:left="0" w:right="0" w:firstLine="480" w:firstLineChars="200"/>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本项目废水主要为厂区生活污水，预计</w:t>
            </w:r>
            <w:r>
              <w:rPr>
                <w:rFonts w:hint="eastAsia" w:cs="Times New Roman"/>
                <w:smallCaps w:val="0"/>
                <w:color w:val="000000" w:themeColor="text1"/>
                <w:spacing w:val="0"/>
                <w:kern w:val="0"/>
                <w:position w:val="0"/>
                <w:sz w:val="24"/>
                <w:szCs w:val="24"/>
                <w:highlight w:val="none"/>
                <w:lang w:eastAsia="zh-CN"/>
                <w14:textFill>
                  <w14:solidFill>
                    <w14:schemeClr w14:val="tx1"/>
                  </w14:solidFill>
                </w14:textFill>
              </w:rPr>
              <w:t>生活污水</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日排量约</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0.66</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m</w:t>
            </w:r>
            <w:r>
              <w:rPr>
                <w:rFonts w:hint="default" w:ascii="Times New Roman" w:hAnsi="Times New Roman" w:cs="Times New Roman"/>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/d，</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目前尉犁县污水处理厂日处理量为4000m</w:t>
            </w:r>
            <w:r>
              <w:rPr>
                <w:rFonts w:hint="default" w:ascii="Times New Roman" w:hAnsi="Times New Roman" w:cs="Times New Roman"/>
                <w:smallCaps w:val="0"/>
                <w:color w:val="000000" w:themeColor="text1"/>
                <w:spacing w:val="0"/>
                <w:kern w:val="0"/>
                <w:position w:val="0"/>
                <w:sz w:val="24"/>
                <w:szCs w:val="24"/>
                <w:highlight w:val="none"/>
                <w:vertAlign w:val="superscript"/>
                <w:lang w:val="en-US" w:eastAsia="zh-CN"/>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/d，余量可满足本项目的需求。</w:t>
            </w:r>
          </w:p>
          <w:p>
            <w:pPr>
              <w:pStyle w:val="47"/>
              <w:keepLines w:val="0"/>
              <w:pageBreakBefore w:val="0"/>
              <w:kinsoku/>
              <w:wordWrap/>
              <w:overflowPunct/>
              <w:bidi w:val="0"/>
              <w:adjustRightInd w:val="0"/>
              <w:snapToGrid w:val="0"/>
              <w:spacing w:after="0" w:line="360" w:lineRule="auto"/>
              <w:ind w:left="0" w:leftChars="0" w:right="0" w:firstLine="480"/>
              <w:rPr>
                <w:rFonts w:hint="default" w:ascii="Times New Roman" w:hAnsi="Times New Roman" w:eastAsia="宋体" w:cs="Times New Roman"/>
                <w:cap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4"/>
                <w:highlight w:val="none"/>
                <w:lang w:eastAsia="zh-CN"/>
                <w14:textFill>
                  <w14:solidFill>
                    <w14:schemeClr w14:val="tx1"/>
                  </w14:solidFill>
                </w14:textFill>
              </w:rPr>
              <w:t>本项目生活污水排入化粪池（</w:t>
            </w:r>
            <w:r>
              <w:rPr>
                <w:rFonts w:hint="default" w:ascii="Times New Roman" w:hAnsi="Times New Roman" w:eastAsia="宋体" w:cs="Times New Roman"/>
                <w:caps w:val="0"/>
                <w:smallCaps w:val="0"/>
                <w:color w:val="000000" w:themeColor="text1"/>
                <w:spacing w:val="0"/>
                <w:kern w:val="0"/>
                <w:position w:val="0"/>
                <w:sz w:val="24"/>
                <w:highlight w:val="none"/>
                <w:lang w:val="en-US" w:eastAsia="zh-CN"/>
                <w14:textFill>
                  <w14:solidFill>
                    <w14:schemeClr w14:val="tx1"/>
                  </w14:solidFill>
                </w14:textFill>
              </w:rPr>
              <w:t>15m</w:t>
            </w:r>
            <w:r>
              <w:rPr>
                <w:rFonts w:hint="default" w:ascii="Times New Roman" w:hAnsi="Times New Roman" w:eastAsia="宋体" w:cs="Times New Roman"/>
                <w:caps w:val="0"/>
                <w:smallCaps w:val="0"/>
                <w:color w:val="000000" w:themeColor="text1"/>
                <w:spacing w:val="0"/>
                <w:kern w:val="0"/>
                <w:positio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smallCaps w:val="0"/>
                <w:color w:val="000000" w:themeColor="text1"/>
                <w:spacing w:val="0"/>
                <w:kern w:val="0"/>
                <w:position w:val="0"/>
                <w:sz w:val="24"/>
                <w:highlight w:val="none"/>
                <w:lang w:eastAsia="zh-CN"/>
                <w14:textFill>
                  <w14:solidFill>
                    <w14:schemeClr w14:val="tx1"/>
                  </w14:solidFill>
                </w14:textFill>
              </w:rPr>
              <w:t>）预处理后</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，定期采用拉运至尉犁县污水处理厂处理，</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从水质、水量上考虑，依托可行。</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caps w:val="0"/>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 w:val="24"/>
                <w:highlight w:val="none"/>
                <w14:textFill>
                  <w14:solidFill>
                    <w14:schemeClr w14:val="tx1"/>
                  </w14:solidFill>
                </w14:textFill>
              </w:rPr>
              <w:t>2.3 废水监测要求</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本项目</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生活</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污水排放口属于间接排放，</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根据</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《排污单位自行监测技术指南 工业固体废物和危险废物治理》（HJ 1250-2022）“表1一般工业固体废物贮存、处置单位废水排放监测点位、监测指标及最低监测频次--</w:t>
            </w:r>
            <w:r>
              <w:rPr>
                <w:rFonts w:hint="default" w:ascii="Times New Roman" w:hAnsi="Times New Roman" w:eastAsia="宋体" w:cs="Times New Roman"/>
                <w:caps w:val="0"/>
                <w:smallCaps w:val="0"/>
                <w:snapToGrid w:val="0"/>
                <w:color w:val="000000" w:themeColor="text1"/>
                <w:spacing w:val="0"/>
                <w:kern w:val="0"/>
                <w:position w:val="0"/>
                <w:sz w:val="24"/>
                <w:highlight w:val="none"/>
                <w:lang w:val="en-US" w:eastAsia="zh-CN"/>
                <w14:textFill>
                  <w14:solidFill>
                    <w14:schemeClr w14:val="tx1"/>
                  </w14:solidFill>
                </w14:textFill>
              </w:rPr>
              <w:t>生活污水间接排放的不要求开展自行监测，但应说明排放去向</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smallCaps w:val="0"/>
                <w:snapToGrid w:val="0"/>
                <w:color w:val="000000" w:themeColor="text1"/>
                <w:spacing w:val="0"/>
                <w:kern w:val="0"/>
                <w:position w:val="0"/>
                <w:sz w:val="24"/>
                <w:highlight w:val="none"/>
                <w:lang w:val="en-US" w:eastAsia="zh-CN"/>
                <w14:textFill>
                  <w14:solidFill>
                    <w14:schemeClr w14:val="tx1"/>
                  </w14:solidFill>
                </w14:textFill>
              </w:rPr>
              <w:t>因此，本项目生活污水不要求开展自行监测。</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本项目运营期产生的废水处理措施得当，对水环境影响很小。</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2.</w:t>
            </w: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水污染防治措施</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（1）定期对处理站内设施设备进行检查，保证水处理装置处于良好的运行状况，确保出水水质满足标准要求；</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（2）严格检查废水输送管道、阀门等设备并及时更换损坏设备，防止和减少废水“跑、冒、滴、漏”；</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（3）按照不同防渗区的防渗要求，对危险废物贮存库按</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《危险废物贮存污染控制标准》（GB18597-2023）要求进行重点防渗</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，对</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岩屑处理池、污水池</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按照一般防渗区要求采取防渗措施，对</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还原土堆场和其他生产区域</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按照简单防渗区要求采取防渗措施。</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具体分区防渗要求详见表</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4-</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6</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和附图</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t>表</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4-</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6</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aps w:val="0"/>
                <w:smallCaps w:val="0"/>
                <w:color w:val="000000" w:themeColor="text1"/>
                <w:spacing w:val="0"/>
                <w:kern w:val="0"/>
                <w:position w:val="0"/>
                <w:szCs w:val="21"/>
                <w:highlight w:val="none"/>
                <w14:textFill>
                  <w14:solidFill>
                    <w14:schemeClr w14:val="tx1"/>
                  </w14:solidFill>
                </w14:textFill>
              </w:rPr>
              <w:t>分区防渗要求</w:t>
            </w:r>
          </w:p>
          <w:tbl>
            <w:tblPr>
              <w:tblStyle w:val="29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87"/>
              <w:gridCol w:w="1940"/>
              <w:gridCol w:w="51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973" w:type="pct"/>
                  <w:gridSpan w:val="2"/>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防渗分区</w:t>
                  </w:r>
                </w:p>
              </w:tc>
              <w:tc>
                <w:tcPr>
                  <w:tcW w:w="302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防渗要求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822"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重点防渗区</w:t>
                  </w:r>
                </w:p>
              </w:tc>
              <w:tc>
                <w:tcPr>
                  <w:tcW w:w="1150"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危险废物贮存库</w:t>
                  </w:r>
                </w:p>
              </w:tc>
              <w:tc>
                <w:tcPr>
                  <w:tcW w:w="302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防渗基础层为</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1m</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厚黏土层（渗透系数</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≤10</w:t>
                  </w:r>
                  <w:r>
                    <w:rPr>
                      <w:rFonts w:hint="default" w:ascii="Times New Roman" w:hAnsi="Times New Roman" w:eastAsia="Times New Roman" w:cs="Times New Roman"/>
                      <w:smallCaps w:val="0"/>
                      <w:color w:val="000000" w:themeColor="text1"/>
                      <w:spacing w:val="0"/>
                      <w:kern w:val="0"/>
                      <w:position w:val="0"/>
                      <w:sz w:val="21"/>
                      <w:szCs w:val="21"/>
                      <w:highlight w:val="none"/>
                      <w:vertAlign w:val="superscript"/>
                      <w14:textFill>
                        <w14:solidFill>
                          <w14:schemeClr w14:val="tx1"/>
                        </w14:solidFill>
                      </w14:textFill>
                    </w:rPr>
                    <w:t>-7</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cm/s</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），或</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2mm</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厚高密度聚乙烯，或至少</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2mm</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厚的其他人工材料（渗透系数</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10</w:t>
                  </w:r>
                  <w:r>
                    <w:rPr>
                      <w:rFonts w:hint="default" w:ascii="Times New Roman" w:hAnsi="Times New Roman" w:eastAsia="Times New Roman" w:cs="Times New Roman"/>
                      <w:smallCaps w:val="0"/>
                      <w:color w:val="000000" w:themeColor="text1"/>
                      <w:spacing w:val="0"/>
                      <w:kern w:val="0"/>
                      <w:position w:val="0"/>
                      <w:sz w:val="21"/>
                      <w:szCs w:val="21"/>
                      <w:highlight w:val="none"/>
                      <w:vertAlign w:val="superscript"/>
                      <w14:textFill>
                        <w14:solidFill>
                          <w14:schemeClr w14:val="tx1"/>
                        </w14:solidFill>
                      </w14:textFill>
                    </w:rPr>
                    <w:t>-10</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cm/s</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地面进行防腐硬化处理，保证表面无裂痕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822"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一般防渗区</w:t>
                  </w:r>
                </w:p>
              </w:tc>
              <w:tc>
                <w:tcPr>
                  <w:tcW w:w="1150"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cs="Times New Roman"/>
                      <w:smallCaps w:val="0"/>
                      <w:color w:val="000000" w:themeColor="text1"/>
                      <w:spacing w:val="0"/>
                      <w:kern w:val="0"/>
                      <w:position w:val="0"/>
                      <w:sz w:val="21"/>
                      <w:szCs w:val="21"/>
                      <w:highlight w:val="none"/>
                      <w:lang w:val="en-US"/>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岩屑处理池、污水池、</w:t>
                  </w:r>
                  <w:r>
                    <w:rPr>
                      <w:rFonts w:hint="eastAsia"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泥浆回收利用池、化粪池</w:t>
                  </w:r>
                </w:p>
              </w:tc>
              <w:tc>
                <w:tcPr>
                  <w:tcW w:w="302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防渗层的防渗性能不应低于</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1.5m</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厚，渗透系数为</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1×10</w:t>
                  </w:r>
                  <w:r>
                    <w:rPr>
                      <w:rFonts w:hint="default" w:ascii="Times New Roman" w:hAnsi="Times New Roman" w:eastAsia="Times New Roman" w:cs="Times New Roman"/>
                      <w:smallCaps w:val="0"/>
                      <w:color w:val="000000" w:themeColor="text1"/>
                      <w:spacing w:val="0"/>
                      <w:kern w:val="0"/>
                      <w:position w:val="0"/>
                      <w:sz w:val="21"/>
                      <w:szCs w:val="21"/>
                      <w:highlight w:val="none"/>
                      <w:vertAlign w:val="superscript"/>
                      <w14:textFill>
                        <w14:solidFill>
                          <w14:schemeClr w14:val="tx1"/>
                        </w14:solidFill>
                      </w14:textFill>
                    </w:rPr>
                    <w:t>-7</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cm/s</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的黏土层的防渗性能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22"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简单防渗区</w:t>
                  </w:r>
                </w:p>
              </w:tc>
              <w:tc>
                <w:tcPr>
                  <w:tcW w:w="1150"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还原土堆放区</w:t>
                  </w:r>
                  <w:r>
                    <w:rPr>
                      <w:rFonts w:hint="eastAsia"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w:t>
                  </w:r>
                  <w:r>
                    <w:rPr>
                      <w:rFonts w:hint="eastAsia"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其他生产区域</w:t>
                  </w:r>
                </w:p>
              </w:tc>
              <w:tc>
                <w:tcPr>
                  <w:tcW w:w="3026" w:type="pct"/>
                  <w:tcBorders>
                    <w:tl2br w:val="nil"/>
                    <w:tr2bl w:val="nil"/>
                  </w:tcBorders>
                  <w:noWrap w:val="0"/>
                  <w:vAlign w:val="center"/>
                </w:tcPr>
                <w:p>
                  <w:pPr>
                    <w:pStyle w:val="302"/>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一般地面硬化</w:t>
                  </w:r>
                </w:p>
              </w:tc>
            </w:tr>
          </w:tbl>
          <w:p>
            <w:pPr>
              <w:pStyle w:val="275"/>
              <w:keepNext w:val="0"/>
              <w:keepLines w:val="0"/>
              <w:pageBreakBefore w:val="0"/>
              <w:widowControl w:val="0"/>
              <w:kinsoku/>
              <w:wordWrap/>
              <w:overflowPunct/>
              <w:topLinePunct w:val="0"/>
              <w:autoSpaceDE/>
              <w:autoSpaceDN/>
              <w:bidi w:val="0"/>
              <w:adjustRightInd w:val="0"/>
              <w:snapToGrid w:val="0"/>
              <w:spacing w:before="157" w:beforeLines="50"/>
              <w:ind w:left="0" w:leftChars="0" w:right="0" w:firstLine="0" w:firstLineChars="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3</w:t>
            </w: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运营期声环境影响分析</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 xml:space="preserve">3.1噪声源强分析影响分析 </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本项目运营期噪声源主要为</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压滤机、污水泵</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等设备产生的噪声，噪声源强在</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80-90</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dB(A</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之间。采取</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基础</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减振措施后，可使噪声值削减20dB(A</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左右。</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主要噪声设备</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室外噪声源强调查清单见表4-</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t>表4-</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7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t xml:space="preserve">  工业企业噪声源强调查清单（室外声源）</w:t>
            </w:r>
          </w:p>
          <w:tbl>
            <w:tblPr>
              <w:tblStyle w:val="4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418"/>
              <w:gridCol w:w="699"/>
              <w:gridCol w:w="798"/>
              <w:gridCol w:w="765"/>
              <w:gridCol w:w="1305"/>
              <w:gridCol w:w="2322"/>
              <w:gridCol w:w="5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序号</w:t>
                  </w:r>
                </w:p>
              </w:tc>
              <w:tc>
                <w:tcPr>
                  <w:tcW w:w="840"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声源名称</w:t>
                  </w:r>
                </w:p>
              </w:tc>
              <w:tc>
                <w:tcPr>
                  <w:tcW w:w="1341" w:type="pct"/>
                  <w:gridSpan w:val="3"/>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空间相对位置/m</w:t>
                  </w:r>
                </w:p>
              </w:tc>
              <w:tc>
                <w:tcPr>
                  <w:tcW w:w="773"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eastAsia="zh-CN"/>
                      <w14:textFill>
                        <w14:solidFill>
                          <w14:schemeClr w14:val="tx1"/>
                        </w14:solidFill>
                      </w14:textFill>
                    </w:rPr>
                    <w:t>声源源强</w:t>
                  </w: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dB(A)</w:t>
                  </w:r>
                </w:p>
              </w:tc>
              <w:tc>
                <w:tcPr>
                  <w:tcW w:w="1376"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en-US" w:bidi="ar-SA"/>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声源控制措施</w:t>
                  </w:r>
                </w:p>
              </w:tc>
              <w:tc>
                <w:tcPr>
                  <w:tcW w:w="336"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运行</w:t>
                  </w:r>
                </w:p>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en-US" w:bidi="ar-SA"/>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1"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c>
                <w:tcPr>
                  <w:tcW w:w="840"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c>
                <w:tcPr>
                  <w:tcW w:w="41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X</w:t>
                  </w:r>
                </w:p>
              </w:tc>
              <w:tc>
                <w:tcPr>
                  <w:tcW w:w="47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Y</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Z</w:t>
                  </w:r>
                </w:p>
              </w:tc>
              <w:tc>
                <w:tcPr>
                  <w:tcW w:w="773"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1</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压滤机1</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57.41</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1.43</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85</w:t>
                  </w:r>
                </w:p>
              </w:tc>
              <w:tc>
                <w:tcPr>
                  <w:tcW w:w="1376"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优先选用低噪声设备，基础减振，加强保养</w:t>
                  </w:r>
                </w:p>
              </w:tc>
              <w:tc>
                <w:tcPr>
                  <w:tcW w:w="336"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昼间</w:t>
                  </w:r>
                </w:p>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2</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压滤机2</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62.27</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-0.37</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85</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bidi="ar-SA"/>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3</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压滤机3</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67.05</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-2.5</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85</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4</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氧化剂泵</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64.58</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6.29</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5</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双氧水泵</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66.03</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9.53</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6</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硫酸亚铁泵</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67.48</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12.35</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t>7</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氧化铝泵</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69.18</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eastAsia"/>
                      <w:color w:val="000000" w:themeColor="text1"/>
                      <w:highlight w:val="none"/>
                      <w14:textFill>
                        <w14:solidFill>
                          <w14:schemeClr w14:val="tx1"/>
                        </w14:solidFill>
                      </w14:textFill>
                    </w:rPr>
                    <w:t>15.42</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21"/>
                      <w:szCs w:val="21"/>
                      <w:highlight w:val="none"/>
                      <w:u w:val="none"/>
                      <w:shd w:val="clear" w:color="auto" w:fill="auto"/>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8</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试剂计量泵1</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68.93</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6.8</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Arial" w:cs="Times New Roman"/>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9</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试剂计量泵2</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68.93</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6.8</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Arial" w:cs="Times New Roman"/>
                      <w:smallCaps w:val="0"/>
                      <w:color w:val="000000" w:themeColor="text1"/>
                      <w:spacing w:val="0"/>
                      <w:kern w:val="0"/>
                      <w:position w:val="0"/>
                      <w:sz w:val="21"/>
                      <w:szCs w:val="21"/>
                      <w:highlight w:val="none"/>
                      <w:shd w:val="clear" w:color="auto" w:fill="auto"/>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eastAsia"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10</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污水泵1</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29.51</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5.93</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优先选用低噪声设备，基础减振，加强保养</w:t>
                  </w:r>
                </w:p>
              </w:tc>
              <w:tc>
                <w:tcPr>
                  <w:tcW w:w="336"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全天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default"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11</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污水泵2</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31.69</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5.25</w:t>
                  </w:r>
                </w:p>
              </w:tc>
              <w:tc>
                <w:tcPr>
                  <w:tcW w:w="453"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eastAsia"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default"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12</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污水泵3</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33.52</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4.33</w:t>
                  </w:r>
                </w:p>
              </w:tc>
              <w:tc>
                <w:tcPr>
                  <w:tcW w:w="453"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eastAsia"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default"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13</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污水泵4</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35.23</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3.3</w:t>
                  </w:r>
                </w:p>
              </w:tc>
              <w:tc>
                <w:tcPr>
                  <w:tcW w:w="453" w:type="pct"/>
                  <w:tcBorders>
                    <w:tl2br w:val="nil"/>
                    <w:tr2bl w:val="nil"/>
                  </w:tcBorders>
                  <w:noWrap w:val="0"/>
                  <w:vAlign w:val="center"/>
                </w:tcPr>
                <w:p>
                  <w:pPr>
                    <w:pageBreakBefore w:val="0"/>
                    <w:wordWrap/>
                    <w:overflowPunct/>
                    <w:bidi w:val="0"/>
                    <w:adjustRightInd w:val="0"/>
                    <w:snapToGrid w:val="0"/>
                    <w:ind w:left="0" w:leftChars="0" w:right="0" w:rightChars="0"/>
                    <w:jc w:val="center"/>
                    <w:rPr>
                      <w:rFonts w:hint="eastAsia"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14</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污泥泵</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60.86</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-13.66</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olor w:val="000000" w:themeColor="text1"/>
                      <w:highlight w:val="none"/>
                      <w14:textFill>
                        <w14:solidFill>
                          <w14:schemeClr w14:val="tx1"/>
                        </w14:solidFill>
                      </w14:textFill>
                    </w:rPr>
                    <w:t>1.2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90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33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t>15</w:t>
                  </w:r>
                </w:p>
              </w:tc>
              <w:tc>
                <w:tcPr>
                  <w:tcW w:w="84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污水搅拌机</w:t>
                  </w:r>
                </w:p>
              </w:tc>
              <w:tc>
                <w:tcPr>
                  <w:tcW w:w="41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41.62</w:t>
                  </w:r>
                </w:p>
              </w:tc>
              <w:tc>
                <w:tcPr>
                  <w:tcW w:w="4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olor w:val="000000" w:themeColor="text1"/>
                      <w:highlight w:val="none"/>
                      <w14:textFill>
                        <w14:solidFill>
                          <w14:schemeClr w14:val="tx1"/>
                        </w14:solidFill>
                      </w14:textFill>
                    </w:rPr>
                    <w:t>-6.68</w:t>
                  </w:r>
                </w:p>
              </w:tc>
              <w:tc>
                <w:tcPr>
                  <w:tcW w:w="453" w:type="pct"/>
                  <w:tcBorders>
                    <w:tl2br w:val="nil"/>
                    <w:tr2bl w:val="nil"/>
                  </w:tcBorders>
                  <w:noWrap w:val="0"/>
                  <w:vAlign w:val="center"/>
                </w:tcPr>
                <w:p>
                  <w:pPr>
                    <w:pageBreakBefore w:val="0"/>
                    <w:wordWrap/>
                    <w:overflowPunct/>
                    <w:bidi w:val="0"/>
                    <w:adjustRightInd w:val="0"/>
                    <w:snapToGrid w:val="0"/>
                    <w:ind w:left="0" w:right="0"/>
                    <w:jc w:val="center"/>
                    <w:rPr>
                      <w:rFonts w:hint="eastAsia" w:ascii="Times New Roman" w:hAnsi="Times New Roman" w:eastAsia="宋体" w:cs="Times New Roman"/>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r>
                    <w:rPr>
                      <w:rFonts w:hint="eastAsia"/>
                      <w:color w:val="000000" w:themeColor="text1"/>
                      <w:highlight w:val="none"/>
                      <w14:textFill>
                        <w14:solidFill>
                          <w14:schemeClr w14:val="tx1"/>
                        </w14:solidFill>
                      </w14:textFill>
                    </w:rPr>
                    <w:t>2</w:t>
                  </w:r>
                </w:p>
              </w:tc>
              <w:tc>
                <w:tcPr>
                  <w:tcW w:w="77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pPr>
                  <w:r>
                    <w:rPr>
                      <w:rFonts w:hint="eastAsia" w:cs="Times New Roman"/>
                      <w:i w:val="0"/>
                      <w:iCs w:val="0"/>
                      <w:color w:val="000000" w:themeColor="text1"/>
                      <w:kern w:val="0"/>
                      <w:sz w:val="21"/>
                      <w:szCs w:val="21"/>
                      <w:highlight w:val="none"/>
                      <w:u w:val="none"/>
                      <w:shd w:val="clear" w:color="auto" w:fill="auto"/>
                      <w:lang w:val="en-US" w:eastAsia="zh-CN" w:bidi="ar"/>
                      <w14:textFill>
                        <w14:solidFill>
                          <w14:schemeClr w14:val="tx1"/>
                        </w14:solidFill>
                      </w14:textFill>
                    </w:rPr>
                    <w:t>80</w:t>
                  </w:r>
                </w:p>
              </w:tc>
              <w:tc>
                <w:tcPr>
                  <w:tcW w:w="137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c>
                <w:tcPr>
                  <w:tcW w:w="336"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shd w:val="clear" w:color="auto" w:fill="auto"/>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firstLine="482" w:firstLineChars="200"/>
              <w:jc w:val="both"/>
              <w:textAlignment w:val="auto"/>
              <w:outlineLvl w:val="2"/>
              <w:rPr>
                <w:rFonts w:hint="default" w:ascii="Times New Roman" w:hAnsi="Times New Roman" w:eastAsia="宋体" w:cs="Times New Roman"/>
                <w:b/>
                <w:bCs w:val="0"/>
                <w:smallCaps w:val="0"/>
                <w:color w:val="000000" w:themeColor="text1"/>
                <w:spacing w:val="0"/>
                <w:kern w:val="0"/>
                <w:position w:val="0"/>
                <w:sz w:val="24"/>
                <w:szCs w:val="24"/>
                <w:highlight w:val="none"/>
                <w:lang w:val="zh-CN" w:eastAsia="zh-CN" w:bidi="ar-SA"/>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t>3.2</w:t>
            </w:r>
            <w:r>
              <w:rPr>
                <w:rFonts w:hint="default" w:ascii="Times New Roman" w:hAnsi="Times New Roman" w:eastAsia="宋体" w:cs="Times New Roman"/>
                <w:b/>
                <w:bCs w:val="0"/>
                <w:smallCaps w:val="0"/>
                <w:color w:val="000000" w:themeColor="text1"/>
                <w:spacing w:val="0"/>
                <w:kern w:val="0"/>
                <w:position w:val="0"/>
                <w:sz w:val="24"/>
                <w:szCs w:val="24"/>
                <w:highlight w:val="none"/>
                <w:lang w:val="zh-CN" w:eastAsia="zh-CN" w:bidi="ar-SA"/>
                <w14:textFill>
                  <w14:solidFill>
                    <w14:schemeClr w14:val="tx1"/>
                  </w14:solidFill>
                </w14:textFill>
              </w:rPr>
              <w:t>预测模式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根据项目建设内容采用《环境影响评价技术导则 声环境》</w:t>
            </w:r>
            <w:r>
              <w:rPr>
                <w:rFonts w:hint="eastAsia" w:cs="Times New Roman"/>
                <w:small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HJ2.4.2021</w:t>
            </w:r>
            <w:r>
              <w:rPr>
                <w:rFonts w:hint="eastAsia" w:cs="Times New Roman"/>
                <w:small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附录A（规范性附录）户外声传播的衰减和附录B（规范性附录）中“B.1工业噪声预测计算模型”。</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both"/>
              <w:textAlignment w:val="auto"/>
              <w:outlineLvl w:val="2"/>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pPr>
            <w:bookmarkStart w:id="10" w:name="_Toc3169"/>
            <w:r>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t>3.3评价标准</w:t>
            </w:r>
            <w:bookmarkEnd w:id="10"/>
          </w:p>
          <w:p>
            <w:pPr>
              <w:keepNext w:val="0"/>
              <w:keepLines w:val="0"/>
              <w:pageBreakBefore w:val="0"/>
              <w:widowControl w:val="0"/>
              <w:kinsoku/>
              <w:wordWrap/>
              <w:overflowPunct/>
              <w:topLinePunct w:val="0"/>
              <w:bidi w:val="0"/>
              <w:adjustRightInd w:val="0"/>
              <w:snapToGrid w:val="0"/>
              <w:spacing w:line="360" w:lineRule="auto"/>
              <w:ind w:left="0" w:right="0" w:firstLine="456"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6"/>
                <w:kern w:val="0"/>
                <w:position w:val="0"/>
                <w:sz w:val="24"/>
                <w:szCs w:val="24"/>
                <w:highlight w:val="none"/>
                <w14:textFill>
                  <w14:solidFill>
                    <w14:schemeClr w14:val="tx1"/>
                  </w14:solidFill>
                </w14:textFill>
              </w:rPr>
              <w:t>厂界执行《工业企业厂界环境噪声排放标准》（GB12348-2008）</w:t>
            </w:r>
            <w:r>
              <w:rPr>
                <w:rFonts w:hint="default" w:ascii="Times New Roman" w:hAnsi="Times New Roman" w:cs="Times New Roman"/>
                <w:smallCaps w:val="0"/>
                <w:color w:val="000000" w:themeColor="text1"/>
                <w:spacing w:val="-6"/>
                <w:kern w:val="0"/>
                <w:position w:val="0"/>
                <w:sz w:val="24"/>
                <w:szCs w:val="24"/>
                <w:highlight w:val="none"/>
                <w:lang w:val="en-US" w:eastAsia="zh-CN"/>
                <w14:textFill>
                  <w14:solidFill>
                    <w14:schemeClr w14:val="tx1"/>
                  </w14:solidFill>
                </w14:textFill>
              </w:rPr>
              <w:t>2</w:t>
            </w:r>
            <w:r>
              <w:rPr>
                <w:rFonts w:hint="default" w:ascii="Times New Roman" w:hAnsi="Times New Roman" w:cs="Times New Roman"/>
                <w:smallCaps w:val="0"/>
                <w:color w:val="000000" w:themeColor="text1"/>
                <w:spacing w:val="-6"/>
                <w:kern w:val="0"/>
                <w:position w:val="0"/>
                <w:sz w:val="24"/>
                <w:szCs w:val="24"/>
                <w:highlight w:val="none"/>
                <w14:textFill>
                  <w14:solidFill>
                    <w14:schemeClr w14:val="tx1"/>
                  </w14:solidFill>
                </w14:textFill>
              </w:rPr>
              <w:t>类标准要求。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jc w:val="both"/>
              <w:textAlignment w:val="auto"/>
              <w:outlineLvl w:val="2"/>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pPr>
            <w:bookmarkStart w:id="11" w:name="_Toc22600"/>
            <w:r>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t>3.5预测结果</w:t>
            </w:r>
            <w:bookmarkEnd w:id="11"/>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通过预测模型计算，项目厂界噪声预测结果与达标分析见表</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4-</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8、4-9</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表4-</w:t>
            </w:r>
            <w:r>
              <w:rPr>
                <w:rFonts w:hint="eastAsia"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8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厂界</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昼间</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噪声预测结果与达标分析表</w:t>
            </w:r>
          </w:p>
          <w:tbl>
            <w:tblPr>
              <w:tblStyle w:val="48"/>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771"/>
              <w:gridCol w:w="873"/>
              <w:gridCol w:w="867"/>
              <w:gridCol w:w="1003"/>
              <w:gridCol w:w="1228"/>
              <w:gridCol w:w="1196"/>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78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预测方位</w:t>
                  </w:r>
                </w:p>
              </w:tc>
              <w:tc>
                <w:tcPr>
                  <w:tcW w:w="1495"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空间相对位置/m</w:t>
                  </w:r>
                </w:p>
              </w:tc>
              <w:tc>
                <w:tcPr>
                  <w:tcW w:w="59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时段</w:t>
                  </w: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贡献</w:t>
                  </w: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值（dB(A)）</w:t>
                  </w:r>
                </w:p>
              </w:tc>
              <w:tc>
                <w:tcPr>
                  <w:tcW w:w="71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标准限值（dB(A)）</w:t>
                  </w:r>
                </w:p>
              </w:tc>
              <w:tc>
                <w:tcPr>
                  <w:tcW w:w="67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4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X</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Y</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Z</w:t>
                  </w:r>
                </w:p>
              </w:tc>
              <w:tc>
                <w:tcPr>
                  <w:tcW w:w="5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71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67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东侧</w:t>
                  </w:r>
                </w:p>
              </w:tc>
              <w:tc>
                <w:tcPr>
                  <w:tcW w:w="45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11.10</w:t>
                  </w:r>
                </w:p>
              </w:tc>
              <w:tc>
                <w:tcPr>
                  <w:tcW w:w="520"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18.41</w:t>
                  </w:r>
                </w:p>
              </w:tc>
              <w:tc>
                <w:tcPr>
                  <w:tcW w:w="516"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昼间</w:t>
                  </w:r>
                </w:p>
              </w:tc>
              <w:tc>
                <w:tcPr>
                  <w:tcW w:w="731"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zh-CN" w:eastAsia="zh-CN" w:bidi="ar-SA"/>
                      <w14:textFill>
                        <w14:solidFill>
                          <w14:schemeClr w14:val="tx1"/>
                        </w14:solidFill>
                      </w14:textFill>
                    </w:rPr>
                  </w:pPr>
                  <w:r>
                    <w:rPr>
                      <w:rFonts w:hint="eastAsia"/>
                      <w:b w:val="0"/>
                      <w:bCs/>
                      <w:color w:val="000000" w:themeColor="text1"/>
                      <w14:textFill>
                        <w14:solidFill>
                          <w14:schemeClr w14:val="tx1"/>
                        </w14:solidFill>
                      </w14:textFill>
                    </w:rPr>
                    <w:t>38.75</w:t>
                  </w:r>
                </w:p>
              </w:tc>
              <w:tc>
                <w:tcPr>
                  <w:tcW w:w="7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60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南侧</w:t>
                  </w:r>
                </w:p>
              </w:tc>
              <w:tc>
                <w:tcPr>
                  <w:tcW w:w="45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54.62</w:t>
                  </w:r>
                </w:p>
              </w:tc>
              <w:tc>
                <w:tcPr>
                  <w:tcW w:w="520"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-24.68</w:t>
                  </w:r>
                </w:p>
              </w:tc>
              <w:tc>
                <w:tcPr>
                  <w:tcW w:w="516"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昼间</w:t>
                  </w:r>
                </w:p>
              </w:tc>
              <w:tc>
                <w:tcPr>
                  <w:tcW w:w="731"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zh-CN" w:eastAsia="zh-CN" w:bidi="ar-SA"/>
                      <w14:textFill>
                        <w14:solidFill>
                          <w14:schemeClr w14:val="tx1"/>
                        </w14:solidFill>
                      </w14:textFill>
                    </w:rPr>
                  </w:pPr>
                  <w:r>
                    <w:rPr>
                      <w:rFonts w:hint="eastAsia"/>
                      <w:b w:val="0"/>
                      <w:bCs/>
                      <w:color w:val="000000" w:themeColor="text1"/>
                      <w14:textFill>
                        <w14:solidFill>
                          <w14:schemeClr w14:val="tx1"/>
                        </w14:solidFill>
                      </w14:textFill>
                    </w:rPr>
                    <w:t>48.75</w:t>
                  </w:r>
                </w:p>
              </w:tc>
              <w:tc>
                <w:tcPr>
                  <w:tcW w:w="7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60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西侧</w:t>
                  </w:r>
                </w:p>
              </w:tc>
              <w:tc>
                <w:tcPr>
                  <w:tcW w:w="45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214.92</w:t>
                  </w:r>
                </w:p>
              </w:tc>
              <w:tc>
                <w:tcPr>
                  <w:tcW w:w="520"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-85.71</w:t>
                  </w:r>
                </w:p>
              </w:tc>
              <w:tc>
                <w:tcPr>
                  <w:tcW w:w="516"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昼间</w:t>
                  </w:r>
                </w:p>
              </w:tc>
              <w:tc>
                <w:tcPr>
                  <w:tcW w:w="731"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zh-CN" w:eastAsia="zh-CN" w:bidi="ar-SA"/>
                      <w14:textFill>
                        <w14:solidFill>
                          <w14:schemeClr w14:val="tx1"/>
                        </w14:solidFill>
                      </w14:textFill>
                    </w:rPr>
                  </w:pPr>
                  <w:r>
                    <w:rPr>
                      <w:rFonts w:hint="eastAsia"/>
                      <w:b w:val="0"/>
                      <w:bCs/>
                      <w:color w:val="000000" w:themeColor="text1"/>
                      <w14:textFill>
                        <w14:solidFill>
                          <w14:schemeClr w14:val="tx1"/>
                        </w14:solidFill>
                      </w14:textFill>
                    </w:rPr>
                    <w:t>24.95</w:t>
                  </w:r>
                </w:p>
              </w:tc>
              <w:tc>
                <w:tcPr>
                  <w:tcW w:w="7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6</w:t>
                  </w:r>
                  <w: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北侧</w:t>
                  </w:r>
                </w:p>
              </w:tc>
              <w:tc>
                <w:tcPr>
                  <w:tcW w:w="45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89.75</w:t>
                  </w:r>
                </w:p>
              </w:tc>
              <w:tc>
                <w:tcPr>
                  <w:tcW w:w="520"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en-US" w:eastAsia="zh-CN" w:bidi="ar-SA"/>
                      <w14:textFill>
                        <w14:solidFill>
                          <w14:schemeClr w14:val="tx1"/>
                        </w14:solidFill>
                      </w14:textFill>
                    </w:rPr>
                  </w:pPr>
                  <w:r>
                    <w:rPr>
                      <w:rFonts w:hint="eastAsia"/>
                      <w:b w:val="0"/>
                      <w:bCs/>
                      <w:color w:val="000000" w:themeColor="text1"/>
                      <w14:textFill>
                        <w14:solidFill>
                          <w14:schemeClr w14:val="tx1"/>
                        </w14:solidFill>
                      </w14:textFill>
                    </w:rPr>
                    <w:t>73.67</w:t>
                  </w:r>
                </w:p>
              </w:tc>
              <w:tc>
                <w:tcPr>
                  <w:tcW w:w="516" w:type="pct"/>
                  <w:tcBorders>
                    <w:tl2br w:val="nil"/>
                    <w:tr2bl w:val="nil"/>
                  </w:tcBorders>
                  <w:noWrap w:val="0"/>
                  <w:vAlign w:val="center"/>
                </w:tcPr>
                <w:p>
                  <w:pPr>
                    <w:keepNext w:val="0"/>
                    <w:keepLines w:val="0"/>
                    <w:pageBreakBefore w:val="0"/>
                    <w:kinsoku/>
                    <w:wordWrap/>
                    <w:overflowPunct/>
                    <w:topLinePunct w:val="0"/>
                    <w:bidi w:val="0"/>
                    <w:adjustRightInd w:val="0"/>
                    <w:snapToGrid w:val="0"/>
                    <w:ind w:left="0" w:right="0"/>
                    <w:jc w:val="cente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昼间</w:t>
                  </w:r>
                </w:p>
              </w:tc>
              <w:tc>
                <w:tcPr>
                  <w:tcW w:w="731"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center"/>
                    <w:rPr>
                      <w:rFonts w:hint="default" w:ascii="Times New Roman" w:hAnsi="Times New Roman" w:eastAsia="宋体" w:cs="Times New Roman"/>
                      <w:b w:val="0"/>
                      <w:bCs/>
                      <w:i w:val="0"/>
                      <w:iCs w:val="0"/>
                      <w:color w:val="000000" w:themeColor="text1"/>
                      <w:kern w:val="2"/>
                      <w:sz w:val="21"/>
                      <w:szCs w:val="21"/>
                      <w:u w:val="none"/>
                      <w:lang w:val="zh-CN" w:eastAsia="zh-CN" w:bidi="ar-SA"/>
                      <w14:textFill>
                        <w14:solidFill>
                          <w14:schemeClr w14:val="tx1"/>
                        </w14:solidFill>
                      </w14:textFill>
                    </w:rPr>
                  </w:pPr>
                  <w:r>
                    <w:rPr>
                      <w:rFonts w:hint="eastAsia"/>
                      <w:b w:val="0"/>
                      <w:bCs/>
                      <w:color w:val="000000" w:themeColor="text1"/>
                      <w14:textFill>
                        <w14:solidFill>
                          <w14:schemeClr w14:val="tx1"/>
                        </w14:solidFill>
                      </w14:textFill>
                    </w:rPr>
                    <w:t>32.33</w:t>
                  </w:r>
                </w:p>
              </w:tc>
              <w:tc>
                <w:tcPr>
                  <w:tcW w:w="71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6</w:t>
                  </w:r>
                  <w: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cs="Times New Roman"/>
                <w:b/>
                <w:caps w:val="0"/>
                <w:smallCaps w:val="0"/>
                <w:color w:val="000000" w:themeColor="text1"/>
                <w:spacing w:val="0"/>
                <w:kern w:val="0"/>
                <w:position w:val="0"/>
                <w:szCs w:val="21"/>
                <w:highlight w:val="none"/>
                <w:lang w:val="en-US" w:eastAsia="zh-CN"/>
                <w14:textFill>
                  <w14:solidFill>
                    <w14:schemeClr w14:val="tx1"/>
                  </w14:solidFill>
                </w14:textFill>
              </w:rPr>
            </w:pPr>
            <w:r>
              <w:rPr>
                <w:rFonts w:hint="default" w:cs="Times New Roman"/>
                <w:b/>
                <w:caps w:val="0"/>
                <w:smallCaps w:val="0"/>
                <w:color w:val="000000" w:themeColor="text1"/>
                <w:spacing w:val="0"/>
                <w:kern w:val="0"/>
                <w:position w:val="0"/>
                <w:szCs w:val="21"/>
                <w:highlight w:val="none"/>
                <w:lang w:val="en-US" w:eastAsia="zh-CN"/>
                <w14:textFill>
                  <w14:solidFill>
                    <w14:schemeClr w14:val="tx1"/>
                  </w14:solidFill>
                </w14:textFill>
              </w:rPr>
              <w:t>表4-</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9</w:t>
            </w:r>
            <w:r>
              <w:rPr>
                <w:rFonts w:hint="default"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厂界</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夜间</w:t>
            </w:r>
            <w:r>
              <w:rPr>
                <w:rFonts w:hint="default" w:cs="Times New Roman"/>
                <w:b/>
                <w:caps w:val="0"/>
                <w:smallCaps w:val="0"/>
                <w:color w:val="000000" w:themeColor="text1"/>
                <w:spacing w:val="0"/>
                <w:kern w:val="0"/>
                <w:position w:val="0"/>
                <w:szCs w:val="21"/>
                <w:highlight w:val="none"/>
                <w:lang w:val="en-US" w:eastAsia="zh-CN"/>
                <w14:textFill>
                  <w14:solidFill>
                    <w14:schemeClr w14:val="tx1"/>
                  </w14:solidFill>
                </w14:textFill>
              </w:rPr>
              <w:t>噪声预测结果与达标分析表</w:t>
            </w:r>
          </w:p>
          <w:tbl>
            <w:tblPr>
              <w:tblStyle w:val="48"/>
              <w:tblW w:w="49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771"/>
              <w:gridCol w:w="873"/>
              <w:gridCol w:w="867"/>
              <w:gridCol w:w="1003"/>
              <w:gridCol w:w="1228"/>
              <w:gridCol w:w="1196"/>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78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预测方位</w:t>
                  </w:r>
                </w:p>
              </w:tc>
              <w:tc>
                <w:tcPr>
                  <w:tcW w:w="1495" w:type="pct"/>
                  <w:gridSpan w:val="3"/>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空间相对位置/m</w:t>
                  </w:r>
                </w:p>
              </w:tc>
              <w:tc>
                <w:tcPr>
                  <w:tcW w:w="59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时段</w:t>
                  </w:r>
                </w:p>
              </w:tc>
              <w:tc>
                <w:tcPr>
                  <w:tcW w:w="731"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贡献</w:t>
                  </w: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值（dB(A)）</w:t>
                  </w:r>
                </w:p>
              </w:tc>
              <w:tc>
                <w:tcPr>
                  <w:tcW w:w="71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标准限值（dB(A)）</w:t>
                  </w:r>
                </w:p>
              </w:tc>
              <w:tc>
                <w:tcPr>
                  <w:tcW w:w="67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8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4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X</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Y</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Z</w:t>
                  </w:r>
                </w:p>
              </w:tc>
              <w:tc>
                <w:tcPr>
                  <w:tcW w:w="59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731"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71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c>
                <w:tcPr>
                  <w:tcW w:w="67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东侧</w:t>
                  </w:r>
                </w:p>
              </w:tc>
              <w:tc>
                <w:tcPr>
                  <w:tcW w:w="4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11.10</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18.41</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smallCaps w:val="0"/>
                      <w:color w:val="000000" w:themeColor="text1"/>
                      <w:spacing w:val="0"/>
                      <w:kern w:val="0"/>
                      <w:position w:val="0"/>
                      <w:sz w:val="21"/>
                      <w:szCs w:val="21"/>
                      <w:highlight w:val="none"/>
                      <w:lang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夜间</w:t>
                  </w:r>
                </w:p>
              </w:tc>
              <w:tc>
                <w:tcPr>
                  <w:tcW w:w="7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zh-CN" w:eastAsia="zh-CN"/>
                      <w14:textFill>
                        <w14:solidFill>
                          <w14:schemeClr w14:val="tx1"/>
                        </w14:solidFill>
                      </w14:textFill>
                    </w:rPr>
                  </w:pPr>
                  <w:r>
                    <w:rPr>
                      <w:rFonts w:hint="eastAsia"/>
                      <w:b w:val="0"/>
                      <w:bCs/>
                      <w:color w:val="000000" w:themeColor="text1"/>
                      <w14:textFill>
                        <w14:solidFill>
                          <w14:schemeClr w14:val="tx1"/>
                        </w14:solidFill>
                      </w14:textFill>
                    </w:rPr>
                    <w:t>37.36</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50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南侧</w:t>
                  </w:r>
                </w:p>
              </w:tc>
              <w:tc>
                <w:tcPr>
                  <w:tcW w:w="4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54.62</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-24.68</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夜间</w:t>
                  </w:r>
                </w:p>
              </w:tc>
              <w:tc>
                <w:tcPr>
                  <w:tcW w:w="7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zh-CN" w:eastAsia="zh-CN"/>
                      <w14:textFill>
                        <w14:solidFill>
                          <w14:schemeClr w14:val="tx1"/>
                        </w14:solidFill>
                      </w14:textFill>
                    </w:rPr>
                  </w:pPr>
                  <w:r>
                    <w:rPr>
                      <w:rFonts w:hint="eastAsia"/>
                      <w:b w:val="0"/>
                      <w:bCs/>
                      <w:color w:val="000000" w:themeColor="text1"/>
                      <w14:textFill>
                        <w14:solidFill>
                          <w14:schemeClr w14:val="tx1"/>
                        </w14:solidFill>
                      </w14:textFill>
                    </w:rPr>
                    <w:t>48.08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50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西侧</w:t>
                  </w:r>
                </w:p>
              </w:tc>
              <w:tc>
                <w:tcPr>
                  <w:tcW w:w="4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212.62</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-90.15</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夜间</w:t>
                  </w:r>
                </w:p>
              </w:tc>
              <w:tc>
                <w:tcPr>
                  <w:tcW w:w="7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zh-CN" w:eastAsia="zh-CN"/>
                      <w14:textFill>
                        <w14:solidFill>
                          <w14:schemeClr w14:val="tx1"/>
                        </w14:solidFill>
                      </w14:textFill>
                    </w:rPr>
                  </w:pPr>
                  <w:r>
                    <w:rPr>
                      <w:rFonts w:hint="eastAsia"/>
                      <w:b w:val="0"/>
                      <w:bCs/>
                      <w:color w:val="000000" w:themeColor="text1"/>
                      <w14:textFill>
                        <w14:solidFill>
                          <w14:schemeClr w14:val="tx1"/>
                        </w14:solidFill>
                      </w14:textFill>
                    </w:rPr>
                    <w:t>21.78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50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exact"/>
                <w:jc w:val="center"/>
              </w:trPr>
              <w:tc>
                <w:tcPr>
                  <w:tcW w:w="785"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北侧</w:t>
                  </w:r>
                </w:p>
              </w:tc>
              <w:tc>
                <w:tcPr>
                  <w:tcW w:w="45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89.75</w:t>
                  </w:r>
                </w:p>
              </w:tc>
              <w:tc>
                <w:tcPr>
                  <w:tcW w:w="52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b w:val="0"/>
                      <w:bCs/>
                      <w:color w:val="000000" w:themeColor="text1"/>
                      <w14:textFill>
                        <w14:solidFill>
                          <w14:schemeClr w14:val="tx1"/>
                        </w14:solidFill>
                      </w14:textFill>
                    </w:rPr>
                    <w:t>73.67</w:t>
                  </w:r>
                </w:p>
              </w:tc>
              <w:tc>
                <w:tcPr>
                  <w:tcW w:w="5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1.2</w:t>
                  </w:r>
                </w:p>
              </w:tc>
              <w:tc>
                <w:tcPr>
                  <w:tcW w:w="59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夜间</w:t>
                  </w:r>
                </w:p>
              </w:tc>
              <w:tc>
                <w:tcPr>
                  <w:tcW w:w="7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zh-CN" w:eastAsia="zh-CN"/>
                      <w14:textFill>
                        <w14:solidFill>
                          <w14:schemeClr w14:val="tx1"/>
                        </w14:solidFill>
                      </w14:textFill>
                    </w:rPr>
                  </w:pPr>
                  <w:r>
                    <w:rPr>
                      <w:rFonts w:hint="eastAsia"/>
                      <w:b w:val="0"/>
                      <w:bCs/>
                      <w:color w:val="000000" w:themeColor="text1"/>
                      <w14:textFill>
                        <w14:solidFill>
                          <w14:schemeClr w14:val="tx1"/>
                        </w14:solidFill>
                      </w14:textFill>
                    </w:rPr>
                    <w:t>28.08</w:t>
                  </w:r>
                </w:p>
              </w:tc>
              <w:tc>
                <w:tcPr>
                  <w:tcW w:w="71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pPr>
                  <w:r>
                    <w:rPr>
                      <w:rFonts w:hint="eastAsia" w:cs="Times New Roman"/>
                      <w:b w:val="0"/>
                      <w:bCs/>
                      <w:smallCaps w:val="0"/>
                      <w:color w:val="000000" w:themeColor="text1"/>
                      <w:spacing w:val="0"/>
                      <w:kern w:val="0"/>
                      <w:position w:val="0"/>
                      <w:sz w:val="21"/>
                      <w:szCs w:val="21"/>
                      <w:highlight w:val="none"/>
                      <w:lang w:val="en-US" w:eastAsia="zh-CN"/>
                      <w14:textFill>
                        <w14:solidFill>
                          <w14:schemeClr w14:val="tx1"/>
                        </w14:solidFill>
                      </w14:textFill>
                    </w:rPr>
                    <w:t>50</w:t>
                  </w:r>
                </w:p>
              </w:tc>
              <w:tc>
                <w:tcPr>
                  <w:tcW w:w="67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根据噪声计算结果，</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厂界</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昼间夜间</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噪声</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贡献值</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满足《工业企业厂界环境噪声排放标准》（GB12348-2008）中的</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类区标准限值</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综上，</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项目噪声对周边环境影响较小。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drawing>
                <wp:inline distT="0" distB="0" distL="114300" distR="114300">
                  <wp:extent cx="5353050" cy="2989580"/>
                  <wp:effectExtent l="0" t="0" r="0" b="12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7"/>
                          <a:stretch>
                            <a:fillRect/>
                          </a:stretch>
                        </pic:blipFill>
                        <pic:spPr>
                          <a:xfrm>
                            <a:off x="0" y="0"/>
                            <a:ext cx="5353050" cy="2989580"/>
                          </a:xfrm>
                          <a:prstGeom prst="rect">
                            <a:avLst/>
                          </a:prstGeom>
                          <a:noFill/>
                          <a:ln>
                            <a:noFill/>
                          </a:ln>
                        </pic:spPr>
                      </pic:pic>
                    </a:graphicData>
                  </a:graphic>
                </wp:inline>
              </w:drawing>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0" w:firstLineChars="0"/>
              <w:jc w:val="center"/>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图4-1  噪声预测结果等值线图</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3.6运营期噪声减缓措施</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①选用低噪声设备。</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②对噪声强度较大的设备进行减噪处理，根据各种设备类型所产生噪声的特性，采用不同的控制手段。如对机泵产生的机械噪声采用弹性材料以减轻噪声等。</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③定时保养设备，避免设备出现不正常运转噪声。</w:t>
            </w:r>
          </w:p>
          <w:p>
            <w:pPr>
              <w:pStyle w:val="311"/>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2" w:firstLineChars="200"/>
              <w:textAlignment w:val="auto"/>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14:textFill>
                  <w14:solidFill>
                    <w14:schemeClr w14:val="tx1"/>
                  </w14:solidFill>
                </w14:textFill>
              </w:rPr>
              <w:t>3.7监测计划</w:t>
            </w:r>
          </w:p>
          <w:p>
            <w:pPr>
              <w:pageBreakBefore w:val="0"/>
              <w:tabs>
                <w:tab w:val="left" w:pos="924"/>
              </w:tabs>
              <w:wordWrap/>
              <w:overflowPunct/>
              <w:bidi w:val="0"/>
              <w:adjustRightInd w:val="0"/>
              <w:snapToGrid w:val="0"/>
              <w:spacing w:line="360" w:lineRule="auto"/>
              <w:ind w:left="0" w:right="0" w:firstLine="480" w:firstLineChars="200"/>
              <w:jc w:val="both"/>
              <w:rPr>
                <w:rFonts w:hint="default" w:ascii="Times New Roman" w:hAnsi="Times New Roman" w:eastAsia="宋体" w:cs="Times New Roman"/>
                <w:smallCaps w:val="0"/>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highlight w:val="none"/>
                <w:lang w:eastAsia="zh-CN"/>
                <w14:textFill>
                  <w14:solidFill>
                    <w14:schemeClr w14:val="tx1"/>
                  </w14:solidFill>
                </w14:textFill>
              </w:rPr>
              <w:t>参照</w:t>
            </w:r>
            <w:r>
              <w:rPr>
                <w:rFonts w:hint="default" w:ascii="Times New Roman" w:hAnsi="Times New Roman" w:eastAsia="宋体" w:cs="Times New Roman"/>
                <w:smallCaps w:val="0"/>
                <w:color w:val="000000" w:themeColor="text1"/>
                <w:spacing w:val="0"/>
                <w:kern w:val="0"/>
                <w:position w:val="0"/>
                <w:sz w:val="24"/>
                <w:szCs w:val="22"/>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2"/>
                <w:highlight w:val="none"/>
                <w:lang w:val="en-US" w:eastAsia="zh-CN"/>
                <w14:textFill>
                  <w14:solidFill>
                    <w14:schemeClr w14:val="tx1"/>
                  </w14:solidFill>
                </w14:textFill>
              </w:rPr>
              <w:t>排污单位自行监测技术指南 总则</w:t>
            </w:r>
            <w:r>
              <w:rPr>
                <w:rFonts w:hint="default" w:ascii="Times New Roman" w:hAnsi="Times New Roman" w:eastAsia="宋体" w:cs="Times New Roman"/>
                <w:smallCaps w:val="0"/>
                <w:color w:val="000000" w:themeColor="text1"/>
                <w:spacing w:val="0"/>
                <w:kern w:val="0"/>
                <w:position w:val="0"/>
                <w:sz w:val="24"/>
                <w:szCs w:val="22"/>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2"/>
                <w:highlight w:val="none"/>
                <w:lang w:val="en-US" w:eastAsia="zh-CN"/>
                <w14:textFill>
                  <w14:solidFill>
                    <w14:schemeClr w14:val="tx1"/>
                  </w14:solidFill>
                </w14:textFill>
              </w:rPr>
              <w:t>HJ819-2017</w:t>
            </w:r>
            <w:r>
              <w:rPr>
                <w:rFonts w:hint="default" w:ascii="Times New Roman" w:hAnsi="Times New Roman" w:eastAsia="宋体" w:cs="Times New Roman"/>
                <w:smallCaps w:val="0"/>
                <w:color w:val="000000" w:themeColor="text1"/>
                <w:spacing w:val="0"/>
                <w:kern w:val="0"/>
                <w:position w:val="0"/>
                <w:sz w:val="24"/>
                <w:szCs w:val="22"/>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《排污单位自行监测技术指南 工业固体废物和危险废物治理》（HJ 1250-2022）</w:t>
            </w:r>
            <w:r>
              <w:rPr>
                <w:rFonts w:hint="default" w:ascii="Times New Roman" w:hAnsi="Times New Roman" w:eastAsia="宋体" w:cs="Times New Roman"/>
                <w:smallCaps w:val="0"/>
                <w:color w:val="000000" w:themeColor="text1"/>
                <w:spacing w:val="0"/>
                <w:kern w:val="0"/>
                <w:position w:val="0"/>
                <w:sz w:val="24"/>
                <w:highlight w:val="none"/>
                <w:lang w:eastAsia="zh-CN"/>
                <w14:textFill>
                  <w14:solidFill>
                    <w14:schemeClr w14:val="tx1"/>
                  </w14:solidFill>
                </w14:textFill>
              </w:rPr>
              <w:t>，确定本项目自行</w:t>
            </w:r>
            <w:r>
              <w:rPr>
                <w:rFonts w:hint="eastAsia" w:cs="Times New Roman"/>
                <w:smallCaps w:val="0"/>
                <w:color w:val="000000" w:themeColor="text1"/>
                <w:spacing w:val="0"/>
                <w:kern w:val="0"/>
                <w:position w:val="0"/>
                <w:sz w:val="24"/>
                <w:highlight w:val="none"/>
                <w:lang w:eastAsia="zh-CN"/>
                <w14:textFill>
                  <w14:solidFill>
                    <w14:schemeClr w14:val="tx1"/>
                  </w14:solidFill>
                </w14:textFill>
              </w:rPr>
              <w:t>监测</w:t>
            </w:r>
            <w:r>
              <w:rPr>
                <w:rFonts w:hint="default" w:ascii="Times New Roman" w:hAnsi="Times New Roman" w:eastAsia="宋体" w:cs="Times New Roman"/>
                <w:smallCaps w:val="0"/>
                <w:color w:val="000000" w:themeColor="text1"/>
                <w:spacing w:val="0"/>
                <w:kern w:val="0"/>
                <w:position w:val="0"/>
                <w:sz w:val="24"/>
                <w:highlight w:val="none"/>
                <w:lang w:eastAsia="zh-CN"/>
                <w14:textFill>
                  <w14:solidFill>
                    <w14:schemeClr w14:val="tx1"/>
                  </w14:solidFill>
                </w14:textFill>
              </w:rPr>
              <w:t>因子及监测频次，</w:t>
            </w:r>
            <w:r>
              <w:rPr>
                <w:rFonts w:hint="default" w:ascii="Times New Roman" w:hAnsi="Times New Roman" w:eastAsia="宋体" w:cs="Times New Roman"/>
                <w:smallCaps w:val="0"/>
                <w:color w:val="000000" w:themeColor="text1"/>
                <w:spacing w:val="0"/>
                <w:kern w:val="0"/>
                <w:position w:val="0"/>
                <w:sz w:val="24"/>
                <w:highlight w:val="none"/>
                <w14:textFill>
                  <w14:solidFill>
                    <w14:schemeClr w14:val="tx1"/>
                  </w14:solidFill>
                </w14:textFill>
              </w:rPr>
              <w:t>监测计划见表</w:t>
            </w:r>
            <w:r>
              <w:rPr>
                <w:rFonts w:hint="default" w:ascii="Times New Roman" w:hAnsi="Times New Roman" w:eastAsia="宋体" w:cs="Times New Roman"/>
                <w:smallCaps w:val="0"/>
                <w:color w:val="000000" w:themeColor="text1"/>
                <w:spacing w:val="0"/>
                <w:kern w:val="0"/>
                <w:position w:val="0"/>
                <w:sz w:val="24"/>
                <w:highlight w:val="none"/>
                <w:lang w:val="en-US" w:eastAsia="zh-CN"/>
                <w14:textFill>
                  <w14:solidFill>
                    <w14:schemeClr w14:val="tx1"/>
                  </w14:solidFill>
                </w14:textFill>
              </w:rPr>
              <w:t>4-</w:t>
            </w:r>
            <w:r>
              <w:rPr>
                <w:rFonts w:hint="eastAsia" w:cs="Times New Roman"/>
                <w:smallCaps w:val="0"/>
                <w:color w:val="000000" w:themeColor="text1"/>
                <w:spacing w:val="0"/>
                <w:kern w:val="0"/>
                <w:position w:val="0"/>
                <w:sz w:val="24"/>
                <w:highlight w:val="none"/>
                <w:lang w:val="en-US" w:eastAsia="zh-CN"/>
                <w14:textFill>
                  <w14:solidFill>
                    <w14:schemeClr w14:val="tx1"/>
                  </w14:solidFill>
                </w14:textFill>
              </w:rPr>
              <w:t>10</w:t>
            </w:r>
            <w:r>
              <w:rPr>
                <w:rFonts w:hint="default" w:ascii="Times New Roman" w:hAnsi="Times New Roman" w:eastAsia="宋体" w:cs="Times New Roman"/>
                <w:smallCaps w:val="0"/>
                <w:color w:val="000000" w:themeColor="text1"/>
                <w:spacing w:val="0"/>
                <w:kern w:val="0"/>
                <w:position w:val="0"/>
                <w:sz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t>表</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4-</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10                    </w:t>
            </w:r>
            <w:r>
              <w:rPr>
                <w:rFonts w:hint="default" w:ascii="Times New Roman" w:hAnsi="Times New Roman" w:eastAsia="宋体" w:cs="Times New Roman"/>
                <w:b/>
                <w:caps w:val="0"/>
                <w:smallCaps w:val="0"/>
                <w:color w:val="000000" w:themeColor="text1"/>
                <w:spacing w:val="0"/>
                <w:kern w:val="0"/>
                <w:position w:val="0"/>
                <w:szCs w:val="21"/>
                <w:highlight w:val="none"/>
                <w:lang w:eastAsia="zh-CN"/>
                <w14:textFill>
                  <w14:solidFill>
                    <w14:schemeClr w14:val="tx1"/>
                  </w14:solidFill>
                </w14:textFill>
              </w:rPr>
              <w:t xml:space="preserve">  监测计划一览表</w:t>
            </w:r>
          </w:p>
          <w:tbl>
            <w:tblPr>
              <w:tblStyle w:val="48"/>
              <w:tblW w:w="503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13"/>
              <w:gridCol w:w="970"/>
              <w:gridCol w:w="2085"/>
              <w:gridCol w:w="2813"/>
              <w:gridCol w:w="18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9"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t>序号</w:t>
                  </w:r>
                </w:p>
              </w:tc>
              <w:tc>
                <w:tcPr>
                  <w:tcW w:w="571"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t>类别</w:t>
                  </w:r>
                </w:p>
              </w:tc>
              <w:tc>
                <w:tcPr>
                  <w:tcW w:w="1228"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t>监测因子</w:t>
                  </w:r>
                </w:p>
              </w:tc>
              <w:tc>
                <w:tcPr>
                  <w:tcW w:w="1656"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t>监测点位</w:t>
                  </w:r>
                </w:p>
              </w:tc>
              <w:tc>
                <w:tcPr>
                  <w:tcW w:w="1062"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1"/>
                      <w:highlight w:val="none"/>
                      <w14:textFill>
                        <w14:solidFill>
                          <w14:schemeClr w14:val="tx1"/>
                        </w14:solidFill>
                      </w14:textFill>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9"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smallCaps w:val="0"/>
                      <w:color w:val="000000" w:themeColor="text1"/>
                      <w:spacing w:val="0"/>
                      <w:kern w:val="0"/>
                      <w:position w:val="0"/>
                      <w:sz w:val="21"/>
                      <w:highlight w:val="no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highlight w:val="none"/>
                      <w:lang w:val="en-US" w:eastAsia="zh-CN"/>
                      <w14:textFill>
                        <w14:solidFill>
                          <w14:schemeClr w14:val="tx1"/>
                        </w14:solidFill>
                      </w14:textFill>
                    </w:rPr>
                    <w:t>1</w:t>
                  </w:r>
                </w:p>
              </w:tc>
              <w:tc>
                <w:tcPr>
                  <w:tcW w:w="571"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t>噪声</w:t>
                  </w:r>
                </w:p>
              </w:tc>
              <w:tc>
                <w:tcPr>
                  <w:tcW w:w="1228"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smallCaps w:val="0"/>
                      <w:color w:val="000000" w:themeColor="text1"/>
                      <w:spacing w:val="0"/>
                      <w:kern w:val="0"/>
                      <w:position w:val="0"/>
                      <w:sz w:val="21"/>
                      <w:highlight w:val="no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t>Leq</w:t>
                  </w:r>
                  <w:r>
                    <w:rPr>
                      <w:rFonts w:hint="eastAsia" w:ascii="Times New Roman" w:hAnsi="Times New Roman" w:cs="Times New Roman"/>
                      <w:smallCaps w:val="0"/>
                      <w:color w:val="000000" w:themeColor="text1"/>
                      <w:spacing w:val="0"/>
                      <w:kern w:val="0"/>
                      <w:position w:val="0"/>
                      <w:sz w:val="21"/>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t>A</w:t>
                  </w:r>
                  <w:r>
                    <w:rPr>
                      <w:rFonts w:hint="eastAsia" w:ascii="Times New Roman" w:hAnsi="Times New Roman" w:cs="Times New Roman"/>
                      <w:smallCaps w:val="0"/>
                      <w:color w:val="000000" w:themeColor="text1"/>
                      <w:spacing w:val="0"/>
                      <w:kern w:val="0"/>
                      <w:position w:val="0"/>
                      <w:sz w:val="21"/>
                      <w:highlight w:val="none"/>
                      <w:lang w:eastAsia="zh-CN"/>
                      <w14:textFill>
                        <w14:solidFill>
                          <w14:schemeClr w14:val="tx1"/>
                        </w14:solidFill>
                      </w14:textFill>
                    </w:rPr>
                    <w:t>)</w:t>
                  </w:r>
                </w:p>
              </w:tc>
              <w:tc>
                <w:tcPr>
                  <w:tcW w:w="1656"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highlight w:val="none"/>
                      <w:lang w:eastAsia="zh-CN"/>
                      <w14:textFill>
                        <w14:solidFill>
                          <w14:schemeClr w14:val="tx1"/>
                        </w14:solidFill>
                      </w14:textFill>
                    </w:rPr>
                    <w:t>厂界</w:t>
                  </w:r>
                </w:p>
              </w:tc>
              <w:tc>
                <w:tcPr>
                  <w:tcW w:w="1062" w:type="pct"/>
                  <w:tcBorders>
                    <w:tl2br w:val="nil"/>
                    <w:tr2bl w:val="nil"/>
                  </w:tcBorders>
                  <w:noWrap w:val="0"/>
                  <w:vAlign w:val="center"/>
                </w:tcPr>
                <w:p>
                  <w:pPr>
                    <w:pStyle w:val="118"/>
                    <w:keepNext w:val="0"/>
                    <w:keepLines w:val="0"/>
                    <w:pageBreakBefore w:val="0"/>
                    <w:widowControl w:val="0"/>
                    <w:kinsoku/>
                    <w:wordWrap/>
                    <w:overflowPunct/>
                    <w:topLinePunct w:val="0"/>
                    <w:autoSpaceDE w:val="0"/>
                    <w:autoSpaceDN w:val="0"/>
                    <w:bidi w:val="0"/>
                    <w:adjustRightInd w:val="0"/>
                    <w:snapToGrid w:val="0"/>
                    <w:ind w:left="0" w:right="0"/>
                    <w:jc w:val="center"/>
                    <w:textAlignment w:val="auto"/>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highlight w:val="none"/>
                      <w:lang w:val="en-US" w:eastAsia="zh-CN"/>
                      <w14:textFill>
                        <w14:solidFill>
                          <w14:schemeClr w14:val="tx1"/>
                        </w14:solidFill>
                      </w14:textFill>
                    </w:rPr>
                    <w:t>1</w:t>
                  </w:r>
                  <w:r>
                    <w:rPr>
                      <w:rFonts w:hint="default" w:ascii="Times New Roman" w:hAnsi="Times New Roman" w:eastAsia="宋体" w:cs="Times New Roman"/>
                      <w:smallCaps w:val="0"/>
                      <w:color w:val="000000" w:themeColor="text1"/>
                      <w:spacing w:val="0"/>
                      <w:kern w:val="0"/>
                      <w:position w:val="0"/>
                      <w:sz w:val="21"/>
                      <w:highlight w:val="none"/>
                      <w14:textFill>
                        <w14:solidFill>
                          <w14:schemeClr w14:val="tx1"/>
                        </w14:solidFill>
                      </w14:textFill>
                    </w:rPr>
                    <w:t>次</w:t>
                  </w:r>
                  <w:r>
                    <w:rPr>
                      <w:rFonts w:hint="default" w:ascii="Times New Roman" w:hAnsi="Times New Roman" w:eastAsia="宋体" w:cs="Times New Roman"/>
                      <w:smallCaps w:val="0"/>
                      <w:color w:val="000000" w:themeColor="text1"/>
                      <w:spacing w:val="0"/>
                      <w:kern w:val="0"/>
                      <w:position w:val="0"/>
                      <w:sz w:val="21"/>
                      <w:highlight w:val="none"/>
                      <w:lang w:val="en-US" w:eastAsia="zh-CN"/>
                      <w14:textFill>
                        <w14:solidFill>
                          <w14:schemeClr w14:val="tx1"/>
                        </w14:solidFill>
                      </w14:textFill>
                    </w:rPr>
                    <w:t>/季度</w:t>
                  </w:r>
                </w:p>
              </w:tc>
            </w:tr>
          </w:tbl>
          <w:p>
            <w:pPr>
              <w:pStyle w:val="275"/>
              <w:keepNext w:val="0"/>
              <w:keepLines w:val="0"/>
              <w:pageBreakBefore w:val="0"/>
              <w:widowControl w:val="0"/>
              <w:kinsoku/>
              <w:wordWrap/>
              <w:overflowPunct/>
              <w:topLinePunct w:val="0"/>
              <w:autoSpaceDE/>
              <w:autoSpaceDN/>
              <w:bidi w:val="0"/>
              <w:adjustRightInd w:val="0"/>
              <w:snapToGrid w:val="0"/>
              <w:spacing w:before="157" w:beforeLines="50"/>
              <w:ind w:left="0" w:leftChars="0" w:right="0" w:firstLine="0" w:firstLineChars="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4</w:t>
            </w: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运营期固体废物环境影响分析</w:t>
            </w:r>
          </w:p>
          <w:p>
            <w:pPr>
              <w:pStyle w:val="275"/>
              <w:keepNext w:val="0"/>
              <w:keepLines w:val="0"/>
              <w:pageBreakBefore w:val="0"/>
              <w:widowControl w:val="0"/>
              <w:kinsoku/>
              <w:wordWrap/>
              <w:overflowPunct/>
              <w:topLinePunct w:val="0"/>
              <w:autoSpaceDE/>
              <w:autoSpaceDN/>
              <w:bidi w:val="0"/>
              <w:adjustRightInd w:val="0"/>
              <w:snapToGrid w:val="0"/>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4.1固体废物产排情况</w:t>
            </w:r>
          </w:p>
          <w:p>
            <w:pPr>
              <w:pStyle w:val="275"/>
              <w:keepLines w:val="0"/>
              <w:pageBreakBefore w:val="0"/>
              <w:kinsoku/>
              <w:wordWrap/>
              <w:overflowPunct/>
              <w:bidi w:val="0"/>
              <w:adjustRightInd w:val="0"/>
              <w:snapToGrid w:val="0"/>
              <w:ind w:left="0" w:right="0" w:firstLine="480"/>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本项目运营期产生的固体废物包括工作人员产生的生活垃圾、水处理装置产生的沉淀污泥、</w:t>
            </w:r>
            <w:r>
              <w:rPr>
                <w:rFonts w:hint="default" w:ascii="Times New Roman" w:hAnsi="Times New Roman" w:cs="Times New Roman"/>
                <w:smallCaps w:val="0"/>
                <w:color w:val="000000" w:themeColor="text1"/>
                <w:spacing w:val="0"/>
                <w:kern w:val="0"/>
                <w:position w:val="0"/>
                <w:sz w:val="24"/>
                <w:szCs w:val="24"/>
                <w:highlight w:val="none"/>
                <w:vertAlign w:val="baseline"/>
                <w:lang w:val="en-US" w:eastAsia="zh-CN"/>
                <w14:textFill>
                  <w14:solidFill>
                    <w14:schemeClr w14:val="tx1"/>
                  </w14:solidFill>
                </w14:textFill>
              </w:rPr>
              <w:t>生产过程原料产生的废弃包装物（编织袋及桶）、</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设备维修时产生的</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废机油</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pStyle w:val="275"/>
              <w:keepLines w:val="0"/>
              <w:pageBreakBefore w:val="0"/>
              <w:numPr>
                <w:ilvl w:val="0"/>
                <w:numId w:val="0"/>
              </w:numPr>
              <w:kinsoku/>
              <w:wordWrap/>
              <w:overflowPunct/>
              <w:bidi w:val="0"/>
              <w:adjustRightInd w:val="0"/>
              <w:snapToGrid w:val="0"/>
              <w:ind w:left="0" w:right="0" w:firstLine="480" w:firstLineChars="200"/>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（1）生活垃圾</w:t>
            </w:r>
          </w:p>
          <w:p>
            <w:pPr>
              <w:pStyle w:val="275"/>
              <w:keepLines w:val="0"/>
              <w:pageBreakBefore w:val="0"/>
              <w:numPr>
                <w:ilvl w:val="0"/>
                <w:numId w:val="0"/>
              </w:numPr>
              <w:kinsoku/>
              <w:wordWrap/>
              <w:overflowPunct/>
              <w:bidi w:val="0"/>
              <w:adjustRightInd w:val="0"/>
              <w:snapToGrid w:val="0"/>
              <w:ind w:left="0" w:right="0" w:firstLine="480" w:firstLineChars="200"/>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highlight w:val="none"/>
                <w14:textFill>
                  <w14:solidFill>
                    <w14:schemeClr w14:val="tx1"/>
                  </w14:solidFill>
                </w14:textFill>
              </w:rPr>
              <w:t>本项目</w:t>
            </w:r>
            <w:r>
              <w:rPr>
                <w:rFonts w:hint="default" w:ascii="Times New Roman" w:hAnsi="Times New Roman" w:cs="Times New Roman"/>
                <w:b w:val="0"/>
                <w:bCs w:val="0"/>
                <w:smallCaps w:val="0"/>
                <w:color w:val="000000" w:themeColor="text1"/>
                <w:spacing w:val="0"/>
                <w:kern w:val="0"/>
                <w:position w:val="0"/>
                <w:highlight w:val="none"/>
                <w:lang w:eastAsia="zh-CN"/>
                <w14:textFill>
                  <w14:solidFill>
                    <w14:schemeClr w14:val="tx1"/>
                  </w14:solidFill>
                </w14:textFill>
              </w:rPr>
              <w:t>劳动定员</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10</w:t>
            </w:r>
            <w:r>
              <w:rPr>
                <w:rFonts w:hint="default" w:ascii="Times New Roman" w:hAnsi="Times New Roman" w:cs="Times New Roman"/>
                <w:b w:val="0"/>
                <w:bCs w:val="0"/>
                <w:smallCaps w:val="0"/>
                <w:color w:val="000000" w:themeColor="text1"/>
                <w:spacing w:val="0"/>
                <w:kern w:val="0"/>
                <w:position w:val="0"/>
                <w:highlight w:val="none"/>
                <w14:textFill>
                  <w14:solidFill>
                    <w14:schemeClr w14:val="tx1"/>
                  </w14:solidFill>
                </w14:textFill>
              </w:rPr>
              <w:t>人，生活垃圾产生量按</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0.5</w:t>
            </w:r>
            <w:r>
              <w:rPr>
                <w:rFonts w:hint="default" w:ascii="Times New Roman" w:hAnsi="Times New Roman" w:cs="Times New Roman"/>
                <w:b w:val="0"/>
                <w:bCs w:val="0"/>
                <w:smallCaps w:val="0"/>
                <w:color w:val="000000" w:themeColor="text1"/>
                <w:spacing w:val="0"/>
                <w:kern w:val="0"/>
                <w:position w:val="0"/>
                <w:highlight w:val="none"/>
                <w14:textFill>
                  <w14:solidFill>
                    <w14:schemeClr w14:val="tx1"/>
                  </w14:solidFill>
                </w14:textFill>
              </w:rPr>
              <w:t>kg/人</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w:t>
            </w:r>
            <w:r>
              <w:rPr>
                <w:rFonts w:hint="default" w:ascii="Times New Roman" w:hAnsi="Times New Roman" w:cs="Times New Roman"/>
                <w:b w:val="0"/>
                <w:bCs w:val="0"/>
                <w:smallCaps w:val="0"/>
                <w:color w:val="000000" w:themeColor="text1"/>
                <w:spacing w:val="0"/>
                <w:kern w:val="0"/>
                <w:position w:val="0"/>
                <w:highlight w:val="none"/>
                <w14:textFill>
                  <w14:solidFill>
                    <w14:schemeClr w14:val="tx1"/>
                  </w14:solidFill>
                </w14:textFill>
              </w:rPr>
              <w:t>d计，则生活垃圾产生量约</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1.5</w:t>
            </w:r>
            <w:r>
              <w:rPr>
                <w:rFonts w:hint="default" w:ascii="Times New Roman" w:hAnsi="Times New Roman" w:cs="Times New Roman"/>
                <w:b w:val="0"/>
                <w:bCs w:val="0"/>
                <w:smallCaps w:val="0"/>
                <w:color w:val="000000" w:themeColor="text1"/>
                <w:spacing w:val="0"/>
                <w:kern w:val="0"/>
                <w:position w:val="0"/>
                <w:highlight w:val="none"/>
                <w14:textFill>
                  <w14:solidFill>
                    <w14:schemeClr w14:val="tx1"/>
                  </w14:solidFill>
                </w14:textFill>
              </w:rPr>
              <w:t>t/a，生活垃圾集中收集后</w:t>
            </w:r>
            <w:r>
              <w:rPr>
                <w:rFonts w:hint="eastAsia"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交由环卫部门清运处置</w:t>
            </w:r>
            <w:r>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w:t>
            </w:r>
          </w:p>
          <w:p>
            <w:pPr>
              <w:pStyle w:val="275"/>
              <w:keepLines w:val="0"/>
              <w:pageBreakBefore w:val="0"/>
              <w:numPr>
                <w:ilvl w:val="0"/>
                <w:numId w:val="0"/>
              </w:numPr>
              <w:kinsoku/>
              <w:wordWrap/>
              <w:overflowPunct/>
              <w:bidi w:val="0"/>
              <w:adjustRightInd w:val="0"/>
              <w:snapToGrid w:val="0"/>
              <w:ind w:left="0" w:right="0" w:firstLine="480" w:firstLineChars="200"/>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（2）污泥</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参照《排污许可证申请与核发技术规范 水处理（试行）》（HJ 978-2018）：污泥产生量采用下式计算：</w:t>
            </w:r>
          </w:p>
          <w:p>
            <w:pPr>
              <w:pStyle w:val="15"/>
              <w:keepNext w:val="0"/>
              <w:keepLines w:val="0"/>
              <w:pageBreakBefore w:val="0"/>
              <w:widowControl w:val="0"/>
              <w:kinsoku/>
              <w:wordWrap/>
              <w:overflowPunct/>
              <w:topLinePunct w:val="0"/>
              <w:autoSpaceDE/>
              <w:autoSpaceDN/>
              <w:bidi w:val="0"/>
              <w:adjustRightInd w:val="0"/>
              <w:snapToGrid w:val="0"/>
              <w:spacing w:before="0" w:after="0" w:line="360" w:lineRule="auto"/>
              <w:ind w:left="0" w:leftChars="0" w:right="0" w:firstLine="0" w:firstLineChars="0"/>
              <w:jc w:val="center"/>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object>
                <v:shape id="_x0000_i1027" o:spt="75" type="#_x0000_t75" style="height:20pt;width:132pt;" o:ole="t" filled="f" o:preferrelative="t" stroked="f" coordsize="21600,21600">
                  <v:path/>
                  <v:fill on="f" focussize="0,0"/>
                  <v:stroke on="f"/>
                  <v:imagedata r:id="rId19" o:title=""/>
                  <o:lock v:ext="edit" aspectratio="t"/>
                  <w10:wrap type="none"/>
                  <w10:anchorlock/>
                </v:shape>
                <o:OLEObject Type="Embed" ProgID="Equation.KSEE3" ShapeID="_x0000_i1027" DrawAspect="Content" ObjectID="_1468075727" r:id="rId1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式中：E</w:t>
            </w:r>
            <w:r>
              <w:rPr>
                <w:rFonts w:hint="default" w:ascii="Times New Roman" w:hAnsi="Times New Roman" w:eastAsia="宋体" w:cs="Times New Roman"/>
                <w:b w:val="0"/>
                <w:bCs w:val="0"/>
                <w:smallCaps w:val="0"/>
                <w:color w:val="000000" w:themeColor="text1"/>
                <w:spacing w:val="0"/>
                <w:kern w:val="0"/>
                <w:position w:val="0"/>
                <w:sz w:val="24"/>
                <w:szCs w:val="24"/>
                <w:highlight w:val="none"/>
                <w:vertAlign w:val="subscript"/>
                <w14:textFill>
                  <w14:solidFill>
                    <w14:schemeClr w14:val="tx1"/>
                  </w14:solidFill>
                </w14:textFill>
              </w:rPr>
              <w:t>产生量</w:t>
            </w: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——污水处理过程中产生的污泥量，以干泥计，t；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Q——时段内排污单位废水排放量，m</w:t>
            </w:r>
            <w:r>
              <w:rPr>
                <w:rFonts w:hint="default" w:ascii="Times New Roman" w:hAnsi="Times New Roman" w:eastAsia="宋体" w:cs="Times New Roman"/>
                <w:b w:val="0"/>
                <w:bCs w:val="0"/>
                <w:smallCaps w:val="0"/>
                <w:color w:val="000000" w:themeColor="text1"/>
                <w:spacing w:val="0"/>
                <w:kern w:val="0"/>
                <w:position w:val="0"/>
                <w:sz w:val="24"/>
                <w:szCs w:val="24"/>
                <w:highlight w:val="none"/>
                <w:vertAlign w:val="superscript"/>
                <w14:textFill>
                  <w14:solidFill>
                    <w14:schemeClr w14:val="tx1"/>
                  </w14:solidFill>
                </w14:textFill>
              </w:rPr>
              <w:t>3</w:t>
            </w: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W</w:t>
            </w:r>
            <w:r>
              <w:rPr>
                <w:rFonts w:hint="default" w:ascii="Times New Roman" w:hAnsi="Times New Roman" w:eastAsia="宋体" w:cs="Times New Roman"/>
                <w:b w:val="0"/>
                <w:bCs w:val="0"/>
                <w:smallCaps w:val="0"/>
                <w:color w:val="000000" w:themeColor="text1"/>
                <w:spacing w:val="0"/>
                <w:kern w:val="0"/>
                <w:position w:val="0"/>
                <w:sz w:val="24"/>
                <w:szCs w:val="24"/>
                <w:highlight w:val="none"/>
                <w:vertAlign w:val="subscript"/>
                <w14:textFill>
                  <w14:solidFill>
                    <w14:schemeClr w14:val="tx1"/>
                  </w14:solidFill>
                </w14:textFill>
              </w:rPr>
              <w:t>深</w:t>
            </w:r>
            <w:r>
              <w:rPr>
                <w:rFonts w:hint="default" w:ascii="Times New Roman" w:hAnsi="Times New Roman" w:eastAsia="宋体" w:cs="Times New Roman"/>
                <w:b w:val="0"/>
                <w:bCs w:val="0"/>
                <w:smallCaps w:val="0"/>
                <w:color w:val="000000" w:themeColor="text1"/>
                <w:spacing w:val="0"/>
                <w:kern w:val="0"/>
                <w:position w:val="0"/>
                <w:sz w:val="24"/>
                <w:szCs w:val="24"/>
                <w:highlight w:val="none"/>
                <w14:textFill>
                  <w14:solidFill>
                    <w14:schemeClr w14:val="tx1"/>
                  </w14:solidFill>
                </w14:textFill>
              </w:rPr>
              <w:t>——有深度处理工艺（添加化学药剂）时按</w:t>
            </w:r>
            <w:r>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t>2计，无深度处理工艺时按1计，量纲一。</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表4-</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11</w:t>
            </w:r>
            <w:r>
              <w:rPr>
                <w:rFonts w:hint="eastAsia"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废水排放量一览表</w:t>
            </w:r>
          </w:p>
          <w:tbl>
            <w:tblPr>
              <w:tblStyle w:val="4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8"/>
              <w:gridCol w:w="2520"/>
              <w:gridCol w:w="2520"/>
              <w:gridCol w:w="2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515" w:type="pct"/>
                  <w:tcBorders>
                    <w:tl2br w:val="nil"/>
                    <w:tr2bl w:val="nil"/>
                  </w:tcBorders>
                  <w:noWrap w:val="0"/>
                  <w:tcMar>
                    <w:left w:w="0" w:type="dxa"/>
                    <w:right w:w="0" w:type="dxa"/>
                  </w:tcMar>
                  <w:vAlign w:val="center"/>
                </w:tcPr>
                <w:p>
                  <w:pPr>
                    <w:pStyle w:val="308"/>
                    <w:pageBreakBefore w:val="0"/>
                    <w:wordWrap/>
                    <w:overflowPunct/>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序号</w:t>
                  </w:r>
                </w:p>
              </w:tc>
              <w:tc>
                <w:tcPr>
                  <w:tcW w:w="1494" w:type="pct"/>
                  <w:tcBorders>
                    <w:tl2br w:val="nil"/>
                    <w:tr2bl w:val="nil"/>
                  </w:tcBorders>
                  <w:noWrap w:val="0"/>
                  <w:tcMar>
                    <w:left w:w="0" w:type="dxa"/>
                    <w:right w:w="0" w:type="dxa"/>
                  </w:tcMar>
                  <w:vAlign w:val="center"/>
                </w:tcPr>
                <w:p>
                  <w:pPr>
                    <w:pStyle w:val="308"/>
                    <w:pageBreakBefore w:val="0"/>
                    <w:wordWrap/>
                    <w:overflowPunct/>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小时废水量（m</w:t>
                  </w:r>
                  <w:r>
                    <w:rPr>
                      <w:rFonts w:hint="default" w:ascii="Times New Roman" w:hAnsi="Times New Roman" w:cs="Times New Roman"/>
                      <w:smallCaps w:val="0"/>
                      <w:color w:val="000000" w:themeColor="text1"/>
                      <w:spacing w:val="0"/>
                      <w:kern w:val="0"/>
                      <w:position w:val="0"/>
                      <w:highlight w:val="none"/>
                      <w:vertAlign w:val="superscript"/>
                      <w14:textFill>
                        <w14:solidFill>
                          <w14:schemeClr w14:val="tx1"/>
                        </w14:solidFill>
                      </w14:textFill>
                    </w:rPr>
                    <w:t>3</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/h）</w:t>
                  </w:r>
                </w:p>
              </w:tc>
              <w:tc>
                <w:tcPr>
                  <w:tcW w:w="1494" w:type="pct"/>
                  <w:tcBorders>
                    <w:tl2br w:val="nil"/>
                    <w:tr2bl w:val="nil"/>
                  </w:tcBorders>
                  <w:noWrap w:val="0"/>
                  <w:tcMar>
                    <w:left w:w="0" w:type="dxa"/>
                    <w:right w:w="0" w:type="dxa"/>
                  </w:tcMar>
                  <w:vAlign w:val="center"/>
                </w:tcPr>
                <w:p>
                  <w:pPr>
                    <w:pStyle w:val="308"/>
                    <w:pageBreakBefore w:val="0"/>
                    <w:wordWrap/>
                    <w:overflowPunct/>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日废水量（m</w:t>
                  </w:r>
                  <w:r>
                    <w:rPr>
                      <w:rFonts w:hint="default" w:ascii="Times New Roman" w:hAnsi="Times New Roman" w:cs="Times New Roman"/>
                      <w:smallCaps w:val="0"/>
                      <w:color w:val="000000" w:themeColor="text1"/>
                      <w:spacing w:val="0"/>
                      <w:kern w:val="0"/>
                      <w:position w:val="0"/>
                      <w:highlight w:val="none"/>
                      <w:vertAlign w:val="superscript"/>
                      <w14:textFill>
                        <w14:solidFill>
                          <w14:schemeClr w14:val="tx1"/>
                        </w14:solidFill>
                      </w14:textFill>
                    </w:rPr>
                    <w:t>3</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/d）</w:t>
                  </w:r>
                </w:p>
              </w:tc>
              <w:tc>
                <w:tcPr>
                  <w:tcW w:w="1495" w:type="pct"/>
                  <w:tcBorders>
                    <w:tl2br w:val="nil"/>
                    <w:tr2bl w:val="nil"/>
                  </w:tcBorders>
                  <w:noWrap w:val="0"/>
                  <w:tcMar>
                    <w:left w:w="0" w:type="dxa"/>
                    <w:right w:w="0" w:type="dxa"/>
                  </w:tcMar>
                  <w:vAlign w:val="center"/>
                </w:tcPr>
                <w:p>
                  <w:pPr>
                    <w:pStyle w:val="308"/>
                    <w:pageBreakBefore w:val="0"/>
                    <w:wordWrap/>
                    <w:overflowPunct/>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年废水量（m</w:t>
                  </w:r>
                  <w:r>
                    <w:rPr>
                      <w:rFonts w:hint="default" w:ascii="Times New Roman" w:hAnsi="Times New Roman" w:cs="Times New Roman"/>
                      <w:smallCaps w:val="0"/>
                      <w:color w:val="000000" w:themeColor="text1"/>
                      <w:spacing w:val="0"/>
                      <w:kern w:val="0"/>
                      <w:position w:val="0"/>
                      <w:highlight w:val="none"/>
                      <w:vertAlign w:val="superscript"/>
                      <w14:textFill>
                        <w14:solidFill>
                          <w14:schemeClr w14:val="tx1"/>
                        </w14:solidFill>
                      </w14:textFill>
                    </w:rPr>
                    <w:t>3</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515" w:type="pct"/>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center"/>
                    <w:textAlignment w:val="cente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bidi="ar"/>
                      <w14:textFill>
                        <w14:solidFill>
                          <w14:schemeClr w14:val="tx1"/>
                        </w14:solidFill>
                      </w14:textFill>
                    </w:rPr>
                    <w:t>废水量</w:t>
                  </w:r>
                </w:p>
              </w:tc>
              <w:tc>
                <w:tcPr>
                  <w:tcW w:w="1494" w:type="pct"/>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7.955</w:t>
                  </w:r>
                </w:p>
              </w:tc>
              <w:tc>
                <w:tcPr>
                  <w:tcW w:w="1494" w:type="pct"/>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190.91</w:t>
                  </w:r>
                </w:p>
              </w:tc>
              <w:tc>
                <w:tcPr>
                  <w:tcW w:w="1495" w:type="pct"/>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center"/>
                    <w:textAlignment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57273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5" w:type="pct"/>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eastAsia="zh-CN" w:bidi="ar"/>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bidi="ar"/>
                      <w14:textFill>
                        <w14:solidFill>
                          <w14:schemeClr w14:val="tx1"/>
                        </w14:solidFill>
                      </w14:textFill>
                    </w:rPr>
                    <w:t>备注</w:t>
                  </w:r>
                </w:p>
              </w:tc>
              <w:tc>
                <w:tcPr>
                  <w:tcW w:w="4484" w:type="pct"/>
                  <w:gridSpan w:val="3"/>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left"/>
                    <w:textAlignment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水处理</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日运行按24h计，年运行小时按</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7200</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h计</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表4-</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12</w:t>
            </w:r>
            <w:r>
              <w:rPr>
                <w:rFonts w:hint="eastAsia"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污泥产生量一览表</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70"/>
              <w:gridCol w:w="2521"/>
              <w:gridCol w:w="2521"/>
              <w:gridCol w:w="25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516" w:type="pct"/>
                  <w:tcBorders>
                    <w:tl2br w:val="nil"/>
                    <w:tr2bl w:val="nil"/>
                  </w:tcBorders>
                  <w:noWrap w:val="0"/>
                  <w:tcMar>
                    <w:left w:w="0" w:type="dxa"/>
                    <w:right w:w="0" w:type="dxa"/>
                  </w:tcMar>
                  <w:vAlign w:val="center"/>
                </w:tcPr>
                <w:p>
                  <w:pPr>
                    <w:pStyle w:val="308"/>
                    <w:keepNext w:val="0"/>
                    <w:keepLines w:val="0"/>
                    <w:pageBreakBefore w:val="0"/>
                    <w:kinsoku/>
                    <w:wordWrap/>
                    <w:overflowPunct/>
                    <w:topLinePunct w:val="0"/>
                    <w:autoSpaceDE/>
                    <w:autoSpaceDN/>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序号</w:t>
                  </w:r>
                </w:p>
              </w:tc>
              <w:tc>
                <w:tcPr>
                  <w:tcW w:w="1494" w:type="pct"/>
                  <w:tcBorders>
                    <w:tl2br w:val="nil"/>
                    <w:tr2bl w:val="nil"/>
                  </w:tcBorders>
                  <w:noWrap w:val="0"/>
                  <w:tcMar>
                    <w:left w:w="0" w:type="dxa"/>
                    <w:right w:w="0" w:type="dxa"/>
                  </w:tcMar>
                  <w:vAlign w:val="center"/>
                </w:tcPr>
                <w:p>
                  <w:pPr>
                    <w:pStyle w:val="308"/>
                    <w:keepNext w:val="0"/>
                    <w:keepLines w:val="0"/>
                    <w:pageBreakBefore w:val="0"/>
                    <w:kinsoku/>
                    <w:wordWrap/>
                    <w:overflowPunct/>
                    <w:topLinePunct w:val="0"/>
                    <w:autoSpaceDE/>
                    <w:autoSpaceDN/>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小时污泥量（t/h）</w:t>
                  </w:r>
                </w:p>
              </w:tc>
              <w:tc>
                <w:tcPr>
                  <w:tcW w:w="1494" w:type="pct"/>
                  <w:tcBorders>
                    <w:tl2br w:val="nil"/>
                    <w:tr2bl w:val="nil"/>
                  </w:tcBorders>
                  <w:noWrap w:val="0"/>
                  <w:tcMar>
                    <w:left w:w="0" w:type="dxa"/>
                    <w:right w:w="0" w:type="dxa"/>
                  </w:tcMar>
                  <w:vAlign w:val="center"/>
                </w:tcPr>
                <w:p>
                  <w:pPr>
                    <w:pStyle w:val="308"/>
                    <w:keepNext w:val="0"/>
                    <w:keepLines w:val="0"/>
                    <w:pageBreakBefore w:val="0"/>
                    <w:kinsoku/>
                    <w:wordWrap/>
                    <w:overflowPunct/>
                    <w:topLinePunct w:val="0"/>
                    <w:autoSpaceDE/>
                    <w:autoSpaceDN/>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日污泥量（t/d）</w:t>
                  </w:r>
                </w:p>
              </w:tc>
              <w:tc>
                <w:tcPr>
                  <w:tcW w:w="1495" w:type="pct"/>
                  <w:tcBorders>
                    <w:tl2br w:val="nil"/>
                    <w:tr2bl w:val="nil"/>
                  </w:tcBorders>
                  <w:noWrap w:val="0"/>
                  <w:tcMar>
                    <w:left w:w="0" w:type="dxa"/>
                    <w:right w:w="0" w:type="dxa"/>
                  </w:tcMar>
                  <w:vAlign w:val="center"/>
                </w:tcPr>
                <w:p>
                  <w:pPr>
                    <w:pStyle w:val="308"/>
                    <w:keepNext w:val="0"/>
                    <w:keepLines w:val="0"/>
                    <w:pageBreakBefore w:val="0"/>
                    <w:kinsoku/>
                    <w:wordWrap/>
                    <w:overflowPunct/>
                    <w:topLinePunct w:val="0"/>
                    <w:autoSpaceDE/>
                    <w:autoSpaceDN/>
                    <w:bidi w:val="0"/>
                    <w:adjustRightInd w:val="0"/>
                    <w:snapToGrid w:val="0"/>
                    <w:spacing w:before="0" w:after="0" w:line="240" w:lineRule="auto"/>
                    <w:ind w:left="0" w:right="0"/>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年污泥量（t/a）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516" w:type="pct"/>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bidi="ar"/>
                      <w14:textFill>
                        <w14:solidFill>
                          <w14:schemeClr w14:val="tx1"/>
                        </w14:solidFill>
                      </w14:textFill>
                    </w:rPr>
                    <w:t>污泥量</w:t>
                  </w:r>
                </w:p>
              </w:tc>
              <w:tc>
                <w:tcPr>
                  <w:tcW w:w="1494" w:type="pct"/>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0.</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00135</w:t>
                  </w:r>
                </w:p>
              </w:tc>
              <w:tc>
                <w:tcPr>
                  <w:tcW w:w="1494" w:type="pct"/>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0.0325</w:t>
                  </w:r>
                </w:p>
              </w:tc>
              <w:tc>
                <w:tcPr>
                  <w:tcW w:w="1495" w:type="pct"/>
                  <w:tcBorders>
                    <w:tl2br w:val="nil"/>
                    <w:tr2bl w:val="nil"/>
                  </w:tcBorders>
                  <w:noWrap w:val="0"/>
                  <w:tcMar>
                    <w:left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9.736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5" w:hRule="atLeast"/>
                <w:jc w:val="center"/>
              </w:trPr>
              <w:tc>
                <w:tcPr>
                  <w:tcW w:w="516" w:type="pct"/>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center"/>
                    <w:textAlignment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bidi="ar"/>
                      <w14:textFill>
                        <w14:solidFill>
                          <w14:schemeClr w14:val="tx1"/>
                        </w14:solidFill>
                      </w14:textFill>
                    </w:rPr>
                    <w:t>备注</w:t>
                  </w:r>
                </w:p>
              </w:tc>
              <w:tc>
                <w:tcPr>
                  <w:tcW w:w="4483" w:type="pct"/>
                  <w:gridSpan w:val="3"/>
                  <w:tcBorders>
                    <w:tl2br w:val="nil"/>
                    <w:tr2bl w:val="nil"/>
                  </w:tcBorders>
                  <w:noWrap w:val="0"/>
                  <w:tcMar>
                    <w:left w:w="0" w:type="dxa"/>
                    <w:right w:w="0" w:type="dxa"/>
                  </w:tcMar>
                  <w:vAlign w:val="center"/>
                </w:tcPr>
                <w:p>
                  <w:pPr>
                    <w:pageBreakBefore w:val="0"/>
                    <w:widowControl/>
                    <w:wordWrap/>
                    <w:overflowPunct/>
                    <w:bidi w:val="0"/>
                    <w:adjustRightInd w:val="0"/>
                    <w:snapToGrid w:val="0"/>
                    <w:spacing w:line="240" w:lineRule="auto"/>
                    <w:ind w:left="0" w:right="0" w:firstLine="0" w:firstLineChars="0"/>
                    <w:jc w:val="left"/>
                    <w:textAlignment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水处理</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日运行按24h计，年运行小时按</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7200</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h计</w:t>
                  </w:r>
                </w:p>
              </w:tc>
            </w:tr>
          </w:tbl>
          <w:p>
            <w:pPr>
              <w:pStyle w:val="275"/>
              <w:keepLines w:val="0"/>
              <w:pageBreakBefore w:val="0"/>
              <w:numPr>
                <w:ilvl w:val="0"/>
                <w:numId w:val="0"/>
              </w:numPr>
              <w:kinsoku/>
              <w:wordWrap/>
              <w:overflowPunct/>
              <w:bidi w:val="0"/>
              <w:adjustRightInd w:val="0"/>
              <w:snapToGrid w:val="0"/>
              <w:ind w:left="0" w:right="0" w:firstLine="480" w:firstLineChars="200"/>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环评要求建设单位对水处理装置产生的污泥按照国家规定的危险废物鉴别标准和鉴别方法进行鉴定，若经鉴定属于危险废物，则应当按照危险废物进行收集、运输、处置；若经鉴定属于一般工业固废，则应当按照一般工业固废进行收集、处置。</w:t>
            </w:r>
          </w:p>
          <w:p>
            <w:pPr>
              <w:pStyle w:val="275"/>
              <w:keepLines w:val="0"/>
              <w:pageBreakBefore w:val="0"/>
              <w:kinsoku/>
              <w:wordWrap/>
              <w:overflowPunct/>
              <w:bidi w:val="0"/>
              <w:adjustRightInd w:val="0"/>
              <w:snapToGrid w:val="0"/>
              <w:ind w:left="0" w:right="0" w:firstLine="480"/>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（3）废弃包装袋</w:t>
            </w:r>
          </w:p>
          <w:p>
            <w:pPr>
              <w:pStyle w:val="275"/>
              <w:keepLines w:val="0"/>
              <w:pageBreakBefore w:val="0"/>
              <w:kinsoku/>
              <w:wordWrap/>
              <w:overflowPunct/>
              <w:bidi w:val="0"/>
              <w:adjustRightInd w:val="0"/>
              <w:snapToGrid w:val="0"/>
              <w:ind w:left="0" w:right="0" w:firstLine="480"/>
              <w:rPr>
                <w:rFonts w:hint="default" w:ascii="Times New Roman" w:hAnsi="Times New Roman" w:eastAsia="宋体" w:cs="Times New Roman"/>
                <w:b w:val="0"/>
                <w:bCs w:val="0"/>
                <w:smallCaps w:val="0"/>
                <w:color w:val="000000" w:themeColor="text1"/>
                <w:spacing w:val="0"/>
                <w:kern w:val="0"/>
                <w:position w:val="0"/>
                <w:sz w:val="24"/>
                <w:szCs w:val="24"/>
                <w:highlight w:val="none"/>
                <w:vertAlign w:val="baseli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vertAlign w:val="baseline"/>
                <w:lang w:val="en-US" w:eastAsia="zh-CN"/>
                <w14:textFill>
                  <w14:solidFill>
                    <w14:schemeClr w14:val="tx1"/>
                  </w14:solidFill>
                </w14:textFill>
              </w:rPr>
              <w:t>本项目生产过程原料产生的废弃包装物（编织袋及桶），根据</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各原辅料的理化性质，无环境风险物质，</w:t>
            </w:r>
            <w:r>
              <w:rPr>
                <w:rFonts w:hint="default" w:ascii="Times New Roman" w:hAnsi="Times New Roman" w:cs="Times New Roman"/>
                <w:b w:val="0"/>
                <w:bCs w:val="0"/>
                <w:smallCaps w:val="0"/>
                <w:color w:val="000000" w:themeColor="text1"/>
                <w:spacing w:val="0"/>
                <w:kern w:val="0"/>
                <w:position w:val="0"/>
                <w:sz w:val="24"/>
                <w:szCs w:val="24"/>
                <w:highlight w:val="none"/>
                <w:vertAlign w:val="baseline"/>
                <w:lang w:val="en-US" w:eastAsia="zh-CN"/>
                <w14:textFill>
                  <w14:solidFill>
                    <w14:schemeClr w14:val="tx1"/>
                  </w14:solidFill>
                </w14:textFill>
              </w:rPr>
              <w:t>废弃包装袋产生量为0.2t/a，属一般固体废物，代码</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900-</w:t>
            </w:r>
            <w:r>
              <w:rPr>
                <w:rFonts w:hint="eastAsia" w:cs="Times New Roman"/>
                <w:b w:val="0"/>
                <w:bCs w:val="0"/>
                <w:smallCaps w:val="0"/>
                <w:color w:val="000000" w:themeColor="text1"/>
                <w:spacing w:val="0"/>
                <w:kern w:val="0"/>
                <w:position w:val="0"/>
                <w:highlight w:val="none"/>
                <w:lang w:val="en-US" w:eastAsia="zh-CN"/>
                <w14:textFill>
                  <w14:solidFill>
                    <w14:schemeClr w14:val="tx1"/>
                  </w14:solidFill>
                </w14:textFill>
              </w:rPr>
              <w:t>0</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99-</w:t>
            </w:r>
            <w:r>
              <w:rPr>
                <w:rFonts w:hint="eastAsia" w:cs="Times New Roman"/>
                <w:b w:val="0"/>
                <w:bCs w:val="0"/>
                <w:smallCaps w:val="0"/>
                <w:color w:val="000000" w:themeColor="text1"/>
                <w:spacing w:val="0"/>
                <w:kern w:val="0"/>
                <w:position w:val="0"/>
                <w:highlight w:val="none"/>
                <w:lang w:val="en-US" w:eastAsia="zh-CN"/>
                <w14:textFill>
                  <w14:solidFill>
                    <w14:schemeClr w14:val="tx1"/>
                  </w14:solidFill>
                </w14:textFill>
              </w:rPr>
              <w:t>S59</w:t>
            </w:r>
            <w:r>
              <w:rPr>
                <w:rFonts w:hint="default" w:ascii="Times New Roman" w:hAnsi="Times New Roman" w:cs="Times New Roman"/>
                <w:b w:val="0"/>
                <w:bCs w:val="0"/>
                <w:smallCaps w:val="0"/>
                <w:color w:val="000000" w:themeColor="text1"/>
                <w:spacing w:val="0"/>
                <w:kern w:val="0"/>
                <w:position w:val="0"/>
                <w:highlight w:val="none"/>
                <w:lang w:val="en-US" w:eastAsia="zh-CN"/>
                <w14:textFill>
                  <w14:solidFill>
                    <w14:schemeClr w14:val="tx1"/>
                  </w14:solidFill>
                </w14:textFill>
              </w:rPr>
              <w:t>，</w:t>
            </w:r>
            <w:r>
              <w:rPr>
                <w:rFonts w:hint="default" w:ascii="Times New Roman" w:hAnsi="Times New Roman" w:cs="Times New Roman"/>
                <w:b w:val="0"/>
                <w:bCs w:val="0"/>
                <w:smallCaps w:val="0"/>
                <w:color w:val="000000" w:themeColor="text1"/>
                <w:spacing w:val="0"/>
                <w:kern w:val="0"/>
                <w:position w:val="0"/>
                <w:sz w:val="24"/>
                <w:szCs w:val="24"/>
                <w:highlight w:val="none"/>
                <w:vertAlign w:val="baseline"/>
                <w:lang w:val="en-US" w:eastAsia="zh-CN"/>
                <w14:textFill>
                  <w14:solidFill>
                    <w14:schemeClr w14:val="tx1"/>
                  </w14:solidFill>
                </w14:textFill>
              </w:rPr>
              <w:t>收集后堆放在生活区北侧，外售废品回收站。</w:t>
            </w:r>
          </w:p>
          <w:p>
            <w:pPr>
              <w:pStyle w:val="275"/>
              <w:keepLines w:val="0"/>
              <w:pageBreakBefore w:val="0"/>
              <w:kinsoku/>
              <w:wordWrap/>
              <w:overflowPunct/>
              <w:bidi w:val="0"/>
              <w:adjustRightInd w:val="0"/>
              <w:snapToGrid w:val="0"/>
              <w:ind w:left="0" w:right="0" w:firstLine="480"/>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（4）危险废物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t>①废油桶</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t>本项目生产过程中</w:t>
            </w:r>
            <w:r>
              <w:rPr>
                <w:rFonts w:hint="eastAsia"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机械设备</w:t>
            </w:r>
            <w:r>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t>会</w:t>
            </w:r>
            <w:r>
              <w:rPr>
                <w:rFonts w:hint="eastAsia"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定期添加机油或润滑油</w:t>
            </w:r>
            <w:r>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t>，废油桶产生量为0.1t/a。根据《国家危险废物名录（202</w:t>
            </w: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5</w:t>
            </w:r>
            <w:r>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t>年版）》，废油桶属于危险废物，危废代码为HW08-900-249-08，集中收集后暂存于危险废物贮存库，定期交由有资质的单位处置。</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eastAsia="zh-CN"/>
                <w14:textFill>
                  <w14:solidFill>
                    <w14:schemeClr w14:val="tx1"/>
                  </w14:solidFill>
                </w14:textFill>
              </w:rPr>
              <w:t>②废</w:t>
            </w:r>
            <w:r>
              <w:rPr>
                <w:rFonts w:hint="eastAsia"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机油</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本项目生产过程中</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挖掘机装载机等维护时会定期更换废机油</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，预计每年需更换</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废机油</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0.4t/a</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。根据《国家危险废物名录（20</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25</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年版）》，</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车辆产生的废机油</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废物代码为</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HW08-</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900-21</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-08，本项目产生的废</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机油</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采用桶装收集</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后暂存在危险废物贮存库</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，定期交</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SA"/>
                <w14:textFill>
                  <w14:solidFill>
                    <w14:schemeClr w14:val="tx1"/>
                  </w14:solidFill>
                </w14:textFill>
              </w:rPr>
              <w:t>由有资质单位处置</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。危险废物存放场所应设置围堰，防止废液溢流。</w:t>
            </w:r>
          </w:p>
          <w:p>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③</w:t>
            </w:r>
            <w:r>
              <w:rPr>
                <w:rFonts w:hint="default" w:ascii="Times New Roman" w:hAnsi="Times New Roman" w:eastAsia="宋体" w:cs="Times New Roman"/>
                <w:smallCaps w:val="0"/>
                <w:color w:val="000000" w:themeColor="text1"/>
                <w:spacing w:val="0"/>
                <w:kern w:val="0"/>
                <w:position w:val="0"/>
                <w:highlight w:val="none"/>
                <w14:textFill>
                  <w14:solidFill>
                    <w14:schemeClr w14:val="tx1"/>
                  </w14:solidFill>
                </w14:textFill>
              </w:rPr>
              <w:t>化验室废液</w:t>
            </w:r>
          </w:p>
          <w:p>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SA"/>
                <w14:textFill>
                  <w14:solidFill>
                    <w14:schemeClr w14:val="tx1"/>
                  </w14:solidFill>
                </w14:textFill>
              </w:rPr>
              <w:t>本项目化验室产生的废液为危险废物，根据厂家提供资料，产生量约0.05t/a</w:t>
            </w:r>
            <w:r>
              <w:rPr>
                <w:rFonts w:hint="eastAsia" w:ascii="Times New Roman" w:hAnsi="Times New Roman" w:cs="Times New Roman"/>
                <w:smallCaps w:val="0"/>
                <w:color w:val="000000" w:themeColor="text1"/>
                <w:spacing w:val="0"/>
                <w:kern w:val="0"/>
                <w:positio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SA"/>
                <w14:textFill>
                  <w14:solidFill>
                    <w14:schemeClr w14:val="tx1"/>
                  </w14:solidFill>
                </w14:textFill>
              </w:rPr>
              <w:t>危废代码HW49，900-047-49，交由有资质单位处置。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auto"/>
              <w:rPr>
                <w:rFonts w:hint="default" w:ascii="Times New Roman" w:hAnsi="Times New Roman" w:cs="Times New Roman"/>
                <w:b/>
                <w:bCs/>
                <w:smallCaps w:val="0"/>
                <w:color w:val="000000" w:themeColor="text1"/>
                <w:spacing w:val="0"/>
                <w:kern w:val="0"/>
                <w:position w:val="0"/>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2"/>
                <w:highlight w:val="none"/>
                <w:lang w:eastAsia="zh-CN"/>
                <w14:textFill>
                  <w14:solidFill>
                    <w14:schemeClr w14:val="tx1"/>
                  </w14:solidFill>
                </w14:textFill>
              </w:rPr>
              <w:t>本</w:t>
            </w:r>
            <w:r>
              <w:rPr>
                <w:rFonts w:hint="default" w:ascii="Times New Roman" w:hAnsi="Times New Roman" w:eastAsia="宋体" w:cs="Times New Roman"/>
                <w:smallCaps w:val="0"/>
                <w:color w:val="000000" w:themeColor="text1"/>
                <w:spacing w:val="0"/>
                <w:w w:val="100"/>
                <w:kern w:val="0"/>
                <w:position w:val="0"/>
                <w:sz w:val="24"/>
                <w:szCs w:val="22"/>
                <w:highlight w:val="none"/>
                <w14:textFill>
                  <w14:solidFill>
                    <w14:schemeClr w14:val="tx1"/>
                  </w14:solidFill>
                </w14:textFill>
              </w:rPr>
              <w:t>项目固体废物产生情况见表</w:t>
            </w:r>
            <w:r>
              <w:rPr>
                <w:rFonts w:hint="default" w:ascii="Times New Roman" w:hAnsi="Times New Roman" w:eastAsia="宋体" w:cs="Times New Roman"/>
                <w:smallCaps w:val="0"/>
                <w:color w:val="000000" w:themeColor="text1"/>
                <w:spacing w:val="0"/>
                <w:w w:val="100"/>
                <w:kern w:val="0"/>
                <w:position w:val="0"/>
                <w:sz w:val="24"/>
                <w:szCs w:val="22"/>
                <w:highlight w:val="none"/>
                <w:lang w:val="en-US" w:eastAsia="zh-CN"/>
                <w14:textFill>
                  <w14:solidFill>
                    <w14:schemeClr w14:val="tx1"/>
                  </w14:solidFill>
                </w14:textFill>
              </w:rPr>
              <w:t>4-1</w:t>
            </w:r>
            <w:r>
              <w:rPr>
                <w:rFonts w:hint="eastAsia" w:cs="Times New Roman"/>
                <w:smallCaps w:val="0"/>
                <w:color w:val="000000" w:themeColor="text1"/>
                <w:spacing w:val="0"/>
                <w:w w:val="100"/>
                <w:kern w:val="0"/>
                <w:position w:val="0"/>
                <w:sz w:val="24"/>
                <w:szCs w:val="22"/>
                <w:highlight w:val="none"/>
                <w:lang w:val="en-US" w:eastAsia="zh-CN"/>
                <w14:textFill>
                  <w14:solidFill>
                    <w14:schemeClr w14:val="tx1"/>
                  </w14:solidFill>
                </w14:textFill>
              </w:rPr>
              <w:t>3</w:t>
            </w:r>
            <w:r>
              <w:rPr>
                <w:rFonts w:hint="default" w:ascii="Times New Roman" w:hAnsi="Times New Roman" w:eastAsia="宋体" w:cs="Times New Roman"/>
                <w:smallCaps w:val="0"/>
                <w:color w:val="000000" w:themeColor="text1"/>
                <w:spacing w:val="0"/>
                <w:w w:val="100"/>
                <w:kern w:val="0"/>
                <w:position w:val="0"/>
                <w:sz w:val="24"/>
                <w:szCs w:val="22"/>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表4-1</w:t>
            </w:r>
            <w:r>
              <w:rPr>
                <w:rFonts w:hint="eastAsia" w:cs="Times New Roman"/>
                <w:b/>
                <w:caps w:val="0"/>
                <w:smallCaps w:val="0"/>
                <w:color w:val="000000" w:themeColor="text1"/>
                <w:spacing w:val="0"/>
                <w:kern w:val="0"/>
                <w:position w:val="0"/>
                <w:szCs w:val="21"/>
                <w:highlight w:val="none"/>
                <w:lang w:val="en-US" w:eastAsia="zh-CN"/>
                <w14:textFill>
                  <w14:solidFill>
                    <w14:schemeClr w14:val="tx1"/>
                  </w14:solidFill>
                </w14:textFill>
              </w:rPr>
              <w:t>3</w:t>
            </w:r>
            <w:r>
              <w:rPr>
                <w:rFonts w:hint="eastAsia"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项目固体废物产生情况一览表</w:t>
            </w:r>
          </w:p>
          <w:tbl>
            <w:tblPr>
              <w:tblStyle w:val="4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395"/>
              <w:gridCol w:w="1364"/>
              <w:gridCol w:w="632"/>
              <w:gridCol w:w="880"/>
              <w:gridCol w:w="653"/>
              <w:gridCol w:w="884"/>
              <w:gridCol w:w="739"/>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名称</w:t>
                  </w:r>
                </w:p>
              </w:tc>
              <w:tc>
                <w:tcPr>
                  <w:tcW w:w="82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类别</w:t>
                  </w: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废物代码</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状态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危险特性</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储存设施</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储存量（t/a）</w:t>
                  </w:r>
                </w:p>
              </w:tc>
              <w:tc>
                <w:tcPr>
                  <w:tcW w:w="438"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清运频次</w:t>
                  </w:r>
                </w:p>
              </w:tc>
              <w:tc>
                <w:tcPr>
                  <w:tcW w:w="611"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废油桶</w:t>
                  </w:r>
                </w:p>
              </w:tc>
              <w:tc>
                <w:tcPr>
                  <w:tcW w:w="827"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HW08</w:t>
                  </w:r>
                </w:p>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废矿物油与含矿物油废物</w:t>
                  </w: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900-249-08</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液态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T，I</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0.1</w:t>
                  </w:r>
                </w:p>
              </w:tc>
              <w:tc>
                <w:tcPr>
                  <w:tcW w:w="438"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一年转运一次</w:t>
                  </w:r>
                </w:p>
              </w:tc>
              <w:tc>
                <w:tcPr>
                  <w:tcW w:w="611" w:type="pct"/>
                  <w:vMerge w:val="restar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t>危险废物贮存库暂存，定期交由有资质单位处置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50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废矿</w:t>
                  </w:r>
                </w:p>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物油</w:t>
                  </w:r>
                </w:p>
              </w:tc>
              <w:tc>
                <w:tcPr>
                  <w:tcW w:w="827"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900-21</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4</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-08</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液态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T，I</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桶装</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0.4</w:t>
                  </w:r>
                </w:p>
              </w:tc>
              <w:tc>
                <w:tcPr>
                  <w:tcW w:w="438"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p>
              </w:tc>
              <w:tc>
                <w:tcPr>
                  <w:tcW w:w="611"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74" w:hRule="atLeast"/>
              </w:trPr>
              <w:tc>
                <w:tcPr>
                  <w:tcW w:w="503"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14:textFill>
                        <w14:solidFill>
                          <w14:schemeClr w14:val="tx1"/>
                        </w14:solidFill>
                      </w14:textFill>
                    </w:rPr>
                    <w:t>化验室废液</w:t>
                  </w:r>
                </w:p>
              </w:tc>
              <w:tc>
                <w:tcPr>
                  <w:tcW w:w="82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HW49</w:t>
                  </w:r>
                </w:p>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其他废物</w:t>
                  </w: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900-047-49</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液态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T/C/I/R</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桶装</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0.05</w:t>
                  </w:r>
                </w:p>
              </w:tc>
              <w:tc>
                <w:tcPr>
                  <w:tcW w:w="438"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p>
              </w:tc>
              <w:tc>
                <w:tcPr>
                  <w:tcW w:w="611" w:type="pct"/>
                  <w:vMerge w:val="continue"/>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noWrap w:val="0"/>
                  <w:vAlign w:val="center"/>
                </w:tcPr>
                <w:p>
                  <w:pPr>
                    <w:pStyle w:val="3"/>
                    <w:pageBreakBefore w:val="0"/>
                    <w:wordWrap/>
                    <w:overflowPunct/>
                    <w:bidi w:val="0"/>
                    <w:adjustRightInd w:val="0"/>
                    <w:snapToGrid w:val="0"/>
                    <w:ind w:left="0" w:leftChars="0" w:right="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t>污泥</w:t>
                  </w:r>
                </w:p>
              </w:tc>
              <w:tc>
                <w:tcPr>
                  <w:tcW w:w="82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鉴定</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固态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9.736</w:t>
                  </w:r>
                </w:p>
              </w:tc>
              <w:tc>
                <w:tcPr>
                  <w:tcW w:w="1049" w:type="pct"/>
                  <w:gridSpan w:val="2"/>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鉴定确定其去向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noWrap w:val="0"/>
                  <w:vAlign w:val="center"/>
                </w:tcPr>
                <w:p>
                  <w:pPr>
                    <w:pStyle w:val="3"/>
                    <w:pageBreakBefore w:val="0"/>
                    <w:wordWrap/>
                    <w:overflowPunct/>
                    <w:bidi w:val="0"/>
                    <w:adjustRightInd w:val="0"/>
                    <w:snapToGrid w:val="0"/>
                    <w:ind w:left="0" w:leftChars="0" w:right="0" w:firstLine="0" w:firstLineChars="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t>废弃包装袋</w:t>
                  </w:r>
                </w:p>
              </w:tc>
              <w:tc>
                <w:tcPr>
                  <w:tcW w:w="82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一般固废</w:t>
                  </w: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900-</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0</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99-</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S59</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固态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垃圾桶</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0.2</w:t>
                  </w:r>
                </w:p>
              </w:tc>
              <w:tc>
                <w:tcPr>
                  <w:tcW w:w="1049" w:type="pct"/>
                  <w:gridSpan w:val="2"/>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定期外售废品收购站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3" w:type="pct"/>
                  <w:tcBorders>
                    <w:tl2br w:val="nil"/>
                    <w:tr2bl w:val="nil"/>
                  </w:tcBorders>
                  <w:noWrap w:val="0"/>
                  <w:vAlign w:val="center"/>
                </w:tcPr>
                <w:p>
                  <w:pPr>
                    <w:pStyle w:val="3"/>
                    <w:pageBreakBefore w:val="0"/>
                    <w:wordWrap/>
                    <w:overflowPunct/>
                    <w:bidi w:val="0"/>
                    <w:adjustRightInd w:val="0"/>
                    <w:snapToGrid w:val="0"/>
                    <w:ind w:left="0" w:leftChars="0" w:right="0" w:firstLine="0" w:firstLineChars="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bidi="ar-SA"/>
                      <w14:textFill>
                        <w14:solidFill>
                          <w14:schemeClr w14:val="tx1"/>
                        </w14:solidFill>
                      </w14:textFill>
                    </w:rPr>
                    <w:t>生活垃圾</w:t>
                  </w:r>
                </w:p>
              </w:tc>
              <w:tc>
                <w:tcPr>
                  <w:tcW w:w="82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80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375"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固态</w:t>
                  </w:r>
                </w:p>
              </w:tc>
              <w:tc>
                <w:tcPr>
                  <w:tcW w:w="522"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387"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垃圾桶</w:t>
                  </w:r>
                </w:p>
              </w:tc>
              <w:tc>
                <w:tcPr>
                  <w:tcW w:w="524"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1.5</w:t>
                  </w:r>
                </w:p>
              </w:tc>
              <w:tc>
                <w:tcPr>
                  <w:tcW w:w="1049" w:type="pct"/>
                  <w:gridSpan w:val="2"/>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集中收集后</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交由环卫部门清运处置</w:t>
                  </w:r>
                </w:p>
              </w:tc>
            </w:tr>
          </w:tbl>
          <w:p>
            <w:pPr>
              <w:pStyle w:val="275"/>
              <w:keepNext w:val="0"/>
              <w:keepLines w:val="0"/>
              <w:pageBreakBefore w:val="0"/>
              <w:widowControl w:val="0"/>
              <w:kinsoku/>
              <w:wordWrap/>
              <w:overflowPunct/>
              <w:topLinePunct w:val="0"/>
              <w:autoSpaceDE/>
              <w:autoSpaceDN/>
              <w:bidi w:val="0"/>
              <w:adjustRightInd w:val="0"/>
              <w:snapToGrid w:val="0"/>
              <w:spacing w:before="157" w:beforeLines="50"/>
              <w:ind w:left="0" w:leftChars="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4.2一般工业固废管理要求</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根据《中华人民共和国固体废物污染环境防治法》，企业在贮存固废时需要遵守以下原则：</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（1）储存要求：</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①一般固废临时储存场所需防扬散、防流失、防渗漏。</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②区域张贴一般固废贮存场所标牌。</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③产生工业固体废物的单位终止的，应当在终止前对工业固体废物的贮存、处置的设施、场所采取污染防治措施，并对未处置的工业固体废物作出妥善处置，防止污染环境。</w:t>
            </w:r>
          </w:p>
          <w:p>
            <w:pPr>
              <w:bidi w:val="0"/>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（2）建立台账：建立工业固体废物管理台账，内容包括工业固体废物种类、产生量、流向、贮存、处置等。</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eastAsia="宋体"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4.3</w:t>
            </w:r>
            <w:r>
              <w:rPr>
                <w:rFonts w:hint="default" w:ascii="Times New Roman" w:hAnsi="Times New Roman" w:cs="Times New Roman"/>
                <w:b/>
                <w:bCs/>
                <w:smallCaps w:val="0"/>
                <w:color w:val="000000" w:themeColor="text1"/>
                <w:spacing w:val="0"/>
                <w:kern w:val="0"/>
                <w:position w:val="0"/>
                <w:sz w:val="24"/>
                <w:szCs w:val="24"/>
                <w:highlight w:val="none"/>
                <w:lang w:val="en-US" w:eastAsia="zh-CN" w:bidi="en-US"/>
                <w14:textFill>
                  <w14:solidFill>
                    <w14:schemeClr w14:val="tx1"/>
                  </w14:solidFill>
                </w14:textFill>
              </w:rPr>
              <w:t>危险废物防治措施</w:t>
            </w:r>
          </w:p>
          <w:p>
            <w:pPr>
              <w:pStyle w:val="293"/>
              <w:keepNext w:val="0"/>
              <w:keepLines w:val="0"/>
              <w:pageBreakBefore w:val="0"/>
              <w:widowControl w:val="0"/>
              <w:tabs>
                <w:tab w:val="left" w:pos="1078"/>
              </w:tabs>
              <w:kinsoku/>
              <w:wordWrap/>
              <w:overflowPunct/>
              <w:topLinePunct w:val="0"/>
              <w:autoSpaceDE/>
              <w:autoSpaceDN/>
              <w:bidi w:val="0"/>
              <w:adjustRightInd w:val="0"/>
              <w:snapToGrid w:val="0"/>
              <w:spacing w:after="0" w:line="360" w:lineRule="auto"/>
              <w:ind w:left="0" w:right="0" w:firstLine="482" w:firstLineChars="200"/>
              <w:jc w:val="both"/>
              <w:textAlignment w:val="auto"/>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4"/>
                <w:szCs w:val="24"/>
                <w:highlight w:val="none"/>
                <w:lang w:val="en-US" w:eastAsia="zh-CN" w:bidi="ar-SA"/>
                <w14:textFill>
                  <w14:solidFill>
                    <w14:schemeClr w14:val="tx1"/>
                  </w14:solidFill>
                </w14:textFill>
              </w:rPr>
              <w:t>4.3.1危险废物贮存库</w:t>
            </w:r>
          </w:p>
          <w:p>
            <w:pPr>
              <w:pStyle w:val="293"/>
              <w:keepNext w:val="0"/>
              <w:keepLines w:val="0"/>
              <w:pageBreakBefore w:val="0"/>
              <w:widowControl w:val="0"/>
              <w:tabs>
                <w:tab w:val="left" w:pos="1078"/>
              </w:tabs>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t>本项目危险废物贮存库</w:t>
            </w:r>
            <w:r>
              <w:rPr>
                <w:rFonts w:hint="eastAsia" w:ascii="Times New Roman" w:hAnsi="Times New Roman"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t>拟设置在库房内</w:t>
            </w:r>
            <w:r>
              <w:rPr>
                <w:rFonts w:hint="default" w:ascii="Times New Roman" w:hAnsi="Times New Roman" w:eastAsia="宋体"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t>，占地面积约</w:t>
            </w:r>
            <w:r>
              <w:rPr>
                <w:rFonts w:hint="eastAsia" w:ascii="Times New Roman" w:hAnsi="Times New Roman"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b w:val="0"/>
                <w:bCs/>
                <w:smallCaps w:val="0"/>
                <w:color w:val="000000" w:themeColor="text1"/>
                <w:spacing w:val="0"/>
                <w:kern w:val="0"/>
                <w:position w:val="0"/>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smallCaps w:val="0"/>
                <w:color w:val="000000" w:themeColor="text1"/>
                <w:spacing w:val="0"/>
                <w:kern w:val="0"/>
                <w:position w:val="0"/>
                <w:sz w:val="24"/>
                <w:szCs w:val="24"/>
                <w:highlight w:val="none"/>
                <w:lang w:val="en-US" w:eastAsia="zh-CN" w:bidi="ar-SA"/>
                <w14:textFill>
                  <w14:solidFill>
                    <w14:schemeClr w14:val="tx1"/>
                  </w14:solidFill>
                </w14:textFill>
              </w:rPr>
              <w:t>，主要用于暂存废机油、废油桶和化验室废液。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①</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②</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贮存设施应根据危险废物的类别、数量、形态、物理化学性质和污染防治等要求设置必要的贮存分区，避免不相容的危险废物接触、混合。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③</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贮存设施或贮存分区内地面、墙面裙角、堵截泄漏的围堰、接触危险废物的隔板和墙体等应采用坚固的材料建造，表面无裂缝。</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④</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1m</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厚黏土层（渗透系数不大于</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position w:val="0"/>
                <w:sz w:val="24"/>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cm/s</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），或至少</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2mm</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厚高密度聚乙烯膜等人工防渗材料（渗透系数不大于</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position w:val="0"/>
                <w:sz w:val="24"/>
                <w:highlight w:val="none"/>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cm/s</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），或其他防渗性能等效的材料。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⑤</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同一贮存设施宜采用相同的防渗、防腐工艺（包括防渗、防腐结构或材料），防渗、防腐材料应覆盖所有可能与废物及其渗滤液、渗漏液等接触的构筑物表面；采用不同防渗、防腐工艺应分别建设贮存分区</w:t>
            </w: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⑥</w:t>
            </w:r>
            <w:r>
              <w:rPr>
                <w:rFonts w:hint="eastAsia" w:ascii="Times New Roman" w:hAnsi="Times New Roman" w:eastAsia="宋体" w:cs="Times New Roman"/>
                <w:color w:val="000000" w:themeColor="text1"/>
                <w:spacing w:val="0"/>
                <w:kern w:val="0"/>
                <w:position w:val="0"/>
                <w:sz w:val="24"/>
                <w:highlight w:val="none"/>
                <w:lang w:val="en-US" w:eastAsia="zh-CN"/>
                <w14:textFill>
                  <w14:solidFill>
                    <w14:schemeClr w14:val="tx1"/>
                  </w14:solidFill>
                </w14:textFill>
              </w:rPr>
              <w:t>贮存设施应采取技术和管理措施防止无关人员进入</w:t>
            </w:r>
            <w:r>
              <w:rPr>
                <w:rFonts w:hint="default" w:ascii="Times New Roman" w:hAnsi="Times New Roman" w:eastAsia="宋体" w:cs="Times New Roman"/>
                <w:color w:val="000000" w:themeColor="text1"/>
                <w:spacing w:val="0"/>
                <w:kern w:val="0"/>
                <w:position w:val="0"/>
                <w:sz w:val="24"/>
                <w:highlight w:val="none"/>
                <w14:textFill>
                  <w14:solidFill>
                    <w14:schemeClr w14:val="tx1"/>
                  </w14:solidFill>
                </w14:textFill>
              </w:rPr>
              <w:t>。</w:t>
            </w:r>
          </w:p>
          <w:p>
            <w:pPr>
              <w:pStyle w:val="275"/>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both"/>
              <w:textAlignment w:val="auto"/>
              <w:rPr>
                <w:rFonts w:hint="default" w:ascii="Times New Roman" w:hAnsi="Times New Roman" w:cs="Times New Roman"/>
                <w:b/>
                <w:bCs/>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4.3.2</w:t>
            </w:r>
            <w:r>
              <w:rPr>
                <w:rFonts w:hint="default" w:ascii="Times New Roman" w:hAnsi="Times New Roman" w:cs="Times New Roman"/>
                <w:b/>
                <w:bCs/>
                <w:smallCaps w:val="0"/>
                <w:color w:val="000000" w:themeColor="text1"/>
                <w:spacing w:val="0"/>
                <w:kern w:val="0"/>
                <w:position w:val="0"/>
                <w:sz w:val="24"/>
                <w:szCs w:val="24"/>
                <w:highlight w:val="none"/>
                <w:lang w:eastAsia="zh-CN"/>
                <w14:textFill>
                  <w14:solidFill>
                    <w14:schemeClr w14:val="tx1"/>
                  </w14:solidFill>
                </w14:textFill>
              </w:rPr>
              <w:t>危险废物转移</w:t>
            </w:r>
          </w:p>
          <w:p>
            <w:pPr>
              <w:pStyle w:val="293"/>
              <w:pageBreakBefore w:val="0"/>
              <w:wordWrap/>
              <w:overflowPunct/>
              <w:bidi w:val="0"/>
              <w:adjustRightInd w:val="0"/>
              <w:snapToGrid w:val="0"/>
              <w:spacing w:after="0" w:line="360" w:lineRule="auto"/>
              <w:ind w:left="0" w:right="0" w:firstLine="480" w:firstLineChars="200"/>
              <w:jc w:val="left"/>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根据《危险废物转移管理办法》</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（部令第23号）</w:t>
            </w:r>
            <w:r>
              <w:rPr>
                <w:rFonts w:hint="default" w:ascii="Times New Roman" w:hAnsi="Times New Roman" w:cs="Times New Roman"/>
                <w:smallCaps w:val="0"/>
                <w:color w:val="000000" w:themeColor="text1"/>
                <w:spacing w:val="0"/>
                <w:kern w:val="0"/>
                <w:position w:val="0"/>
                <w:sz w:val="24"/>
                <w:szCs w:val="24"/>
                <w:highlight w:val="none"/>
                <w:lang w:val="en-US" w:eastAsia="zh-CN" w:bidi="en-US"/>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企业按照国家有关规定办理应当执行危险废物转移联单制度</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并在贮运过程中严格执行危险化学品贮存、运输和监管的有关规定：</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1</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）转移危险废物的，应当通过国家危险废物信息管理系统（以下简称信息系统）填写、运行危险废物电子转移联单，并依照国家有关规定公开危险废物转移相关污染环境防治信息。</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）在危险废物转移过程中应当采取防扬散、防流失、防渗漏或者其他防止污染环境的措施，不得擅自倾倒、堆放、丢弃、遗撒危险废物，并对所造成的环境污染及生态破坏依法承担责任。</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）履行以下义务：</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①对承运人或者接受人的主体资格和技术能力进行核实，依法签订书面合同，并在合同中约定运输、贮存、利用、处置危险废物的污染防治要求及相关责任；</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②制定危险废物管理计划，明确拟转移危险废物的种类、重量（数量）和流向等信息；</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③建立危险废物管理台账，对转移的危险废物进行计量称重，如实记录、妥善保管转移危险废物的种类、重量（数量）和</w:t>
            </w:r>
            <w:r>
              <w:rPr>
                <w:rFonts w:hint="eastAsia"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接收</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人等相关信息；</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④填写、运行危险废物转移联单，在危险废物转移联单中如实填写移出人、承运人、</w:t>
            </w:r>
            <w:r>
              <w:rPr>
                <w:rFonts w:hint="eastAsia"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接收</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人信息，转移危险废物的种类、重量（数量）、危险特性等信息，以及突发环境事件的防范措施等；</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⑤及时核实</w:t>
            </w:r>
            <w:r>
              <w:rPr>
                <w:rFonts w:hint="eastAsia"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接收</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人贮存、利用或者处置相关危险废物情况；</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⑥法律法规规定的其他义务。</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应当按照国家有关要求开展危险废物鉴别。禁止将危险废物以副产品等名义提供或者委托给无危险废物经营许可证的单位或者其他生产经营者从事收集、贮存、利用、处置活动。</w:t>
            </w:r>
          </w:p>
          <w:p>
            <w:pPr>
              <w:pStyle w:val="293"/>
              <w:pageBreakBefore w:val="0"/>
              <w:wordWrap/>
              <w:overflowPunct/>
              <w:bidi w:val="0"/>
              <w:adjustRightInd w:val="0"/>
              <w:snapToGrid w:val="0"/>
              <w:spacing w:after="0" w:line="360" w:lineRule="auto"/>
              <w:ind w:left="0" w:right="0" w:firstLine="480" w:firstLineChars="200"/>
              <w:jc w:val="both"/>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）危险废物转移联单的运行和管理</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收集储存的危险废物应严格按照《</w:t>
            </w:r>
            <w:r>
              <w:rPr>
                <w:rFonts w:hint="eastAsia" w:ascii="Times New Roman" w:hAnsi="Times New Roman" w:eastAsia="宋体" w:cs="Times New Roman"/>
                <w:color w:val="000000" w:themeColor="text1"/>
                <w:sz w:val="24"/>
                <w14:textFill>
                  <w14:solidFill>
                    <w14:schemeClr w14:val="tx1"/>
                  </w14:solidFill>
                </w14:textFill>
              </w:rPr>
              <w:t>危险废物转移管理办法</w:t>
            </w:r>
            <w:r>
              <w:rPr>
                <w:rFonts w:hint="default"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部令第23号</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中的有关要求管理。</w:t>
            </w:r>
            <w:r>
              <w:rPr>
                <w:rFonts w:hint="eastAsia" w:ascii="Times New Roman" w:hAnsi="Times New Roman" w:eastAsia="宋体" w:cs="Times New Roman"/>
                <w:color w:val="000000" w:themeColor="text1"/>
                <w:sz w:val="24"/>
                <w:lang w:eastAsia="zh-CN"/>
                <w14:textFill>
                  <w14:solidFill>
                    <w14:schemeClr w14:val="tx1"/>
                  </w14:solidFill>
                </w14:textFill>
              </w:rPr>
              <w:t>移出人的要求：</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①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②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③对承运人或者接受人的主体资格和技术能力进行核实，依法签订书面合同，并在合同中约定运输、贮存、利用、处置危险废物的污染防治要求及相关责任；</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④制定危险废物管理计划，明确拟转移危险废物的种类、重量（数量）和流向等信息；</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⑤建立危险废物管理台账，对转移的危险废物进行计量称重，如实记录、妥善保管转移危险废物的种类、重量（数量）和接受人等相关信息；</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⑥填写、运行危险废物转移联单，在危险废物转移联单中如实填写移出人、承运人、接受人信息，转移危险废物的种类、重量（数量）、危险特性等信息，以及突发环境事件的防范措施等；</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⑦及时核实接受人贮存、利用或者处置相关危险废物情况；</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⑧履行法律法规规定的其他义务；</w:t>
            </w:r>
          </w:p>
          <w:p>
            <w:pPr>
              <w:bidi w:val="0"/>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⑨移出人应当按照国家有关要求开展危险废物鉴别。禁止将危险废物以副产品等名义提供或者委托给无危险废物经营许可证的单位或者其他生产经营者从事收集、贮存、利用、处置活动。</w:t>
            </w:r>
          </w:p>
          <w:p>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5</w:t>
            </w: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w:t>
            </w: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土壤、地下水影响分析及防治措施</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5.1污染源及污染途径</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项目运营期土壤、地下水的污染源主要为危险废物在事故状态下对地下水造成污染，本工程对地下水的主要污染途径为垂直入渗；项目危险废物主要为化验室废液、废</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机油</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暂存过程，盛装容器发生破裂化验室废液、废矿物油下渗污染土壤和地下水。</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cs="Times New Roman"/>
                <w:b/>
                <w:bCs/>
                <w:smallCaps w:val="0"/>
                <w:color w:val="000000" w:themeColor="text1"/>
                <w:spacing w:val="0"/>
                <w:kern w:val="0"/>
                <w:position w:val="0"/>
                <w:sz w:val="24"/>
                <w:szCs w:val="24"/>
                <w:highlight w:val="none"/>
                <w:lang w:eastAsia="zh-CN"/>
                <w14:textFill>
                  <w14:solidFill>
                    <w14:schemeClr w14:val="tx1"/>
                  </w14:solidFill>
                </w14:textFill>
              </w:rPr>
            </w:pP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5.2防控措施</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（1）预防措施</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预防措施主要是在本项目工程设计、施工时应严把设计、施工质量关，杜绝因材质失误造成的泄漏，严格执行</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《危险废物贮存污染控制标准》（GB18597-20</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23</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中</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的相关要求</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（2）防渗措施</w:t>
            </w:r>
          </w:p>
          <w:p>
            <w:pPr>
              <w:pStyle w:val="275"/>
              <w:keepNext w:val="0"/>
              <w:keepLines w:val="0"/>
              <w:pageBreakBefore w:val="0"/>
              <w:widowControl w:val="0"/>
              <w:kinsoku/>
              <w:wordWrap/>
              <w:overflowPunct/>
              <w:topLinePunct w:val="0"/>
              <w:autoSpaceDE/>
              <w:autoSpaceDN/>
              <w:bidi w:val="0"/>
              <w:adjustRightInd w:val="0"/>
              <w:snapToGrid w:val="0"/>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为有效预防地下水污染，本项目危险废物贮存库按重点防渗进行防渗处理。</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具体分区防渗要求详见表</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4-6</w:t>
            </w:r>
            <w:r>
              <w:rPr>
                <w:rFonts w:hint="default" w:ascii="Times New Roman" w:hAnsi="Times New Roman" w:eastAsia="宋体" w:cs="Times New Roman"/>
                <w:smallCaps w:val="0"/>
                <w:color w:val="000000" w:themeColor="text1"/>
                <w:spacing w:val="0"/>
                <w:kern w:val="0"/>
                <w:position w:val="0"/>
                <w:sz w:val="24"/>
                <w:szCs w:val="24"/>
                <w:highlight w:val="none"/>
                <w:lang w:eastAsia="zh-CN"/>
                <w14:textFill>
                  <w14:solidFill>
                    <w14:schemeClr w14:val="tx1"/>
                  </w14:solidFill>
                </w14:textFill>
              </w:rPr>
              <w:t>和附图</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6、</w:t>
            </w: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环境风险分析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6.1</w:t>
            </w:r>
            <w:r>
              <w:rPr>
                <w:rFonts w:hint="default" w:ascii="Times New Roman" w:hAnsi="Times New Roman" w:cs="Times New Roman"/>
                <w:b/>
                <w:bCs/>
                <w:smallCaps w:val="0"/>
                <w:color w:val="000000" w:themeColor="text1"/>
                <w:spacing w:val="0"/>
                <w:kern w:val="0"/>
                <w:position w:val="0"/>
                <w:sz w:val="24"/>
                <w:szCs w:val="24"/>
                <w:highlight w:val="none"/>
                <w:lang w:val="en-US" w:eastAsia="zh-CN"/>
                <w14:textFill>
                  <w14:solidFill>
                    <w14:schemeClr w14:val="tx1"/>
                  </w14:solidFill>
                </w14:textFill>
              </w:rPr>
              <w:t>物质危险性识别</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根据《建设项目环境风险评价技术导则》（HJ169-2018）附录B和《危险化学品重大危险源辨识》（GB18218-2018），本项目所用药剂中过氧化氢含量不低于20%，不高于60%，属5.1类氧化性物质，类别为2，临界量为200t；同时还存在环境风险物质废</w:t>
            </w:r>
            <w:r>
              <w:rPr>
                <w:rFonts w:hint="eastAsia"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机油</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，其临界量2500t。项目Q值判断见下表4-1</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4</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ind w:left="0" w:right="0" w:firstLine="422" w:firstLineChars="200"/>
              <w:jc w:val="both"/>
              <w:textAlignment w:val="baseline"/>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pP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表4-1</w:t>
            </w:r>
            <w:r>
              <w:rPr>
                <w:rFonts w:hint="eastAsia"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4             </w:t>
            </w:r>
            <w:r>
              <w:rPr>
                <w:rFonts w:hint="default" w:ascii="Times New Roman" w:hAnsi="Times New Roman" w:eastAsia="宋体" w:cs="Times New Roman"/>
                <w:b/>
                <w:caps w:val="0"/>
                <w:smallCaps w:val="0"/>
                <w:color w:val="000000" w:themeColor="text1"/>
                <w:spacing w:val="0"/>
                <w:kern w:val="0"/>
                <w:position w:val="0"/>
                <w:szCs w:val="21"/>
                <w:highlight w:val="none"/>
                <w:lang w:val="en-US" w:eastAsia="zh-CN"/>
                <w14:textFill>
                  <w14:solidFill>
                    <w14:schemeClr w14:val="tx1"/>
                  </w14:solidFill>
                </w14:textFill>
              </w:rPr>
              <w:t xml:space="preserve">   贮存场所基本情况表</w:t>
            </w:r>
          </w:p>
          <w:tbl>
            <w:tblPr>
              <w:tblStyle w:val="4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68"/>
              <w:gridCol w:w="1959"/>
              <w:gridCol w:w="2689"/>
              <w:gridCol w:w="1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危险废物名称</w:t>
                  </w:r>
                </w:p>
              </w:tc>
              <w:tc>
                <w:tcPr>
                  <w:tcW w:w="1162"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最大储存量（t）</w:t>
                  </w:r>
                </w:p>
              </w:tc>
              <w:tc>
                <w:tcPr>
                  <w:tcW w:w="159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临界量（t）</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q/Q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双氧水</w:t>
                  </w:r>
                </w:p>
              </w:tc>
              <w:tc>
                <w:tcPr>
                  <w:tcW w:w="1162"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30</w:t>
                  </w:r>
                </w:p>
              </w:tc>
              <w:tc>
                <w:tcPr>
                  <w:tcW w:w="159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200</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废</w:t>
                  </w:r>
                  <w:r>
                    <w:rPr>
                      <w:rFonts w:hint="eastAsia"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机油</w:t>
                  </w:r>
                </w:p>
              </w:tc>
              <w:tc>
                <w:tcPr>
                  <w:tcW w:w="1162"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0.4</w:t>
                  </w:r>
                </w:p>
              </w:tc>
              <w:tc>
                <w:tcPr>
                  <w:tcW w:w="159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2500</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化验室废液</w:t>
                  </w:r>
                </w:p>
              </w:tc>
              <w:tc>
                <w:tcPr>
                  <w:tcW w:w="1162"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0.05</w:t>
                  </w:r>
                </w:p>
              </w:tc>
              <w:tc>
                <w:tcPr>
                  <w:tcW w:w="159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氯化铝</w:t>
                  </w:r>
                </w:p>
              </w:tc>
              <w:tc>
                <w:tcPr>
                  <w:tcW w:w="1162"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30</w:t>
                  </w:r>
                </w:p>
              </w:tc>
              <w:tc>
                <w:tcPr>
                  <w:tcW w:w="159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硫酸亚铁</w:t>
                  </w:r>
                </w:p>
              </w:tc>
              <w:tc>
                <w:tcPr>
                  <w:tcW w:w="1162"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30</w:t>
                  </w:r>
                </w:p>
              </w:tc>
              <w:tc>
                <w:tcPr>
                  <w:tcW w:w="159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925" w:type="pct"/>
                  <w:gridSpan w:val="3"/>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合计</w:t>
                  </w:r>
                </w:p>
              </w:tc>
              <w:tc>
                <w:tcPr>
                  <w:tcW w:w="1074"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0.15016</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根据上表可知，本项目Q值=0.1506＜1，因此本项目环境风险潜势为I。根据《建设项目环境风险评价技术导则》（HJ169-2018），可只进行简单分析。</w:t>
            </w:r>
          </w:p>
          <w:p>
            <w:pPr>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firstLine="482" w:firstLineChars="200"/>
              <w:jc w:val="both"/>
              <w:textAlignment w:val="auto"/>
              <w:outlineLvl w:val="2"/>
              <w:rPr>
                <w:rFonts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6.2</w:t>
            </w:r>
            <w:r>
              <w:rPr>
                <w:rFonts w:ascii="Times New Roman" w:hAnsi="Times New Roman" w:eastAsia="宋体" w:cs="Times New Roman"/>
                <w:b/>
                <w:bCs/>
                <w:color w:val="000000" w:themeColor="text1"/>
                <w:kern w:val="2"/>
                <w:sz w:val="24"/>
                <w:szCs w:val="32"/>
                <w:lang w:val="en-US" w:eastAsia="zh-CN" w:bidi="ar-SA"/>
                <w14:textFill>
                  <w14:solidFill>
                    <w14:schemeClr w14:val="tx1"/>
                  </w14:solidFill>
                </w14:textFill>
              </w:rPr>
              <w:t>环境风险分布情况</w:t>
            </w:r>
          </w:p>
          <w:p>
            <w:pPr>
              <w:bidi w:val="0"/>
              <w:adjustRightInd w:val="0"/>
              <w:snapToGrid w:val="0"/>
              <w:spacing w:line="360" w:lineRule="auto"/>
              <w:ind w:firstLine="480" w:firstLineChars="200"/>
              <w:rPr>
                <w:rFonts w:ascii="Times New Roman" w:hAnsi="Times New Roman" w:eastAsia="宋体" w:cs="Times New Roman"/>
                <w:color w:val="000000" w:themeColor="text1"/>
                <w:sz w:val="24"/>
                <w:lang w:val="en-US" w:eastAsia="zh-CN"/>
                <w14:textFill>
                  <w14:solidFill>
                    <w14:schemeClr w14:val="tx1"/>
                  </w14:solidFill>
                </w14:textFill>
              </w:rPr>
            </w:pPr>
            <w:r>
              <w:rPr>
                <w:rFonts w:ascii="Times New Roman" w:hAnsi="Times New Roman" w:eastAsia="宋体" w:cs="Times New Roman"/>
                <w:color w:val="000000" w:themeColor="text1"/>
                <w:sz w:val="24"/>
                <w:lang w:val="en-US" w:eastAsia="zh-CN"/>
                <w14:textFill>
                  <w14:solidFill>
                    <w14:schemeClr w14:val="tx1"/>
                  </w14:solidFill>
                </w14:textFill>
              </w:rPr>
              <w:t>根据《建设项目环境风险评价技术导则》（HJ169-2018）对运营过程中涉及的物质进行风险识别，本项目环境风险识别见下表。</w:t>
            </w:r>
          </w:p>
          <w:p>
            <w:pPr>
              <w:widowControl w:val="0"/>
              <w:bidi w:val="0"/>
              <w:adjustRightInd w:val="0"/>
              <w:snapToGrid w:val="0"/>
              <w:spacing w:line="240" w:lineRule="auto"/>
              <w:ind w:firstLine="422" w:firstLineChars="200"/>
              <w:jc w:val="both"/>
              <w:outlineLvl w:val="3"/>
              <w:rPr>
                <w:rFonts w:ascii="Times New Roman" w:hAnsi="Times New Roman" w:eastAsia="宋体" w:cs="Times New Roman"/>
                <w:b/>
                <w:bCs/>
                <w:color w:val="000000" w:themeColor="text1"/>
                <w:kern w:val="2"/>
                <w:sz w:val="21"/>
                <w:szCs w:val="28"/>
                <w:lang w:val="en-US" w:eastAsia="zh-CN" w:bidi="ar-SA"/>
                <w14:textFill>
                  <w14:solidFill>
                    <w14:schemeClr w14:val="tx1"/>
                  </w14:solidFill>
                </w14:textFill>
              </w:rPr>
            </w:pPr>
            <w:r>
              <w:rPr>
                <w:rFonts w:ascii="Times New Roman" w:hAnsi="Times New Roman" w:eastAsia="宋体" w:cs="Times New Roman"/>
                <w:b/>
                <w:bCs/>
                <w:color w:val="000000" w:themeColor="text1"/>
                <w:kern w:val="2"/>
                <w:sz w:val="21"/>
                <w:szCs w:val="28"/>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1"/>
                <w:szCs w:val="28"/>
                <w:lang w:val="en-US" w:eastAsia="zh-CN" w:bidi="ar-SA"/>
                <w14:textFill>
                  <w14:solidFill>
                    <w14:schemeClr w14:val="tx1"/>
                  </w14:solidFill>
                </w14:textFill>
              </w:rPr>
              <w:t>4-</w:t>
            </w:r>
            <w:r>
              <w:rPr>
                <w:rFonts w:hint="eastAsia" w:cs="Times New Roman"/>
                <w:b/>
                <w:bCs/>
                <w:color w:val="000000" w:themeColor="text1"/>
                <w:kern w:val="2"/>
                <w:sz w:val="21"/>
                <w:szCs w:val="28"/>
                <w:lang w:val="en-US" w:eastAsia="zh-CN" w:bidi="ar-SA"/>
                <w14:textFill>
                  <w14:solidFill>
                    <w14:schemeClr w14:val="tx1"/>
                  </w14:solidFill>
                </w14:textFill>
              </w:rPr>
              <w:t>15</w:t>
            </w:r>
            <w:r>
              <w:rPr>
                <w:rFonts w:hint="eastAsia" w:ascii="Times New Roman" w:hAnsi="Times New Roman" w:eastAsia="宋体" w:cs="Times New Roman"/>
                <w:b/>
                <w:bCs/>
                <w:color w:val="000000" w:themeColor="text1"/>
                <w:kern w:val="2"/>
                <w:sz w:val="21"/>
                <w:szCs w:val="28"/>
                <w:lang w:val="en-US" w:eastAsia="zh-CN" w:bidi="ar-SA"/>
                <w14:textFill>
                  <w14:solidFill>
                    <w14:schemeClr w14:val="tx1"/>
                  </w14:solidFill>
                </w14:textFill>
              </w:rPr>
              <w:t xml:space="preserve">                  </w:t>
            </w:r>
            <w:r>
              <w:rPr>
                <w:rFonts w:ascii="Times New Roman" w:hAnsi="Times New Roman" w:eastAsia="宋体" w:cs="Times New Roman"/>
                <w:b/>
                <w:bCs/>
                <w:color w:val="000000" w:themeColor="text1"/>
                <w:kern w:val="2"/>
                <w:sz w:val="21"/>
                <w:szCs w:val="28"/>
                <w:lang w:val="en-US" w:eastAsia="zh-CN" w:bidi="ar-SA"/>
                <w14:textFill>
                  <w14:solidFill>
                    <w14:schemeClr w14:val="tx1"/>
                  </w14:solidFill>
                </w14:textFill>
              </w:rPr>
              <w:t>建设项目环境风险识别表</w:t>
            </w:r>
          </w:p>
          <w:tbl>
            <w:tblPr>
              <w:tblStyle w:val="48"/>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2"/>
              <w:gridCol w:w="1600"/>
              <w:gridCol w:w="1179"/>
              <w:gridCol w:w="1828"/>
              <w:gridCol w:w="1367"/>
              <w:gridCol w:w="20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268" w:type="pct"/>
                  <w:noWrap w:val="0"/>
                  <w:vAlign w:val="center"/>
                </w:tcPr>
                <w:p>
                  <w:pPr>
                    <w:widowControl/>
                    <w:bidi w:val="0"/>
                    <w:adjustRightInd w:val="0"/>
                    <w:snapToGrid w:val="0"/>
                    <w:spacing w:line="240" w:lineRule="auto"/>
                    <w:ind w:right="0" w:firstLine="0" w:firstLineChars="0"/>
                    <w:jc w:val="cente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序号</w:t>
                  </w:r>
                </w:p>
              </w:tc>
              <w:tc>
                <w:tcPr>
                  <w:tcW w:w="949" w:type="pct"/>
                  <w:noWrap w:val="0"/>
                  <w:vAlign w:val="center"/>
                </w:tcPr>
                <w:p>
                  <w:pPr>
                    <w:widowControl/>
                    <w:bidi w:val="0"/>
                    <w:adjustRightInd w:val="0"/>
                    <w:snapToGrid w:val="0"/>
                    <w:spacing w:line="240" w:lineRule="auto"/>
                    <w:ind w:right="0" w:firstLine="0" w:firstLineChars="0"/>
                    <w:jc w:val="cente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危险单元</w:t>
                  </w:r>
                </w:p>
              </w:tc>
              <w:tc>
                <w:tcPr>
                  <w:tcW w:w="699" w:type="pct"/>
                  <w:noWrap w:val="0"/>
                  <w:vAlign w:val="center"/>
                </w:tcPr>
                <w:p>
                  <w:pPr>
                    <w:widowControl/>
                    <w:bidi w:val="0"/>
                    <w:adjustRightInd w:val="0"/>
                    <w:snapToGrid w:val="0"/>
                    <w:spacing w:line="240" w:lineRule="auto"/>
                    <w:ind w:right="0" w:firstLine="0" w:firstLineChars="0"/>
                    <w:jc w:val="cente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风险源</w:t>
                  </w:r>
                </w:p>
              </w:tc>
              <w:tc>
                <w:tcPr>
                  <w:tcW w:w="1084" w:type="pct"/>
                  <w:noWrap w:val="0"/>
                  <w:vAlign w:val="center"/>
                </w:tcPr>
                <w:p>
                  <w:pPr>
                    <w:widowControl/>
                    <w:bidi w:val="0"/>
                    <w:adjustRightInd w:val="0"/>
                    <w:snapToGrid w:val="0"/>
                    <w:spacing w:line="240" w:lineRule="auto"/>
                    <w:ind w:right="0" w:firstLine="0" w:firstLineChars="0"/>
                    <w:jc w:val="cente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主要危险物质</w:t>
                  </w:r>
                </w:p>
              </w:tc>
              <w:tc>
                <w:tcPr>
                  <w:tcW w:w="810" w:type="pct"/>
                  <w:noWrap w:val="0"/>
                  <w:vAlign w:val="center"/>
                </w:tcPr>
                <w:p>
                  <w:pPr>
                    <w:widowControl/>
                    <w:bidi w:val="0"/>
                    <w:adjustRightInd w:val="0"/>
                    <w:snapToGrid w:val="0"/>
                    <w:spacing w:line="240" w:lineRule="auto"/>
                    <w:ind w:right="0" w:firstLine="0" w:firstLineChars="0"/>
                    <w:jc w:val="cente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环境风险类型</w:t>
                  </w:r>
                </w:p>
              </w:tc>
              <w:tc>
                <w:tcPr>
                  <w:tcW w:w="1186" w:type="pct"/>
                  <w:noWrap w:val="0"/>
                  <w:vAlign w:val="center"/>
                </w:tcPr>
                <w:p>
                  <w:pPr>
                    <w:widowControl/>
                    <w:bidi w:val="0"/>
                    <w:adjustRightInd w:val="0"/>
                    <w:snapToGrid w:val="0"/>
                    <w:spacing w:line="240" w:lineRule="auto"/>
                    <w:ind w:right="0" w:firstLine="0" w:firstLineChars="0"/>
                    <w:jc w:val="cente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环境影响途径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268" w:type="pct"/>
                  <w:noWrap w:val="0"/>
                  <w:vAlign w:val="center"/>
                </w:tcPr>
                <w:p>
                  <w:pPr>
                    <w:widowControl/>
                    <w:bidi w:val="0"/>
                    <w:adjustRightInd w:val="0"/>
                    <w:snapToGrid w:val="0"/>
                    <w:spacing w:line="240" w:lineRule="auto"/>
                    <w:ind w:right="0" w:firstLine="0" w:firstLineChars="0"/>
                    <w:jc w:val="cente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1</w:t>
                  </w:r>
                </w:p>
              </w:tc>
              <w:tc>
                <w:tcPr>
                  <w:tcW w:w="949" w:type="pct"/>
                  <w:shd w:val="clear" w:color="auto" w:fill="auto"/>
                  <w:noWrap w:val="0"/>
                  <w:vAlign w:val="center"/>
                </w:tcPr>
                <w:p>
                  <w:pPr>
                    <w:widowControl/>
                    <w:bidi w:val="0"/>
                    <w:adjustRightInd w:val="0"/>
                    <w:snapToGrid w:val="0"/>
                    <w:spacing w:line="240" w:lineRule="auto"/>
                    <w:ind w:right="0" w:rightChars="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危险废物贮存库</w:t>
                  </w:r>
                </w:p>
              </w:tc>
              <w:tc>
                <w:tcPr>
                  <w:tcW w:w="699" w:type="pct"/>
                  <w:shd w:val="clear" w:color="auto" w:fill="auto"/>
                  <w:noWrap w:val="0"/>
                  <w:vAlign w:val="center"/>
                </w:tcPr>
                <w:p>
                  <w:pPr>
                    <w:widowControl/>
                    <w:bidi w:val="0"/>
                    <w:adjustRightInd w:val="0"/>
                    <w:snapToGrid w:val="0"/>
                    <w:spacing w:line="240" w:lineRule="auto"/>
                    <w:ind w:right="0" w:rightChars="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危险废物</w:t>
                  </w:r>
                </w:p>
              </w:tc>
              <w:tc>
                <w:tcPr>
                  <w:tcW w:w="1084" w:type="pct"/>
                  <w:shd w:val="clear" w:color="auto" w:fill="auto"/>
                  <w:noWrap w:val="0"/>
                  <w:vAlign w:val="center"/>
                </w:tcPr>
                <w:p>
                  <w:pPr>
                    <w:widowControl/>
                    <w:bidi w:val="0"/>
                    <w:adjustRightInd w:val="0"/>
                    <w:snapToGrid w:val="0"/>
                    <w:spacing w:line="240" w:lineRule="auto"/>
                    <w:ind w:right="0" w:rightChars="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废液压油</w:t>
                  </w:r>
                </w:p>
              </w:tc>
              <w:tc>
                <w:tcPr>
                  <w:tcW w:w="810" w:type="pct"/>
                  <w:shd w:val="clear" w:color="auto" w:fill="auto"/>
                  <w:noWrap w:val="0"/>
                  <w:vAlign w:val="center"/>
                </w:tcPr>
                <w:p>
                  <w:pPr>
                    <w:widowControl/>
                    <w:bidi w:val="0"/>
                    <w:adjustRightInd w:val="0"/>
                    <w:snapToGrid w:val="0"/>
                    <w:spacing w:line="240" w:lineRule="auto"/>
                    <w:ind w:right="0" w:firstLine="0" w:firstLineChars="0"/>
                    <w:jc w:val="cente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泄漏</w:t>
                  </w: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、火灾</w:t>
                  </w:r>
                </w:p>
              </w:tc>
              <w:tc>
                <w:tcPr>
                  <w:tcW w:w="1186" w:type="pct"/>
                  <w:shd w:val="clear" w:color="auto" w:fill="auto"/>
                  <w:noWrap w:val="0"/>
                  <w:vAlign w:val="center"/>
                </w:tcPr>
                <w:p>
                  <w:pPr>
                    <w:widowControl/>
                    <w:bidi w:val="0"/>
                    <w:adjustRightInd w:val="0"/>
                    <w:snapToGrid w:val="0"/>
                    <w:spacing w:line="240" w:lineRule="auto"/>
                    <w:ind w:right="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大气</w:t>
                  </w: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环境</w:t>
                  </w: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地下水环境、</w:t>
                  </w:r>
                  <w:r>
                    <w:rPr>
                      <w:rFonts w:ascii="Times New Roman" w:hAnsi="Times New Roman" w:eastAsia="宋体" w:cs="Times New Roman"/>
                      <w:color w:val="000000" w:themeColor="text1"/>
                      <w:kern w:val="0"/>
                      <w:sz w:val="21"/>
                      <w:szCs w:val="20"/>
                      <w:lang w:val="en-US" w:eastAsia="zh-CN" w:bidi="ar-SA"/>
                      <w14:textFill>
                        <w14:solidFill>
                          <w14:schemeClr w14:val="tx1"/>
                        </w14:solidFill>
                      </w14:textFill>
                    </w:rPr>
                    <w:t>土壤</w:t>
                  </w: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环境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c>
                <w:tcPr>
                  <w:tcW w:w="268" w:type="pct"/>
                  <w:noWrap w:val="0"/>
                  <w:vAlign w:val="center"/>
                </w:tcPr>
                <w:p>
                  <w:pPr>
                    <w:widowControl/>
                    <w:bidi w:val="0"/>
                    <w:adjustRightInd w:val="0"/>
                    <w:snapToGrid w:val="0"/>
                    <w:spacing w:line="240" w:lineRule="auto"/>
                    <w:ind w:right="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2</w:t>
                  </w:r>
                </w:p>
              </w:tc>
              <w:tc>
                <w:tcPr>
                  <w:tcW w:w="949" w:type="pct"/>
                  <w:shd w:val="clear" w:color="auto" w:fill="auto"/>
                  <w:noWrap w:val="0"/>
                  <w:vAlign w:val="center"/>
                </w:tcPr>
                <w:p>
                  <w:pPr>
                    <w:widowControl/>
                    <w:bidi w:val="0"/>
                    <w:adjustRightInd w:val="0"/>
                    <w:snapToGrid w:val="0"/>
                    <w:spacing w:line="240" w:lineRule="auto"/>
                    <w:ind w:right="0" w:rightChars="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库房</w:t>
                  </w:r>
                </w:p>
              </w:tc>
              <w:tc>
                <w:tcPr>
                  <w:tcW w:w="699" w:type="pct"/>
                  <w:shd w:val="clear" w:color="auto" w:fill="auto"/>
                  <w:noWrap w:val="0"/>
                  <w:vAlign w:val="center"/>
                </w:tcPr>
                <w:p>
                  <w:pPr>
                    <w:widowControl/>
                    <w:bidi w:val="0"/>
                    <w:adjustRightInd w:val="0"/>
                    <w:snapToGrid w:val="0"/>
                    <w:spacing w:line="240" w:lineRule="auto"/>
                    <w:ind w:right="0" w:rightChars="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双氧水</w:t>
                  </w:r>
                </w:p>
              </w:tc>
              <w:tc>
                <w:tcPr>
                  <w:tcW w:w="1084" w:type="pct"/>
                  <w:shd w:val="clear" w:color="auto" w:fill="auto"/>
                  <w:noWrap w:val="0"/>
                  <w:vAlign w:val="center"/>
                </w:tcPr>
                <w:p>
                  <w:pPr>
                    <w:widowControl/>
                    <w:bidi w:val="0"/>
                    <w:adjustRightInd w:val="0"/>
                    <w:snapToGrid w:val="0"/>
                    <w:spacing w:line="240" w:lineRule="auto"/>
                    <w:ind w:right="0" w:rightChars="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双氧水</w:t>
                  </w:r>
                </w:p>
              </w:tc>
              <w:tc>
                <w:tcPr>
                  <w:tcW w:w="810" w:type="pct"/>
                  <w:shd w:val="clear" w:color="auto" w:fill="auto"/>
                  <w:noWrap w:val="0"/>
                  <w:vAlign w:val="center"/>
                </w:tcPr>
                <w:p>
                  <w:pPr>
                    <w:widowControl/>
                    <w:bidi w:val="0"/>
                    <w:adjustRightInd w:val="0"/>
                    <w:snapToGrid w:val="0"/>
                    <w:spacing w:line="240" w:lineRule="auto"/>
                    <w:ind w:right="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泄漏</w:t>
                  </w:r>
                </w:p>
              </w:tc>
              <w:tc>
                <w:tcPr>
                  <w:tcW w:w="1186" w:type="pct"/>
                  <w:shd w:val="clear" w:color="auto" w:fill="auto"/>
                  <w:noWrap w:val="0"/>
                  <w:vAlign w:val="center"/>
                </w:tcPr>
                <w:p>
                  <w:pPr>
                    <w:widowControl/>
                    <w:bidi w:val="0"/>
                    <w:adjustRightInd w:val="0"/>
                    <w:snapToGrid w:val="0"/>
                    <w:spacing w:line="240" w:lineRule="auto"/>
                    <w:ind w:right="0" w:firstLine="0" w:firstLineChars="0"/>
                    <w:jc w:val="center"/>
                    <w:rPr>
                      <w:rFonts w:hint="default" w:ascii="Times New Roman" w:hAnsi="Times New Roman" w:eastAsia="宋体" w:cs="Times New Roman"/>
                      <w:color w:val="000000" w:themeColor="text1"/>
                      <w:kern w:val="0"/>
                      <w:sz w:val="21"/>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0"/>
                      <w:lang w:val="en-US" w:eastAsia="zh-CN" w:bidi="ar-SA"/>
                      <w14:textFill>
                        <w14:solidFill>
                          <w14:schemeClr w14:val="tx1"/>
                        </w14:solidFill>
                      </w14:textFill>
                    </w:rPr>
                    <w:t>土壤环境</w:t>
                  </w:r>
                </w:p>
              </w:tc>
            </w:tr>
          </w:tbl>
          <w:p>
            <w:pPr>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firstLine="482" w:firstLineChars="200"/>
              <w:jc w:val="both"/>
              <w:textAlignment w:val="auto"/>
              <w:outlineLvl w:val="2"/>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6.3环境风险分析</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本项目主要环境风险为</w:t>
            </w:r>
            <w:r>
              <w:rPr>
                <w:rFonts w:hint="eastAsia" w:ascii="Times New Roman" w:hAnsi="Times New Roman" w:eastAsia="宋体" w:cs="Times New Roman"/>
                <w:color w:val="000000" w:themeColor="text1"/>
                <w:sz w:val="24"/>
                <w:lang w:val="en-US" w:eastAsia="zh-CN"/>
                <w14:textFill>
                  <w14:solidFill>
                    <w14:schemeClr w14:val="tx1"/>
                  </w14:solidFill>
                </w14:textFill>
              </w:rPr>
              <w:t>危险物质泄漏</w:t>
            </w:r>
            <w:r>
              <w:rPr>
                <w:rFonts w:hint="eastAsia" w:ascii="Times New Roman" w:hAnsi="Times New Roman" w:eastAsia="宋体" w:cs="Times New Roman"/>
                <w:color w:val="000000" w:themeColor="text1"/>
                <w:sz w:val="24"/>
                <w:lang w:eastAsia="zh-CN"/>
                <w14:textFill>
                  <w14:solidFill>
                    <w14:schemeClr w14:val="tx1"/>
                  </w14:solidFill>
                </w14:textFill>
              </w:rPr>
              <w:t>、火灾爆炸。</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）泄漏事故</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项目生产过程中涉及的危险品为油类物质。当废</w:t>
            </w:r>
            <w:r>
              <w:rPr>
                <w:rFonts w:hint="eastAsia" w:ascii="Times New Roman" w:hAnsi="Times New Roman" w:eastAsia="宋体" w:cs="Times New Roman"/>
                <w:color w:val="000000" w:themeColor="text1"/>
                <w:sz w:val="24"/>
                <w:lang w:val="en-US" w:eastAsia="zh-CN"/>
                <w14:textFill>
                  <w14:solidFill>
                    <w14:schemeClr w14:val="tx1"/>
                  </w14:solidFill>
                </w14:textFill>
              </w:rPr>
              <w:t>机</w:t>
            </w:r>
            <w:r>
              <w:rPr>
                <w:rFonts w:hint="eastAsia" w:ascii="Times New Roman" w:hAnsi="Times New Roman" w:eastAsia="宋体" w:cs="Times New Roman"/>
                <w:color w:val="000000" w:themeColor="text1"/>
                <w:sz w:val="24"/>
                <w:lang w:eastAsia="zh-CN"/>
                <w14:textFill>
                  <w14:solidFill>
                    <w14:schemeClr w14:val="tx1"/>
                  </w14:solidFill>
                </w14:textFill>
              </w:rPr>
              <w:t>油发生泄漏，进入外环境，首先会对土壤造成污染。对水环境的影响主要是</w:t>
            </w:r>
            <w:r>
              <w:rPr>
                <w:rFonts w:hint="eastAsia" w:ascii="Times New Roman" w:hAnsi="Times New Roman" w:eastAsia="宋体" w:cs="Times New Roman"/>
                <w:color w:val="000000" w:themeColor="text1"/>
                <w:sz w:val="24"/>
                <w:lang w:val="en-US" w:eastAsia="zh-CN"/>
                <w14:textFill>
                  <w14:solidFill>
                    <w14:schemeClr w14:val="tx1"/>
                  </w14:solidFill>
                </w14:textFill>
              </w:rPr>
              <w:t>危险废物</w:t>
            </w:r>
            <w:r>
              <w:rPr>
                <w:rFonts w:hint="eastAsia" w:ascii="Times New Roman" w:hAnsi="Times New Roman" w:eastAsia="宋体" w:cs="Times New Roman"/>
                <w:color w:val="000000" w:themeColor="text1"/>
                <w:sz w:val="24"/>
                <w:lang w:eastAsia="zh-CN"/>
                <w14:textFill>
                  <w14:solidFill>
                    <w14:schemeClr w14:val="tx1"/>
                  </w14:solidFill>
                </w14:textFill>
              </w:rPr>
              <w:t>泄漏通过地面或裸露的土壤渗入地下，进而污染地下水。受污染的土壤不仅会造成植物的死亡。综上所述，一旦发生油类物质</w:t>
            </w:r>
            <w:r>
              <w:rPr>
                <w:rFonts w:hint="eastAsia" w:ascii="Times New Roman" w:hAnsi="Times New Roman" w:eastAsia="宋体" w:cs="Times New Roman"/>
                <w:color w:val="000000" w:themeColor="text1"/>
                <w:sz w:val="24"/>
                <w:lang w:val="en-US" w:eastAsia="zh-CN"/>
                <w14:textFill>
                  <w14:solidFill>
                    <w14:schemeClr w14:val="tx1"/>
                  </w14:solidFill>
                </w14:textFill>
              </w:rPr>
              <w:t>泄漏，</w:t>
            </w:r>
            <w:r>
              <w:rPr>
                <w:rFonts w:hint="eastAsia" w:ascii="Times New Roman" w:hAnsi="Times New Roman" w:eastAsia="宋体" w:cs="Times New Roman"/>
                <w:color w:val="000000" w:themeColor="text1"/>
                <w:sz w:val="24"/>
                <w:lang w:eastAsia="zh-CN"/>
                <w14:textFill>
                  <w14:solidFill>
                    <w14:schemeClr w14:val="tx1"/>
                  </w14:solidFill>
                </w14:textFill>
              </w:rPr>
              <w:t>尽管污染源得到及时控制，但进入土壤以及含水层的自净降解将是一个长期的过程，尤其达到地下水的完全恢复需要几十年甚至上百年的时间。</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）火灾爆炸事故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由于</w:t>
            </w:r>
            <w:r>
              <w:rPr>
                <w:rFonts w:hint="eastAsia" w:ascii="Times New Roman" w:hAnsi="Times New Roman" w:eastAsia="宋体" w:cs="Times New Roman"/>
                <w:color w:val="000000" w:themeColor="text1"/>
                <w:sz w:val="24"/>
                <w:lang w:val="en-US" w:eastAsia="zh-CN"/>
                <w14:textFill>
                  <w14:solidFill>
                    <w14:schemeClr w14:val="tx1"/>
                  </w14:solidFill>
                </w14:textFill>
              </w:rPr>
              <w:t>废机油</w:t>
            </w:r>
            <w:r>
              <w:rPr>
                <w:rFonts w:hint="eastAsia" w:ascii="Times New Roman" w:hAnsi="Times New Roman" w:eastAsia="宋体" w:cs="Times New Roman"/>
                <w:color w:val="000000" w:themeColor="text1"/>
                <w:sz w:val="24"/>
                <w:lang w:eastAsia="zh-CN"/>
                <w14:textFill>
                  <w14:solidFill>
                    <w14:schemeClr w14:val="tx1"/>
                  </w14:solidFill>
                </w14:textFill>
              </w:rPr>
              <w:t>具有易燃的危险特性，决定了</w:t>
            </w:r>
            <w:r>
              <w:rPr>
                <w:rFonts w:hint="eastAsia" w:ascii="Times New Roman" w:hAnsi="Times New Roman" w:eastAsia="宋体" w:cs="Times New Roman"/>
                <w:color w:val="000000" w:themeColor="text1"/>
                <w:sz w:val="24"/>
                <w:lang w:val="en-US" w:eastAsia="zh-CN"/>
                <w14:textFill>
                  <w14:solidFill>
                    <w14:schemeClr w14:val="tx1"/>
                  </w14:solidFill>
                </w14:textFill>
              </w:rPr>
              <w:t>废机油</w:t>
            </w:r>
            <w:r>
              <w:rPr>
                <w:rFonts w:hint="eastAsia" w:ascii="Times New Roman" w:hAnsi="Times New Roman" w:eastAsia="宋体" w:cs="Times New Roman"/>
                <w:color w:val="000000" w:themeColor="text1"/>
                <w:sz w:val="24"/>
                <w:lang w:eastAsia="zh-CN"/>
                <w14:textFill>
                  <w14:solidFill>
                    <w14:schemeClr w14:val="tx1"/>
                  </w14:solidFill>
                </w14:textFill>
              </w:rPr>
              <w:t>是火灾爆炸事故的危险源。如果在其储存场所有火源存在，就可能造成火灾爆炸事故的发生，因此在生产管理中应重视火源的诱发因素。</w:t>
            </w:r>
          </w:p>
          <w:p>
            <w:pPr>
              <w:keepNext/>
              <w:keepLines/>
              <w:pageBreakBefore w:val="0"/>
              <w:widowControl w:val="0"/>
              <w:numPr>
                <w:ilvl w:val="2"/>
                <w:numId w:val="0"/>
              </w:numPr>
              <w:kinsoku/>
              <w:wordWrap/>
              <w:overflowPunct/>
              <w:topLinePunct w:val="0"/>
              <w:autoSpaceDE/>
              <w:autoSpaceDN/>
              <w:bidi w:val="0"/>
              <w:adjustRightInd w:val="0"/>
              <w:snapToGrid w:val="0"/>
              <w:spacing w:line="360" w:lineRule="auto"/>
              <w:ind w:left="0" w:firstLine="482" w:firstLineChars="200"/>
              <w:jc w:val="both"/>
              <w:textAlignment w:val="auto"/>
              <w:outlineLvl w:val="2"/>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32"/>
                <w:lang w:val="en-US" w:eastAsia="zh-CN" w:bidi="ar-SA"/>
                <w14:textFill>
                  <w14:solidFill>
                    <w14:schemeClr w14:val="tx1"/>
                  </w14:solidFill>
                </w14:textFill>
              </w:rPr>
              <w:t>6.4风险环境措施</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）制定值班制度，安排指定值班人员检查，防止风险物质发生泄漏；</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eastAsia="zh-CN"/>
                <w14:textFill>
                  <w14:solidFill>
                    <w14:schemeClr w14:val="tx1"/>
                  </w14:solidFill>
                </w14:textFill>
              </w:rPr>
              <w:t>）制定应急监测方案，可与有监测资质的单位签订委托监测协议；</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）编写应急预案，设置必要的应急物资，包括：应急通讯、清理收集泄漏物质的铲子、吸油泵、消防砂、灭火器、收集桶、劳保用品等，</w:t>
            </w:r>
            <w:r>
              <w:rPr>
                <w:rFonts w:ascii="Times New Roman" w:hAnsi="Times New Roman" w:eastAsia="宋体" w:cs="Times New Roman"/>
                <w:color w:val="000000" w:themeColor="text1"/>
                <w:sz w:val="24"/>
                <w14:textFill>
                  <w14:solidFill>
                    <w14:schemeClr w14:val="tx1"/>
                  </w14:solidFill>
                </w14:textFill>
              </w:rPr>
              <w:t>配备足够数量的应急物资</w:t>
            </w:r>
            <w:r>
              <w:rPr>
                <w:rFonts w:hint="eastAsia" w:ascii="Times New Roman" w:hAnsi="Times New Roman" w:eastAsia="宋体" w:cs="Times New Roman"/>
                <w:color w:val="000000" w:themeColor="text1"/>
                <w:sz w:val="24"/>
                <w:lang w:eastAsia="zh-CN"/>
                <w14:textFill>
                  <w14:solidFill>
                    <w14:schemeClr w14:val="tx1"/>
                  </w14:solidFill>
                </w14:textFill>
              </w:rPr>
              <w:t>；</w:t>
            </w:r>
          </w:p>
          <w:p>
            <w:pPr>
              <w:bidi w:val="0"/>
              <w:adjustRightInd w:val="0"/>
              <w:snapToGrid w:val="0"/>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建立安全责任制，制定安全规章制度、安全操作规程。风险收集过程中必须有全套切实可行的安全操作规程，有专人负责检查安全操作规程的执行、安全设备及防护设备的使用情况；</w:t>
            </w:r>
            <w:r>
              <w:rPr>
                <w:rFonts w:hint="default" w:ascii="Times New Roman" w:hAnsi="Times New Roman" w:eastAsia="宋体" w:cs="Times New Roman"/>
                <w:color w:val="000000" w:themeColor="text1"/>
                <w:sz w:val="24"/>
                <w:lang w:val="en-US" w:eastAsia="zh-CN"/>
                <w14:textFill>
                  <w14:solidFill>
                    <w14:schemeClr w14:val="tx1"/>
                  </w14:solidFill>
                </w14:textFill>
              </w:rPr>
              <w:t>并且设置火灾自动报警系统，一旦发生火灾能够及时采取措施</w:t>
            </w:r>
            <w:r>
              <w:rPr>
                <w:rFonts w:hint="eastAsia" w:ascii="Times New Roman" w:hAnsi="Times New Roman" w:eastAsia="宋体" w:cs="Times New Roman"/>
                <w:color w:val="000000" w:themeColor="text1"/>
                <w:sz w:val="24"/>
                <w:lang w:val="en-US" w:eastAsia="zh-CN"/>
                <w14:textFill>
                  <w14:solidFill>
                    <w14:schemeClr w14:val="tx1"/>
                  </w14:solidFill>
                </w14:textFill>
              </w:rPr>
              <w:t>；危险废物收集现场禁止吸烟、进食、饮水；危险废物收集完毕，应洗澡换衣；单独存放被危险废物污染的衣服，洗后备用；配备急救设备和药品；作业人员应学会自救和互救。</w:t>
            </w:r>
          </w:p>
          <w:p>
            <w:pPr>
              <w:bidi w:val="0"/>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（5）危险废物贮存库设置围堰</w:t>
            </w:r>
            <w:r>
              <w:rPr>
                <w:rFonts w:hint="default" w:ascii="Times New Roman" w:hAnsi="Times New Roman" w:eastAsia="宋体" w:cs="Times New Roman"/>
                <w:color w:val="000000" w:themeColor="text1"/>
                <w:sz w:val="24"/>
                <w:lang w:val="en-US" w:eastAsia="zh-CN"/>
                <w14:textFill>
                  <w14:solidFill>
                    <w14:schemeClr w14:val="tx1"/>
                  </w14:solidFill>
                </w14:textFill>
              </w:rPr>
              <w:t>，用于事故状况下危险废物的泄漏液体收集，以免事故状态下污染周围的土壤和地下水环境。</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（6）对在岗工人及邻近有关人员进行普及性自我救护教育，一旦发生事故迅速进行自我救护，同时还要加强防护器材的维修保养，保证器材处于备用状态。</w:t>
            </w:r>
            <w:r>
              <w:rPr>
                <w:rFonts w:ascii="Times New Roman" w:hAnsi="Times New Roman" w:eastAsia="宋体" w:cs="Times New Roman"/>
                <w:color w:val="000000" w:themeColor="text1"/>
                <w:sz w:val="24"/>
                <w14:textFill>
                  <w14:solidFill>
                    <w14:schemeClr w14:val="tx1"/>
                  </w14:solidFill>
                </w14:textFill>
              </w:rPr>
              <w:t xml:space="preserve"> </w:t>
            </w: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pPr>
            <w:r>
              <w:rPr>
                <w:rFonts w:hint="eastAsia" w:cs="Times New Roman"/>
                <w:b/>
                <w:bCs/>
                <w:smallCaps w:val="0"/>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14:textFill>
                  <w14:solidFill>
                    <w14:schemeClr w14:val="tx1"/>
                  </w14:solidFill>
                </w14:textFill>
              </w:rPr>
              <w:t>排污许可制度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根据《固定污染源排污许可分类管理名录（2019年版）》（环境保护部令第11号），本项目属于“四十五、生态保护和环境治理业77-- 103.环境治理业772--专业从事危险废物贮存、利用、处理处置（含焚烧发电）的，专业从事一般工业固体废物贮存、处置（含焚烧发电）的”中实施重点管理。本项目应当在启动生产设施或者发生实际排污之前，尽快申请排污许可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建设单位在申请排污许可证前，应当将主要申请内容，包括排污单位基本信息、拟申请的许可事项、产排污环节、污染防治措施，通过国家排污许可证管理信息平台或者其他规定途径等便于公众知晓的方式向社会公开。建设单位对排污许可证申请材料的真实性、合法性、完整性负法律责任；承诺按照排污许可证的规定排污并严格执行；按照相关标准规范开展自行监测、台账记录；按时提交执行报告并及时公开相关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在取得的排污许可证中，载明批准的环境影响报告表中各项环境保护措施、污染物排放清单等的执行情况及其他有关内容，实施排污许可申报并按证排污。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14:textFill>
                  <w14:solidFill>
                    <w14:schemeClr w14:val="tx1"/>
                  </w14:solidFill>
                </w14:textFill>
              </w:rPr>
              <w:t>建设单位应落实污染物排放控制措施和其他各项环境管理要求，确保污染物排放种类、浓度和排放量等达到许可要求，不断提高污染治理和环境管理水平，自觉接受监督检查。</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业固体废物和危险废物治理排污单位在申请排污许可证时，在《排污许可证申请表》中明确环境管理台账记录要求。有核发权的地方生态环境主管部门可以依据法律法规、标准规范增加和加严记录要求。排污单位也可自行增加和加严记录要求。排污单位应建立环境管理台账制度，落实环境管理台账记录的责任部门和责任人，明确工作职责，包括台账的记录、整理、维护和管理等。为实现台账便于携带、作为许可证执行情况佐证并长时间储存的目的以及导出原始数据加工分析、综合判断运行情况的功能，台账应当按照电子化储存和纸质储存两种形式同步管理。</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一般工业固体废物贮存、处置排污单位，应满足 GB18599、HJ2035 等标准中关于台账记录和报告的要求。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记录内容包括：基本信息、接收固体废物信息、生产设施运行管理信息、污染防治设施运行管理信息、监测记录信息及其他环境管理信息等。生产设施、污染防治设施、排放口编码应与排污许可证副本中载明的编码一致。</w:t>
            </w:r>
          </w:p>
          <w:p>
            <w:pPr>
              <w:pStyle w:val="35"/>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环境管理</w:t>
            </w:r>
          </w:p>
          <w:p>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4"/>
                <w:szCs w:val="24"/>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.1环境管理机构设置</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cs="Times New Roman"/>
                <w:smallCaps w:val="0"/>
                <w:color w:val="000000" w:themeColor="text1"/>
                <w:spacing w:val="0"/>
                <w:w w:val="100"/>
                <w:kern w:val="0"/>
                <w:position w:val="0"/>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实行总经理负责制，管理机构设综合办公室、生产技术部、安全环保科等， 安全环保科设环保管理人员。环境管理机构在管理中应担当的主要工作职责</w:t>
            </w:r>
            <w:r>
              <w:rPr>
                <w:rFonts w:hint="default"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t>见表</w:t>
            </w:r>
            <w:r>
              <w:rPr>
                <w:rFonts w:hint="default" w:ascii="Times New Roman" w:hAnsi="Times New Roman" w:eastAsia="宋体" w:cs="Times New Roman"/>
                <w:smallCaps w:val="0"/>
                <w:color w:val="000000" w:themeColor="text1"/>
                <w:spacing w:val="0"/>
                <w:w w:val="100"/>
                <w:kern w:val="0"/>
                <w:position w:val="0"/>
                <w:sz w:val="24"/>
                <w:szCs w:val="24"/>
                <w:highlight w:val="none"/>
                <w:lang w:val="en-US" w:eastAsia="zh-CN"/>
                <w14:textFill>
                  <w14:solidFill>
                    <w14:schemeClr w14:val="tx1"/>
                  </w14:solidFill>
                </w14:textFill>
              </w:rPr>
              <w:t>4-1</w:t>
            </w:r>
            <w:r>
              <w:rPr>
                <w:rFonts w:hint="eastAsia" w:ascii="Times New Roman" w:hAnsi="Times New Roman" w:cs="Times New Roman"/>
                <w:smallCaps w:val="0"/>
                <w:color w:val="000000" w:themeColor="text1"/>
                <w:spacing w:val="0"/>
                <w:w w:val="100"/>
                <w:kern w:val="0"/>
                <w:position w:val="0"/>
                <w:sz w:val="24"/>
                <w:szCs w:val="24"/>
                <w:highlight w:val="none"/>
                <w:lang w:val="en-US" w:eastAsia="zh-CN"/>
                <w14:textFill>
                  <w14:solidFill>
                    <w14:schemeClr w14:val="tx1"/>
                  </w14:solidFill>
                </w14:textFill>
              </w:rPr>
              <w:t>6</w:t>
            </w:r>
            <w:r>
              <w:rPr>
                <w:rFonts w:hint="default" w:ascii="Times New Roman" w:hAnsi="Times New Roman" w:eastAsia="宋体" w:cs="Times New Roman"/>
                <w:smallCaps w:val="0"/>
                <w:color w:val="000000" w:themeColor="text1"/>
                <w:spacing w:val="0"/>
                <w:w w:val="100"/>
                <w:kern w:val="0"/>
                <w:position w:val="0"/>
                <w:sz w:val="24"/>
                <w:szCs w:val="24"/>
                <w:highlight w:val="none"/>
                <w:lang w:val="en-US" w:eastAsia="zh-CN"/>
                <w14:textFill>
                  <w14:solidFill>
                    <w14:schemeClr w14:val="tx1"/>
                  </w14:solidFill>
                </w14:textFill>
              </w:rPr>
              <w:t>。</w:t>
            </w:r>
            <w:r>
              <w:rPr>
                <w:rFonts w:hint="default" w:ascii="Times New Roman" w:hAnsi="Times New Roman" w:cs="Times New Roman"/>
                <w:smallCaps w:val="0"/>
                <w:color w:val="000000" w:themeColor="text1"/>
                <w:spacing w:val="0"/>
                <w:w w:val="100"/>
                <w:kern w:val="0"/>
                <w:position w:val="0"/>
                <w:highlight w:val="none"/>
                <w14:textFill>
                  <w14:solidFill>
                    <w14:schemeClr w14:val="tx1"/>
                  </w14:solidFill>
                </w14:textFill>
              </w:rPr>
              <w:br w:type="page"/>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240" w:lineRule="auto"/>
              <w:ind w:left="0" w:right="0" w:firstLine="422" w:firstLineChars="200"/>
              <w:jc w:val="both"/>
              <w:textAlignment w:val="auto"/>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bCs/>
                <w:smallCaps w:val="0"/>
                <w:color w:val="000000" w:themeColor="text1"/>
                <w:spacing w:val="0"/>
                <w:w w:val="100"/>
                <w:kern w:val="0"/>
                <w:position w:val="0"/>
                <w:sz w:val="21"/>
                <w:szCs w:val="21"/>
                <w:highlight w:val="none"/>
                <w14:textFill>
                  <w14:solidFill>
                    <w14:schemeClr w14:val="tx1"/>
                  </w14:solidFill>
                </w14:textFill>
              </w:rPr>
              <w:t>表</w:t>
            </w:r>
            <w:r>
              <w:rPr>
                <w:rFonts w:hint="default" w:ascii="Times New Roman" w:hAnsi="Times New Roman" w:eastAsia="宋体" w:cs="Times New Roman"/>
                <w:b/>
                <w:bCs/>
                <w:smallCaps w:val="0"/>
                <w:color w:val="000000" w:themeColor="text1"/>
                <w:spacing w:val="0"/>
                <w:w w:val="100"/>
                <w:kern w:val="0"/>
                <w:position w:val="0"/>
                <w:sz w:val="21"/>
                <w:szCs w:val="21"/>
                <w:highlight w:val="none"/>
                <w:lang w:val="en-US" w:eastAsia="zh-CN" w:bidi="en-US"/>
                <w14:textFill>
                  <w14:solidFill>
                    <w14:schemeClr w14:val="tx1"/>
                  </w14:solidFill>
                </w14:textFill>
              </w:rPr>
              <w:t>4-1</w:t>
            </w:r>
            <w:r>
              <w:rPr>
                <w:rFonts w:hint="eastAsia" w:ascii="Times New Roman" w:hAnsi="Times New Roman" w:cs="Times New Roman"/>
                <w:b/>
                <w:bCs/>
                <w:smallCaps w:val="0"/>
                <w:color w:val="000000" w:themeColor="text1"/>
                <w:spacing w:val="0"/>
                <w:w w:val="100"/>
                <w:kern w:val="0"/>
                <w:position w:val="0"/>
                <w:sz w:val="21"/>
                <w:szCs w:val="21"/>
                <w:highlight w:val="none"/>
                <w:lang w:val="en-US" w:eastAsia="zh-CN" w:bidi="en-US"/>
                <w14:textFill>
                  <w14:solidFill>
                    <w14:schemeClr w14:val="tx1"/>
                  </w14:solidFill>
                </w14:textFill>
              </w:rPr>
              <w:t xml:space="preserve">6              </w:t>
            </w:r>
            <w:r>
              <w:rPr>
                <w:rFonts w:hint="default" w:ascii="Times New Roman" w:hAnsi="Times New Roman" w:eastAsia="宋体" w:cs="Times New Roman"/>
                <w:b/>
                <w:bCs/>
                <w:smallCaps w:val="0"/>
                <w:color w:val="000000" w:themeColor="text1"/>
                <w:spacing w:val="0"/>
                <w:w w:val="100"/>
                <w:kern w:val="0"/>
                <w:position w:val="0"/>
                <w:sz w:val="21"/>
                <w:szCs w:val="21"/>
                <w:highlight w:val="none"/>
                <w:lang w:val="en-US" w:eastAsia="en-US" w:bidi="en-US"/>
                <w14:textFill>
                  <w14:solidFill>
                    <w14:schemeClr w14:val="tx1"/>
                  </w14:solidFill>
                </w14:textFill>
              </w:rPr>
              <w:t xml:space="preserve"> </w:t>
            </w:r>
            <w:r>
              <w:rPr>
                <w:rFonts w:hint="default" w:ascii="Times New Roman" w:hAnsi="Times New Roman" w:eastAsia="宋体" w:cs="Times New Roman"/>
                <w:b/>
                <w:bCs/>
                <w:smallCaps w:val="0"/>
                <w:color w:val="000000" w:themeColor="text1"/>
                <w:spacing w:val="0"/>
                <w:w w:val="100"/>
                <w:kern w:val="0"/>
                <w:position w:val="0"/>
                <w:sz w:val="21"/>
                <w:szCs w:val="21"/>
                <w:highlight w:val="none"/>
                <w14:textFill>
                  <w14:solidFill>
                    <w14:schemeClr w14:val="tx1"/>
                  </w14:solidFill>
                </w14:textFill>
              </w:rPr>
              <w:t>环境管理机构的主要工作职责</w:t>
            </w:r>
          </w:p>
          <w:tbl>
            <w:tblPr>
              <w:tblStyle w:val="48"/>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871"/>
              <w:gridCol w:w="7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4" w:hRule="exact"/>
                <w:tblHeader/>
                <w:jc w:val="center"/>
              </w:trPr>
              <w:tc>
                <w:tcPr>
                  <w:tcW w:w="519" w:type="pct"/>
                  <w:tcBorders>
                    <w:tl2br w:val="nil"/>
                    <w:tr2bl w:val="nil"/>
                  </w:tcBorders>
                  <w:noWrap w:val="0"/>
                  <w:vAlign w:val="center"/>
                </w:tcPr>
                <w:p>
                  <w:pPr>
                    <w:pStyle w:val="316"/>
                    <w:keepNext w:val="0"/>
                    <w:keepLines w:val="0"/>
                    <w:pageBreakBefore w:val="0"/>
                    <w:widowControl w:val="0"/>
                    <w:shd w:val="clear" w:color="auto" w:fill="auto"/>
                    <w:wordWrap/>
                    <w:overflowPunct/>
                    <w:bidi w:val="0"/>
                    <w:adjustRightInd w:val="0"/>
                    <w:snapToGrid w:val="0"/>
                    <w:spacing w:line="240" w:lineRule="auto"/>
                    <w:ind w:left="0" w:right="0" w:firstLine="0"/>
                    <w:jc w:val="center"/>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实施部门</w:t>
                  </w:r>
                </w:p>
              </w:tc>
              <w:tc>
                <w:tcPr>
                  <w:tcW w:w="4480" w:type="pct"/>
                  <w:tcBorders>
                    <w:tl2br w:val="nil"/>
                    <w:tr2bl w:val="nil"/>
                  </w:tcBorders>
                  <w:noWrap w:val="0"/>
                  <w:vAlign w:val="center"/>
                </w:tcPr>
                <w:p>
                  <w:pPr>
                    <w:pStyle w:val="316"/>
                    <w:keepNext w:val="0"/>
                    <w:keepLines w:val="0"/>
                    <w:pageBreakBefore w:val="0"/>
                    <w:widowControl w:val="0"/>
                    <w:shd w:val="clear" w:color="auto" w:fill="auto"/>
                    <w:wordWrap/>
                    <w:overflowPunct/>
                    <w:bidi w:val="0"/>
                    <w:adjustRightInd w:val="0"/>
                    <w:snapToGrid w:val="0"/>
                    <w:spacing w:line="240" w:lineRule="auto"/>
                    <w:ind w:left="0" w:right="0" w:firstLine="0"/>
                    <w:jc w:val="center"/>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主要工作职责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86" w:hRule="exact"/>
                <w:jc w:val="center"/>
              </w:trPr>
              <w:tc>
                <w:tcPr>
                  <w:tcW w:w="519" w:type="pct"/>
                  <w:vMerge w:val="restar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新疆睿清能源科技有限公司</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环境管理机构</w:t>
                  </w: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eastAsia="宋体" w:cs="Times New Roman"/>
                      <w:smallCaps w:val="0"/>
                      <w:color w:val="000000" w:themeColor="text1"/>
                      <w:spacing w:val="0"/>
                      <w:kern w:val="0"/>
                      <w:position w:val="0"/>
                      <w:sz w:val="19"/>
                      <w:szCs w:val="19"/>
                      <w:highlight w:val="none"/>
                      <w:lang w:eastAsia="zh-CN"/>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lang w:val="en-US" w:eastAsia="en-US" w:bidi="en-US"/>
                      <w14:textFill>
                        <w14:solidFill>
                          <w14:schemeClr w14:val="tx1"/>
                        </w14:solidFill>
                      </w14:textFill>
                    </w:rPr>
                    <w:t>1.</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贯彻执行《中华人民共和国环境保护法》及其相关</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法律法规</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，按国家的环保政策、环境标准及环境监测要求，制定环境管理规章制度，并监督执行；明确各部门、各生产区环保职责，监督、检查各产物环节污染防治措施落实及环保设施运行情况</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61"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2</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编制制定环保管理制度、年度实施计划和长远环保规划，并监督贯彻执行；掌握本企业各污染源治理措施工艺、设备、运行及维护等资料，掌握废物综合利用情况，建立污染控制管理档案；制定生产过程中各项污染物排放指标以及环保设施的运行参数，并定期考核统计</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39"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3</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.组织、配合有资质的环境监测部门开展污染源监测，组织对工程进行竣工验收</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92"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4</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.推广应用先进的环保技术和经验，组织开展环保专业技术培训，搞好环境保护的宣传工作，提高全厂人员的环境保护意识</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7"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5</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.监督厂区环保设施的安装、调试等工作，坚持</w:t>
                  </w:r>
                  <w:r>
                    <w:rPr>
                      <w:rFonts w:hint="default" w:ascii="Times New Roman" w:hAnsi="Times New Roman" w:cs="Times New Roman"/>
                      <w:smallCaps w:val="0"/>
                      <w:color w:val="000000" w:themeColor="text1"/>
                      <w:spacing w:val="0"/>
                      <w:w w:val="100"/>
                      <w:kern w:val="0"/>
                      <w:position w:val="0"/>
                      <w:sz w:val="19"/>
                      <w:szCs w:val="19"/>
                      <w:highlight w:val="none"/>
                      <w:lang w:val="zh-CN" w:eastAsia="zh-CN" w:bidi="zh-CN"/>
                      <w14:textFill>
                        <w14:solidFill>
                          <w14:schemeClr w14:val="tx1"/>
                        </w14:solidFill>
                      </w14:textFill>
                    </w:rPr>
                    <w:t>“三</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同时”原则，保证环保设施的设计、施工、运行与主体工程同时进行</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0"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6</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.对可能造成的环境污染及时向上级汇报并提出防治、应急措施</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35"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7</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.参加本厂环保设施工程质量的</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检查</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、竣工验收以及污染事故的调查</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41"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8</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.每季度对全厂各环保设施运行情况进行全面检查</w:t>
                  </w:r>
                  <w:r>
                    <w:rPr>
                      <w:rFonts w:hint="default" w:ascii="Times New Roman" w:hAnsi="Times New Roman" w:cs="Times New Roman"/>
                      <w:smallCaps w:val="0"/>
                      <w:color w:val="000000" w:themeColor="text1"/>
                      <w:spacing w:val="0"/>
                      <w:w w:val="100"/>
                      <w:kern w:val="0"/>
                      <w:position w:val="0"/>
                      <w:sz w:val="19"/>
                      <w:szCs w:val="19"/>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65" w:hRule="exact"/>
                <w:jc w:val="center"/>
              </w:trPr>
              <w:tc>
                <w:tcPr>
                  <w:tcW w:w="51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p>
              </w:tc>
              <w:tc>
                <w:tcPr>
                  <w:tcW w:w="4480" w:type="pct"/>
                  <w:tcBorders>
                    <w:tl2br w:val="nil"/>
                    <w:tr2bl w:val="nil"/>
                  </w:tcBorders>
                  <w:noWrap w:val="0"/>
                  <w:vAlign w:val="center"/>
                </w:tcPr>
                <w:p>
                  <w:pPr>
                    <w:pStyle w:val="316"/>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400" w:firstLineChars="200"/>
                    <w:jc w:val="left"/>
                    <w:textAlignment w:val="auto"/>
                    <w:rPr>
                      <w:rFonts w:hint="default" w:ascii="Times New Roman" w:hAnsi="Times New Roman" w:cs="Times New Roman"/>
                      <w:smallCaps w:val="0"/>
                      <w:color w:val="000000" w:themeColor="text1"/>
                      <w:spacing w:val="0"/>
                      <w:kern w:val="0"/>
                      <w:position w:val="0"/>
                      <w:sz w:val="19"/>
                      <w:szCs w:val="19"/>
                      <w:highlight w:val="none"/>
                      <w14:textFill>
                        <w14:solidFill>
                          <w14:schemeClr w14:val="tx1"/>
                        </w14:solidFill>
                      </w14:textFill>
                    </w:rPr>
                  </w:pPr>
                  <w:r>
                    <w:rPr>
                      <w:rFonts w:hint="default" w:ascii="Times New Roman" w:hAnsi="Times New Roman" w:eastAsia="Times New Roman" w:cs="Times New Roman"/>
                      <w:smallCaps w:val="0"/>
                      <w:color w:val="000000" w:themeColor="text1"/>
                      <w:spacing w:val="0"/>
                      <w:w w:val="100"/>
                      <w:kern w:val="0"/>
                      <w:position w:val="0"/>
                      <w:sz w:val="20"/>
                      <w:szCs w:val="20"/>
                      <w:highlight w:val="none"/>
                      <w14:textFill>
                        <w14:solidFill>
                          <w14:schemeClr w14:val="tx1"/>
                        </w14:solidFill>
                      </w14:textFill>
                    </w:rPr>
                    <w:t>9</w:t>
                  </w:r>
                  <w:r>
                    <w:rPr>
                      <w:rFonts w:hint="default" w:ascii="Times New Roman" w:hAnsi="Times New Roman" w:cs="Times New Roman"/>
                      <w:smallCaps w:val="0"/>
                      <w:color w:val="000000" w:themeColor="text1"/>
                      <w:spacing w:val="0"/>
                      <w:w w:val="100"/>
                      <w:kern w:val="0"/>
                      <w:position w:val="0"/>
                      <w:sz w:val="19"/>
                      <w:szCs w:val="19"/>
                      <w:highlight w:val="none"/>
                      <w14:textFill>
                        <w14:solidFill>
                          <w14:schemeClr w14:val="tx1"/>
                        </w14:solidFill>
                      </w14:textFill>
                    </w:rPr>
                    <w:t>.组织对突发性污染事故善后处理，追查原因并及时上报。</w:t>
                  </w:r>
                </w:p>
              </w:tc>
            </w:tr>
          </w:tbl>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2" w:firstLineChars="200"/>
              <w:jc w:val="both"/>
              <w:textAlignment w:val="auto"/>
              <w:rPr>
                <w:rFonts w:hint="default" w:ascii="Times New Roman" w:hAnsi="Times New Roman" w:eastAsia="宋体" w:cs="Times New Roman"/>
                <w:b/>
                <w:bCs/>
                <w:smallCap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smallCaps w:val="0"/>
                <w:color w:val="000000" w:themeColor="text1"/>
                <w:spacing w:val="0"/>
                <w:w w:val="100"/>
                <w:kern w:val="0"/>
                <w:position w:val="0"/>
                <w:sz w:val="24"/>
                <w:szCs w:val="24"/>
                <w:highlight w:val="none"/>
                <w:lang w:val="en-US" w:eastAsia="zh-CN"/>
                <w14:textFill>
                  <w14:solidFill>
                    <w14:schemeClr w14:val="tx1"/>
                  </w14:solidFill>
                </w14:textFill>
              </w:rPr>
              <w:t>8</w:t>
            </w:r>
            <w:r>
              <w:rPr>
                <w:rFonts w:hint="default" w:ascii="Times New Roman" w:hAnsi="Times New Roman" w:eastAsia="宋体" w:cs="Times New Roman"/>
                <w:b/>
                <w:bCs/>
                <w:smallCaps w:val="0"/>
                <w:color w:val="000000" w:themeColor="text1"/>
                <w:spacing w:val="0"/>
                <w:w w:val="100"/>
                <w:kern w:val="0"/>
                <w:position w:val="0"/>
                <w:sz w:val="24"/>
                <w:szCs w:val="24"/>
                <w:highlight w:val="none"/>
                <w:lang w:val="en-US" w:eastAsia="zh-CN"/>
                <w14:textFill>
                  <w14:solidFill>
                    <w14:schemeClr w14:val="tx1"/>
                  </w14:solidFill>
                </w14:textFill>
              </w:rPr>
              <w:t>.2</w:t>
            </w:r>
            <w:r>
              <w:rPr>
                <w:rFonts w:hint="default" w:ascii="Times New Roman" w:hAnsi="Times New Roman" w:eastAsia="宋体" w:cs="Times New Roman"/>
                <w:b/>
                <w:bCs/>
                <w:smallCaps w:val="0"/>
                <w:color w:val="000000" w:themeColor="text1"/>
                <w:spacing w:val="0"/>
                <w:w w:val="100"/>
                <w:kern w:val="0"/>
                <w:position w:val="0"/>
                <w:sz w:val="24"/>
                <w:szCs w:val="24"/>
                <w:highlight w:val="none"/>
                <w:lang w:eastAsia="zh-CN"/>
                <w14:textFill>
                  <w14:solidFill>
                    <w14:schemeClr w14:val="tx1"/>
                  </w14:solidFill>
                </w14:textFill>
              </w:rPr>
              <w:t>施工期环境管理</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为本项目施工内容主要为场地硬化及设备安装等，为加强施工现场管理，防止施工扬尘、施工废水污染和施工噪声扰民，本评价对本项目施工期环境管理提出如下要求：</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建设单位应配备一名具有环保专业知识的技术人员，专职或兼职负责施工期的环境保护工作，其主要职责如下：</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①根据国家及地方政策有关施工管理条例和施工操作规范，结合本项目的特点，制定施工环境管理条例，为施工单位的施工活动提出具体要求；</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②监督、检查施工单位对条例的执行情</w:t>
            </w:r>
            <w:r>
              <w:rPr>
                <w:rFonts w:hint="default"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t>况</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③参与有关环境纠纷和污染事故的调查处理工作。</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施工单位设置一名专职或兼职环境保护人员，其主要职责为：</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①按建设单位和环境影响评价的要求制定文明施工计划，向当地环保行政部门提交施工阶段环境保护报告；</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②与业主单位环保人员一同制定施工环境管理条例；</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③定期检查施工过程中环境管理条例实施情况，并督促有关人员进行整改；</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eastAsia"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④定期听取环保部门、建设单位对施工污染影响的意见，以便进一步加强文明施工</w:t>
            </w:r>
            <w:r>
              <w:rPr>
                <w:rFonts w:hint="eastAsia"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t>；</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imes New Roman" w:hAnsi="Times New Roman" w:eastAsia="宋体" w:cs="Times New Roman"/>
                <w:smallCaps w:val="0"/>
                <w:color w:val="000000" w:themeColor="text1"/>
                <w:spacing w:val="0"/>
                <w:w w:val="100"/>
                <w:kern w:val="0"/>
                <w:position w:val="0"/>
                <w:sz w:val="24"/>
                <w:szCs w:val="24"/>
                <w:highlight w:val="none"/>
                <w:lang w:val="en-US" w:eastAsia="zh-CN"/>
                <w14:textFill>
                  <w14:solidFill>
                    <w14:schemeClr w14:val="tx1"/>
                  </w14:solidFill>
                </w14:textFill>
              </w:rPr>
              <w:t>⑤施工期应开展隐蔽工程的环境监理，将工程质量验收报告和环境监理报告存档，作为项目竣工环境保护验收的技术材料。</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2" w:firstLineChars="200"/>
              <w:jc w:val="both"/>
              <w:textAlignment w:val="auto"/>
              <w:rPr>
                <w:rFonts w:hint="default" w:ascii="Times New Roman" w:hAnsi="Times New Roman" w:eastAsia="宋体" w:cs="Times New Roman"/>
                <w:b/>
                <w:bCs/>
                <w:smallCaps w:val="0"/>
                <w:color w:val="000000" w:themeColor="text1"/>
                <w:spacing w:val="0"/>
                <w:w w:val="100"/>
                <w:kern w:val="0"/>
                <w:position w:val="0"/>
                <w:sz w:val="24"/>
                <w:szCs w:val="24"/>
                <w:highlight w:val="none"/>
                <w14:textFill>
                  <w14:solidFill>
                    <w14:schemeClr w14:val="tx1"/>
                  </w14:solidFill>
                </w14:textFill>
              </w:rPr>
            </w:pPr>
            <w:r>
              <w:rPr>
                <w:rFonts w:hint="eastAsia" w:ascii="Times New Roman" w:hAnsi="Times New Roman" w:eastAsia="宋体" w:cs="Times New Roman"/>
                <w:b/>
                <w:bCs/>
                <w:smallCaps w:val="0"/>
                <w:color w:val="000000" w:themeColor="text1"/>
                <w:spacing w:val="0"/>
                <w:w w:val="100"/>
                <w:kern w:val="0"/>
                <w:position w:val="0"/>
                <w:sz w:val="24"/>
                <w:szCs w:val="24"/>
                <w:highlight w:val="none"/>
                <w:lang w:val="en-US" w:eastAsia="zh-CN"/>
                <w14:textFill>
                  <w14:solidFill>
                    <w14:schemeClr w14:val="tx1"/>
                  </w14:solidFill>
                </w14:textFill>
              </w:rPr>
              <w:t>8</w:t>
            </w:r>
            <w:r>
              <w:rPr>
                <w:rFonts w:hint="default" w:ascii="Times New Roman" w:hAnsi="Times New Roman" w:eastAsia="宋体" w:cs="Times New Roman"/>
                <w:b/>
                <w:bCs/>
                <w:smallCaps w:val="0"/>
                <w:color w:val="000000" w:themeColor="text1"/>
                <w:spacing w:val="0"/>
                <w:w w:val="100"/>
                <w:kern w:val="0"/>
                <w:position w:val="0"/>
                <w:sz w:val="24"/>
                <w:szCs w:val="24"/>
                <w:highlight w:val="none"/>
                <w:lang w:val="en-US" w:eastAsia="zh-CN"/>
                <w14:textFill>
                  <w14:solidFill>
                    <w14:schemeClr w14:val="tx1"/>
                  </w14:solidFill>
                </w14:textFill>
              </w:rPr>
              <w:t>.3</w:t>
            </w:r>
            <w:r>
              <w:rPr>
                <w:rFonts w:hint="default" w:ascii="Times New Roman" w:hAnsi="Times New Roman" w:eastAsia="宋体" w:cs="Times New Roman"/>
                <w:b/>
                <w:bCs/>
                <w:smallCaps w:val="0"/>
                <w:color w:val="000000" w:themeColor="text1"/>
                <w:spacing w:val="0"/>
                <w:w w:val="100"/>
                <w:kern w:val="0"/>
                <w:position w:val="0"/>
                <w:sz w:val="24"/>
                <w:szCs w:val="24"/>
                <w:highlight w:val="none"/>
                <w14:textFill>
                  <w14:solidFill>
                    <w14:schemeClr w14:val="tx1"/>
                  </w14:solidFill>
                </w14:textFill>
              </w:rPr>
              <w:t>营运期环境管理</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①制定各环保设施操作规程，定期维修制度，使各项环保设施在生产过程中处于良好的运行状态；</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②对技术工人进行上岗前的环保知识法规教育及操作规范的培训，使各项环保设施的操作规范化，保证环保设施的正常运转；</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③加强对环保设施的运行管理，如环保设施出现故障，应立即停产检修，严禁事故排放；</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④专人负责固体废物收集和暂存场所的维护工作，防止固体废物在厂内产生二次污染；</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⑤加强环境监测工作，重点是各污染源的监测，并注意做好记录，监测中如发现异常情况应及时向有关部门通报，及时采取应急措施，防止事故排放；</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⑥定期向生态环境主管部门汇报环保工作情况，污染治理设施运行情况，监视性监测结果；</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⑦建立本企业的环境保护工作档案，包括污染物排放情况；污染治理设施的运行、操作和管理情况；监测记录；污染事故情况及有关记录；其他与污染防治有关的情况和资料等。</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smallCaps w:val="0"/>
                <w:color w:val="000000" w:themeColor="text1"/>
                <w:spacing w:val="0"/>
                <w:kern w:val="0"/>
                <w:position w:val="0"/>
                <w:sz w:val="24"/>
                <w:szCs w:val="24"/>
                <w:highlight w:val="none"/>
                <w:lang w:val="en-US" w:eastAsia="zh-CN" w:bidi="ar-SA"/>
                <w14:textFill>
                  <w14:solidFill>
                    <w14:schemeClr w14:val="tx1"/>
                  </w14:solidFill>
                </w14:textFill>
              </w:rPr>
              <w:t>.4日常环境管理手段和措施</w:t>
            </w:r>
          </w:p>
          <w:p>
            <w:pPr>
              <w:pStyle w:val="293"/>
              <w:keepNext w:val="0"/>
              <w:keepLines w:val="0"/>
              <w:pageBreakBefore w:val="0"/>
              <w:widowControl w:val="0"/>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为了使环境管理工作科学化、规范化、合理化，确保各项环保措施落实到位</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 xml:space="preserve"> 本项目在管理方面采取以下措施：</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制订环境保护岗位目标责任制，将环境管理纳入生产管理体系，环保评估与经济效益评估相结合，建立严格的奖惩机制；</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加强环境保护宣传教育工作，进行岗位培训，使全体职工能够意识到环境保护的重要意义，包括与企业生产、生存和发展的关系，全公司应有危机感和责任感，把环保工作落实到实处，落实到每一位员工；</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加强环境监测数据的统计工作，建立全厂完善的污染源及物料流失档案</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确保污染物排放指标达到设计要求；</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强化对环保设施运行监督、管理的职能，建立全厂完善的环保设施运行、 维护、维修等技术档案，以及加强对环保设施操作人员的技术培训，确保环境设施处于正常运行情况，污染物</w:t>
            </w:r>
            <w:r>
              <w:rPr>
                <w:rFonts w:hint="default"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t>达标</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排放；</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设置有环境保护设施运行的基础台</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账</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，如运行记录、交接班记录等，确保环保设施的正常运行。</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建立生产现场巡查制度，并按制度严格执行，及时发现环保设施是否“带病运转”及新的污染源和污染因子，并提出相应的解决措施和建议</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实行</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报告制度</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凡实施</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排污许可证</w:t>
            </w:r>
            <w:r>
              <w:rPr>
                <w:rFonts w:hint="default" w:ascii="Times New Roman" w:hAnsi="Times New Roman" w:eastAsia="宋体" w:cs="Times New Roman"/>
                <w:smallCaps w:val="0"/>
                <w:color w:val="000000" w:themeColor="text1"/>
                <w:spacing w:val="0"/>
                <w:w w:val="100"/>
                <w:kern w:val="0"/>
                <w:position w:val="0"/>
                <w:sz w:val="24"/>
                <w:szCs w:val="24"/>
                <w:highlight w:val="none"/>
                <w14:textFill>
                  <w14:solidFill>
                    <w14:schemeClr w14:val="tx1"/>
                  </w14:solidFill>
                </w14:textFill>
              </w:rPr>
              <w:t>制度的排污单位，执行月报制度。月报内容主要为污染治理设施的运行情况、污染物排放情况以及污染事故或污染纠纷等。企业排污发生重大变化、污染治理设施改变或企业改、扩建等都必须向当地环保部门申报，改、扩建项目必须按《建设项目环境保护管理条例》等文件的要求，报请有审批权限的环保部门审批</w:t>
            </w:r>
            <w:r>
              <w:rPr>
                <w:rFonts w:hint="default" w:ascii="Times New Roman" w:hAnsi="Times New Roman" w:cs="Times New Roman"/>
                <w:smallCaps w:val="0"/>
                <w:color w:val="000000" w:themeColor="text1"/>
                <w:spacing w:val="0"/>
                <w:w w:val="100"/>
                <w:kern w:val="0"/>
                <w:position w:val="0"/>
                <w:sz w:val="24"/>
                <w:szCs w:val="24"/>
                <w:highlight w:val="none"/>
                <w:lang w:eastAsia="zh-CN"/>
                <w14:textFill>
                  <w14:solidFill>
                    <w14:schemeClr w14:val="tx1"/>
                  </w14:solidFill>
                </w14:textFill>
              </w:rPr>
              <w:t>。</w:t>
            </w:r>
          </w:p>
          <w:p>
            <w:pPr>
              <w:pStyle w:val="293"/>
              <w:keepNext w:val="0"/>
              <w:keepLines w:val="0"/>
              <w:pageBreakBefore w:val="0"/>
              <w:widowControl w:val="0"/>
              <w:numPr>
                <w:ilvl w:val="0"/>
                <w:numId w:val="3"/>
              </w:numPr>
              <w:shd w:val="clear" w:color="auto" w:fill="auto"/>
              <w:kinsoku/>
              <w:wordWrap/>
              <w:overflowPunct/>
              <w:topLinePunct w:val="0"/>
              <w:autoSpaceDE/>
              <w:autoSpaceDN/>
              <w:bidi w:val="0"/>
              <w:adjustRightInd w:val="0"/>
              <w:snapToGrid w:val="0"/>
              <w:spacing w:after="0" w:line="360" w:lineRule="auto"/>
              <w:ind w:left="0" w:right="0" w:firstLine="480" w:firstLineChars="200"/>
              <w:jc w:val="both"/>
              <w:textAlignment w:val="auto"/>
              <w:rPr>
                <w:rFonts w:hint="default"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w w:val="100"/>
                <w:kern w:val="0"/>
                <w:position w:val="0"/>
                <w:sz w:val="24"/>
                <w:szCs w:val="24"/>
                <w:highlight w:val="none"/>
                <w:lang w:eastAsia="zh-CN"/>
                <w14:textFill>
                  <w14:solidFill>
                    <w14:schemeClr w14:val="tx1"/>
                  </w14:solidFill>
                </w14:textFill>
              </w:rPr>
              <w:t>制订突发环境风险应急预案。</w:t>
            </w:r>
          </w:p>
          <w:p>
            <w:pPr>
              <w:keepNext w:val="0"/>
              <w:keepLines w:val="0"/>
              <w:pageBreakBefore w:val="0"/>
              <w:kinsoku/>
              <w:wordWrap/>
              <w:overflowPunct/>
              <w:autoSpaceDE/>
              <w:autoSpaceDN/>
              <w:bidi w:val="0"/>
              <w:adjustRightInd w:val="0"/>
              <w:snapToGrid w:val="0"/>
              <w:spacing w:line="360" w:lineRule="auto"/>
              <w:ind w:left="0" w:right="0"/>
              <w:textAlignment w:val="auto"/>
              <w:rPr>
                <w:rFonts w:hint="default" w:ascii="Times New Roman" w:hAnsi="Times New Roman" w:eastAsia="宋体" w:cs="Times New Roman"/>
                <w:b/>
                <w:caps w:val="0"/>
                <w:smallCaps w:val="0"/>
                <w:color w:val="000000" w:themeColor="text1"/>
                <w:spacing w:val="0"/>
                <w:kern w:val="0"/>
                <w:position w:val="0"/>
                <w:sz w:val="24"/>
                <w:highlight w:val="none"/>
                <w:lang w:val="en-US" w:eastAsia="zh-CN"/>
                <w14:textFill>
                  <w14:solidFill>
                    <w14:schemeClr w14:val="tx1"/>
                  </w14:solidFill>
                </w14:textFill>
              </w:rPr>
            </w:pPr>
            <w:r>
              <w:rPr>
                <w:rFonts w:hint="eastAsia" w:cs="Times New Roman"/>
                <w:b/>
                <w:caps w:val="0"/>
                <w:smallCaps w:val="0"/>
                <w:color w:val="000000" w:themeColor="text1"/>
                <w:spacing w:val="0"/>
                <w:kern w:val="0"/>
                <w:position w:val="0"/>
                <w:sz w:val="24"/>
                <w:highlight w:val="none"/>
                <w:lang w:val="en-US" w:eastAsia="zh-CN"/>
                <w14:textFill>
                  <w14:solidFill>
                    <w14:schemeClr w14:val="tx1"/>
                  </w14:solidFill>
                </w14:textFill>
              </w:rPr>
              <w:t>9、</w:t>
            </w:r>
            <w:r>
              <w:rPr>
                <w:rFonts w:hint="default" w:ascii="Times New Roman" w:hAnsi="Times New Roman" w:eastAsia="宋体" w:cs="Times New Roman"/>
                <w:b/>
                <w:caps w:val="0"/>
                <w:smallCaps w:val="0"/>
                <w:color w:val="000000" w:themeColor="text1"/>
                <w:spacing w:val="0"/>
                <w:kern w:val="0"/>
                <w:position w:val="0"/>
                <w:sz w:val="24"/>
                <w:highlight w:val="none"/>
                <w:lang w:val="en-US" w:eastAsia="zh-CN"/>
                <w14:textFill>
                  <w14:solidFill>
                    <w14:schemeClr w14:val="tx1"/>
                  </w14:solidFill>
                </w14:textFill>
              </w:rPr>
              <w:t>排污口规范化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（1）排污口管理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建设单位应在各个排污口处树立标志牌，并如实填写《中华人民共和国规范化排污口标记登记证》，建立排污口管理的专门档案：排污口性质和编号、位置、排放主要污染物种类、数量、浓度；排放去向；达标情况；治理设施运行情况及整改意见。</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（2）环境保护图形标志</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r>
              <w:rPr>
                <w:rFonts w:hint="default" w:ascii="Times New Roman" w:hAnsi="Times New Roman" w:cs="Times New Roman"/>
                <w:b w:val="0"/>
                <w:bCs w:val="0"/>
                <w:smallCaps w:val="0"/>
                <w:color w:val="000000" w:themeColor="text1"/>
                <w:spacing w:val="0"/>
                <w:kern w:val="0"/>
                <w:position w:val="0"/>
                <w:sz w:val="24"/>
                <w:szCs w:val="24"/>
                <w:highlight w:val="none"/>
                <w:lang w:val="en-US" w:eastAsia="zh-CN"/>
                <w14:textFill>
                  <w14:solidFill>
                    <w14:schemeClr w14:val="tx1"/>
                  </w14:solidFill>
                </w14:textFill>
              </w:rPr>
              <w:t>本项目属重点排污单位，</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各污染物排放口或固体废物贮存处置场地以设置立式标志牌为主。在固体废物贮存处置场、噪声产生点应设置环境保护图形标志，图形符号分为提示图形和警告图形符号两种，分别按《</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fldChar w:fldCharType="begin"/>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instrText xml:space="preserve"> HYPERLINK "http://std.sacinfo.org.cn/home/javascript:;" </w:instrTex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fldChar w:fldCharType="separate"/>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环境保护图形标志 排放口（</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fldChar w:fldCharType="end"/>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源）》（GB15562.1-1995）、《</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fldChar w:fldCharType="begin"/>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instrText xml:space="preserve"> HYPERLINK "http://std.sacinfo.org.cn/home/javascript:;" </w:instrTex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fldChar w:fldCharType="separate"/>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环境保护图形标志 固体废物贮存（处置）场</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fldChar w:fldCharType="end"/>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》（GB15562.2-1995）（含2023修改单）、《危险废物识别标志设置技术规范》（HJ1276-2022）执行。环境保护图形符号见表4-1</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7</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ind w:left="0" w:right="0" w:firstLine="422" w:firstLineChars="200"/>
              <w:jc w:val="both"/>
              <w:textAlignment w:val="auto"/>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t>表4-1</w:t>
            </w:r>
            <w:r>
              <w:rPr>
                <w:rFonts w:hint="eastAsia" w:cs="Times New Roman"/>
                <w:b/>
                <w:bCs/>
                <w:caps w:val="0"/>
                <w:smallCaps w:val="0"/>
                <w:color w:val="000000" w:themeColor="text1"/>
                <w:spacing w:val="0"/>
                <w:kern w:val="0"/>
                <w:position w:val="0"/>
                <w:highlight w:val="none"/>
                <w:lang w:val="en-US" w:eastAsia="zh-CN"/>
                <w14:textFill>
                  <w14:solidFill>
                    <w14:schemeClr w14:val="tx1"/>
                  </w14:solidFill>
                </w14:textFill>
              </w:rPr>
              <w:t xml:space="preserve">7           </w:t>
            </w:r>
            <w:r>
              <w:rPr>
                <w:rFonts w:hint="default" w:ascii="Times New Roman" w:hAnsi="Times New Roman" w:eastAsia="宋体" w:cs="Times New Roman"/>
                <w:b/>
                <w:bCs/>
                <w:caps w:val="0"/>
                <w:smallCaps w:val="0"/>
                <w:color w:val="000000" w:themeColor="text1"/>
                <w:spacing w:val="0"/>
                <w:kern w:val="0"/>
                <w:position w:val="0"/>
                <w:highlight w:val="none"/>
                <w:lang w:val="en-US" w:eastAsia="zh-CN"/>
                <w14:textFill>
                  <w14:solidFill>
                    <w14:schemeClr w14:val="tx1"/>
                  </w14:solidFill>
                </w14:textFill>
              </w:rPr>
              <w:t xml:space="preserve">      环境保护图形符号一览表</w:t>
            </w:r>
          </w:p>
          <w:tbl>
            <w:tblPr>
              <w:tblStyle w:val="48"/>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52"/>
              <w:gridCol w:w="1805"/>
              <w:gridCol w:w="1849"/>
              <w:gridCol w:w="1380"/>
              <w:gridCol w:w="29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序号</w:t>
                  </w:r>
                </w:p>
              </w:tc>
              <w:tc>
                <w:tcPr>
                  <w:tcW w:w="1070"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提示图形符号</w:t>
                  </w:r>
                </w:p>
              </w:tc>
              <w:tc>
                <w:tcPr>
                  <w:tcW w:w="1096"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警告图形符号</w:t>
                  </w:r>
                </w:p>
              </w:tc>
              <w:tc>
                <w:tcPr>
                  <w:tcW w:w="81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名称</w:t>
                  </w:r>
                </w:p>
              </w:tc>
              <w:tc>
                <w:tcPr>
                  <w:tcW w:w="174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功能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47" w:hRule="atLeast"/>
              </w:trPr>
              <w:tc>
                <w:tcPr>
                  <w:tcW w:w="2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1</w:t>
                  </w:r>
                </w:p>
              </w:tc>
              <w:tc>
                <w:tcPr>
                  <w:tcW w:w="1070"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drawing>
                      <wp:inline distT="0" distB="0" distL="114300" distR="114300">
                        <wp:extent cx="1006475" cy="1005840"/>
                        <wp:effectExtent l="0" t="0" r="3175" b="381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20"/>
                                <a:stretch>
                                  <a:fillRect/>
                                </a:stretch>
                              </pic:blipFill>
                              <pic:spPr>
                                <a:xfrm>
                                  <a:off x="0" y="0"/>
                                  <a:ext cx="1006475" cy="1005840"/>
                                </a:xfrm>
                                <a:prstGeom prst="rect">
                                  <a:avLst/>
                                </a:prstGeom>
                                <a:noFill/>
                                <a:ln>
                                  <a:noFill/>
                                </a:ln>
                              </pic:spPr>
                            </pic:pic>
                          </a:graphicData>
                        </a:graphic>
                      </wp:inline>
                    </w:drawing>
                  </w:r>
                </w:p>
              </w:tc>
              <w:tc>
                <w:tcPr>
                  <w:tcW w:w="1096"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drawing>
                      <wp:inline distT="0" distB="0" distL="114300" distR="114300">
                        <wp:extent cx="1008380" cy="817880"/>
                        <wp:effectExtent l="0" t="0" r="1270" b="1270"/>
                        <wp:docPr id="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3"/>
                                <pic:cNvPicPr>
                                  <a:picLocks noChangeAspect="1"/>
                                </pic:cNvPicPr>
                              </pic:nvPicPr>
                              <pic:blipFill>
                                <a:blip r:embed="rId21"/>
                                <a:stretch>
                                  <a:fillRect/>
                                </a:stretch>
                              </pic:blipFill>
                              <pic:spPr>
                                <a:xfrm>
                                  <a:off x="0" y="0"/>
                                  <a:ext cx="1008380" cy="817880"/>
                                </a:xfrm>
                                <a:prstGeom prst="rect">
                                  <a:avLst/>
                                </a:prstGeom>
                                <a:noFill/>
                                <a:ln>
                                  <a:noFill/>
                                </a:ln>
                              </pic:spPr>
                            </pic:pic>
                          </a:graphicData>
                        </a:graphic>
                      </wp:inline>
                    </w:drawing>
                  </w:r>
                </w:p>
              </w:tc>
              <w:tc>
                <w:tcPr>
                  <w:tcW w:w="81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一般固体废物</w:t>
                  </w:r>
                </w:p>
              </w:tc>
              <w:tc>
                <w:tcPr>
                  <w:tcW w:w="174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表示一般固体废物贮存、处置场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590" w:hRule="atLeast"/>
              </w:trPr>
              <w:tc>
                <w:tcPr>
                  <w:tcW w:w="2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2</w:t>
                  </w:r>
                </w:p>
              </w:tc>
              <w:tc>
                <w:tcPr>
                  <w:tcW w:w="1070"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drawing>
                      <wp:inline distT="0" distB="0" distL="114300" distR="114300">
                        <wp:extent cx="1005840" cy="914400"/>
                        <wp:effectExtent l="0" t="0" r="3810" b="0"/>
                        <wp:docPr id="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pic:cNvPicPr>
                                  <a:picLocks noChangeAspect="1"/>
                                </pic:cNvPicPr>
                              </pic:nvPicPr>
                              <pic:blipFill>
                                <a:blip r:embed="rId22"/>
                                <a:stretch>
                                  <a:fillRect/>
                                </a:stretch>
                              </pic:blipFill>
                              <pic:spPr>
                                <a:xfrm>
                                  <a:off x="0" y="0"/>
                                  <a:ext cx="1005840" cy="914400"/>
                                </a:xfrm>
                                <a:prstGeom prst="rect">
                                  <a:avLst/>
                                </a:prstGeom>
                                <a:noFill/>
                                <a:ln>
                                  <a:noFill/>
                                </a:ln>
                              </pic:spPr>
                            </pic:pic>
                          </a:graphicData>
                        </a:graphic>
                      </wp:inline>
                    </w:drawing>
                  </w:r>
                </w:p>
              </w:tc>
              <w:tc>
                <w:tcPr>
                  <w:tcW w:w="1096"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drawing>
                      <wp:inline distT="0" distB="0" distL="114300" distR="114300">
                        <wp:extent cx="1003935" cy="821690"/>
                        <wp:effectExtent l="0" t="0" r="5715" b="1651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5"/>
                                <pic:cNvPicPr>
                                  <a:picLocks noChangeAspect="1"/>
                                </pic:cNvPicPr>
                              </pic:nvPicPr>
                              <pic:blipFill>
                                <a:blip r:embed="rId23"/>
                                <a:stretch>
                                  <a:fillRect/>
                                </a:stretch>
                              </pic:blipFill>
                              <pic:spPr>
                                <a:xfrm>
                                  <a:off x="0" y="0"/>
                                  <a:ext cx="1003935" cy="821690"/>
                                </a:xfrm>
                                <a:prstGeom prst="rect">
                                  <a:avLst/>
                                </a:prstGeom>
                                <a:noFill/>
                                <a:ln>
                                  <a:noFill/>
                                </a:ln>
                              </pic:spPr>
                            </pic:pic>
                          </a:graphicData>
                        </a:graphic>
                      </wp:inline>
                    </w:drawing>
                  </w:r>
                </w:p>
              </w:tc>
              <w:tc>
                <w:tcPr>
                  <w:tcW w:w="81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噪声源</w:t>
                  </w:r>
                </w:p>
              </w:tc>
              <w:tc>
                <w:tcPr>
                  <w:tcW w:w="174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cs="Times New Roman"/>
                      <w:b w:val="0"/>
                      <w:bCs/>
                      <w:smallCaps w:val="0"/>
                      <w:color w:val="000000" w:themeColor="text1"/>
                      <w:spacing w:val="0"/>
                      <w:kern w:val="0"/>
                      <w:position w:val="0"/>
                      <w:sz w:val="24"/>
                      <w:szCs w:val="20"/>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表示噪声向外环境排放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26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right="0" w:firstLine="0"/>
                    <w:jc w:val="cente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3</w:t>
                  </w:r>
                </w:p>
              </w:tc>
              <w:tc>
                <w:tcPr>
                  <w:tcW w:w="1070"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val="0"/>
                      <w:bCs/>
                      <w:smallCaps w:val="0"/>
                      <w:color w:val="000000" w:themeColor="text1"/>
                      <w:spacing w:val="0"/>
                      <w:kern w:val="0"/>
                      <w:position w:val="0"/>
                      <w:sz w:val="21"/>
                      <w:szCs w:val="24"/>
                      <w:highlight w:val="none"/>
                      <w:lang w:val="en-US" w:eastAsia="zh-CN" w:bidi="ar-SA"/>
                      <w14:textFill>
                        <w14:solidFill>
                          <w14:schemeClr w14:val="tx1"/>
                        </w14:solidFill>
                      </w14:textFill>
                    </w:rPr>
                  </w:pPr>
                </w:p>
              </w:tc>
              <w:tc>
                <w:tcPr>
                  <w:tcW w:w="1096"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val="0"/>
                      <w:bCs/>
                      <w:smallCaps w:val="0"/>
                      <w:color w:val="000000" w:themeColor="text1"/>
                      <w:spacing w:val="0"/>
                      <w:kern w:val="0"/>
                      <w:position w:val="0"/>
                      <w:sz w:val="21"/>
                      <w:szCs w:val="24"/>
                      <w:highlight w:val="no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drawing>
                      <wp:inline distT="0" distB="0" distL="114300" distR="114300">
                        <wp:extent cx="1144905" cy="1012825"/>
                        <wp:effectExtent l="0" t="0" r="17145" b="15875"/>
                        <wp:docPr id="1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6"/>
                                <pic:cNvPicPr>
                                  <a:picLocks noChangeAspect="1"/>
                                </pic:cNvPicPr>
                              </pic:nvPicPr>
                              <pic:blipFill>
                                <a:blip r:embed="rId24"/>
                                <a:stretch>
                                  <a:fillRect/>
                                </a:stretch>
                              </pic:blipFill>
                              <pic:spPr>
                                <a:xfrm>
                                  <a:off x="0" y="0"/>
                                  <a:ext cx="1144905" cy="1012825"/>
                                </a:xfrm>
                                <a:prstGeom prst="rect">
                                  <a:avLst/>
                                </a:prstGeom>
                                <a:noFill/>
                                <a:ln>
                                  <a:noFill/>
                                </a:ln>
                              </pic:spPr>
                            </pic:pic>
                          </a:graphicData>
                        </a:graphic>
                      </wp:inline>
                    </w:drawing>
                  </w:r>
                </w:p>
              </w:tc>
              <w:tc>
                <w:tcPr>
                  <w:tcW w:w="818"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val="0"/>
                      <w:bCs/>
                      <w:smallCaps w:val="0"/>
                      <w:color w:val="000000" w:themeColor="text1"/>
                      <w:spacing w:val="0"/>
                      <w:kern w:val="0"/>
                      <w:position w:val="0"/>
                      <w:sz w:val="21"/>
                      <w:szCs w:val="24"/>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危险废物贮存库</w:t>
                  </w:r>
                </w:p>
              </w:tc>
              <w:tc>
                <w:tcPr>
                  <w:tcW w:w="1745" w:type="pct"/>
                  <w:tcBorders>
                    <w:tl2br w:val="nil"/>
                    <w:tr2bl w:val="nil"/>
                  </w:tcBorders>
                  <w:noWrap w:val="0"/>
                  <w:vAlign w:val="center"/>
                </w:tcPr>
                <w:p>
                  <w:pPr>
                    <w:pStyle w:val="3"/>
                    <w:keepNext w:val="0"/>
                    <w:keepLines w:val="0"/>
                    <w:pageBreakBefore w:val="0"/>
                    <w:suppressLineNumbers w:val="0"/>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val="0"/>
                      <w:bCs/>
                      <w:smallCaps w:val="0"/>
                      <w:color w:val="000000" w:themeColor="text1"/>
                      <w:spacing w:val="0"/>
                      <w:kern w:val="0"/>
                      <w:position w:val="0"/>
                      <w:sz w:val="21"/>
                      <w:szCs w:val="24"/>
                      <w:highlight w:val="none"/>
                      <w:lang w:val="en-US" w:eastAsia="zh-CN" w:bidi="ar-SA"/>
                      <w14:textFill>
                        <w14:solidFill>
                          <w14:schemeClr w14:val="tx1"/>
                        </w14:solidFill>
                      </w14:textFill>
                    </w:rPr>
                  </w:pPr>
                  <w:r>
                    <w:rPr>
                      <w:rFonts w:hint="default" w:ascii="Times New Roman" w:hAnsi="Times New Roman" w:cs="Times New Roman"/>
                      <w:b w:val="0"/>
                      <w:bCs/>
                      <w:smallCaps w:val="0"/>
                      <w:color w:val="000000" w:themeColor="text1"/>
                      <w:spacing w:val="0"/>
                      <w:kern w:val="0"/>
                      <w:position w:val="0"/>
                      <w:highlight w:val="none"/>
                      <w:lang w:val="en-US" w:eastAsia="zh-CN"/>
                      <w14:textFill>
                        <w14:solidFill>
                          <w14:schemeClr w14:val="tx1"/>
                        </w14:solidFill>
                      </w14:textFill>
                    </w:rPr>
                    <w:t>表示危险废物贮存、处置场</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textAlignment w:val="auto"/>
              <w:rPr>
                <w:rFonts w:hint="default" w:ascii="Times New Roman" w:hAnsi="Times New Roman" w:eastAsia="宋体" w:cs="Times New Roman"/>
                <w:b/>
                <w:caps w:val="0"/>
                <w:smallCaps w:val="0"/>
                <w:color w:val="000000" w:themeColor="text1"/>
                <w:spacing w:val="0"/>
                <w:kern w:val="0"/>
                <w:position w:val="0"/>
                <w:sz w:val="24"/>
                <w:highlight w:val="none"/>
                <w:lang w:eastAsia="zh-CN"/>
                <w14:textFill>
                  <w14:solidFill>
                    <w14:schemeClr w14:val="tx1"/>
                  </w14:solidFill>
                </w14:textFill>
              </w:rPr>
            </w:pPr>
            <w:r>
              <w:rPr>
                <w:rFonts w:hint="eastAsia" w:cs="Times New Roman"/>
                <w:b/>
                <w:caps w:val="0"/>
                <w:smallCaps w:val="0"/>
                <w:color w:val="000000" w:themeColor="text1"/>
                <w:spacing w:val="0"/>
                <w:kern w:val="0"/>
                <w:position w:val="0"/>
                <w:sz w:val="24"/>
                <w:highlight w:val="none"/>
                <w:lang w:val="en-US" w:eastAsia="zh-CN"/>
                <w14:textFill>
                  <w14:solidFill>
                    <w14:schemeClr w14:val="tx1"/>
                  </w14:solidFill>
                </w14:textFill>
              </w:rPr>
              <w:t>10、</w:t>
            </w:r>
            <w:r>
              <w:rPr>
                <w:rFonts w:hint="default" w:ascii="Times New Roman" w:hAnsi="Times New Roman" w:eastAsia="宋体" w:cs="Times New Roman"/>
                <w:b/>
                <w:caps w:val="0"/>
                <w:smallCaps w:val="0"/>
                <w:color w:val="000000" w:themeColor="text1"/>
                <w:spacing w:val="0"/>
                <w:kern w:val="0"/>
                <w:position w:val="0"/>
                <w:sz w:val="24"/>
                <w:highlight w:val="none"/>
                <w:lang w:eastAsia="zh-CN"/>
                <w14:textFill>
                  <w14:solidFill>
                    <w14:schemeClr w14:val="tx1"/>
                  </w14:solidFill>
                </w14:textFill>
              </w:rPr>
              <w:t>环保投资</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本项目总投</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800</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万元，环保投资</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70.2</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万元，占总投资的</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8.78</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%。具体</w:t>
            </w:r>
            <w:r>
              <w:rPr>
                <w:rFonts w:hint="default" w:ascii="Times New Roman" w:hAnsi="Times New Roman" w:cs="Times New Roman"/>
                <w:smallCaps w:val="0"/>
                <w:color w:val="000000" w:themeColor="text1"/>
                <w:spacing w:val="0"/>
                <w:kern w:val="0"/>
                <w:position w:val="0"/>
                <w:sz w:val="24"/>
                <w:szCs w:val="24"/>
                <w:highlight w:val="none"/>
                <w:lang w:eastAsia="zh-CN"/>
                <w14:textFill>
                  <w14:solidFill>
                    <w14:schemeClr w14:val="tx1"/>
                  </w14:solidFill>
                </w14:textFill>
              </w:rPr>
              <w:t>见</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表</w:t>
            </w:r>
            <w:r>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t>4-1</w:t>
            </w:r>
            <w:r>
              <w:rPr>
                <w:rFonts w:hint="eastAsia" w:cs="Times New Roman"/>
                <w:smallCaps w:val="0"/>
                <w:color w:val="000000" w:themeColor="text1"/>
                <w:spacing w:val="0"/>
                <w:kern w:val="0"/>
                <w:position w:val="0"/>
                <w:sz w:val="24"/>
                <w:szCs w:val="24"/>
                <w:highlight w:val="none"/>
                <w:lang w:val="en-US" w:eastAsia="zh-CN"/>
                <w14:textFill>
                  <w14:solidFill>
                    <w14:schemeClr w14:val="tx1"/>
                  </w14:solidFill>
                </w14:textFill>
              </w:rPr>
              <w:t>8</w:t>
            </w:r>
            <w:r>
              <w:rPr>
                <w:rFonts w:hint="default" w:ascii="Times New Roman" w:hAnsi="Times New Roman" w:cs="Times New Roman"/>
                <w:smallCaps w:val="0"/>
                <w:color w:val="000000" w:themeColor="text1"/>
                <w:spacing w:val="0"/>
                <w:kern w:val="0"/>
                <w:position w:val="0"/>
                <w:sz w:val="24"/>
                <w:szCs w:val="24"/>
                <w:highlight w:val="none"/>
                <w14:textFill>
                  <w14:solidFill>
                    <w14:schemeClr w14:val="tx1"/>
                  </w14:solidFill>
                </w14:textFill>
              </w:rPr>
              <w:t>。</w:t>
            </w:r>
          </w:p>
          <w:p>
            <w:pPr>
              <w:pStyle w:val="35"/>
              <w:keepNext w:val="0"/>
              <w:keepLines w:val="0"/>
              <w:pageBreakBefore w:val="0"/>
              <w:widowControl w:val="0"/>
              <w:kinsoku/>
              <w:wordWrap/>
              <w:overflowPunct/>
              <w:topLinePunct w:val="0"/>
              <w:autoSpaceDE/>
              <w:autoSpaceDN/>
              <w:bidi w:val="0"/>
              <w:adjustRightInd w:val="0"/>
              <w:snapToGrid w:val="0"/>
              <w:spacing w:line="240" w:lineRule="auto"/>
              <w:ind w:left="0" w:right="0" w:firstLine="422" w:firstLineChars="200"/>
              <w:jc w:val="both"/>
              <w:textAlignment w:val="auto"/>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t>表</w:t>
            </w: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14:textFill>
                  <w14:solidFill>
                    <w14:schemeClr w14:val="tx1"/>
                  </w14:solidFill>
                </w14:textFill>
              </w:rPr>
              <w:t>4</w:t>
            </w:r>
            <w:r>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t>-</w:t>
            </w: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14:textFill>
                  <w14:solidFill>
                    <w14:schemeClr w14:val="tx1"/>
                  </w14:solidFill>
                </w14:textFill>
              </w:rPr>
              <w:t>1</w:t>
            </w:r>
            <w:r>
              <w:rPr>
                <w:rFonts w:hint="eastAsia" w:cs="Times New Roman"/>
                <w:b/>
                <w:bCs/>
                <w:smallCaps w:val="0"/>
                <w:color w:val="000000" w:themeColor="text1"/>
                <w:spacing w:val="0"/>
                <w:kern w:val="0"/>
                <w:position w:val="0"/>
                <w:sz w:val="21"/>
                <w:szCs w:val="21"/>
                <w:highlight w:val="none"/>
                <w:lang w:val="en-US" w:eastAsia="zh-CN"/>
                <w14:textFill>
                  <w14:solidFill>
                    <w14:schemeClr w14:val="tx1"/>
                  </w14:solidFill>
                </w14:textFill>
              </w:rPr>
              <w:t>8</w:t>
            </w:r>
            <w:r>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t xml:space="preserve"> </w:t>
            </w:r>
            <w:r>
              <w:rPr>
                <w:rFonts w:hint="default" w:ascii="Times New Roman" w:hAnsi="Times New Roman" w:cs="Times New Roman"/>
                <w:b/>
                <w:bCs/>
                <w:smallCaps w:val="0"/>
                <w:color w:val="000000" w:themeColor="text1"/>
                <w:spacing w:val="0"/>
                <w:kern w:val="0"/>
                <w:position w:val="0"/>
                <w:sz w:val="21"/>
                <w:szCs w:val="21"/>
                <w:highlight w:val="none"/>
                <w:lang w:val="en-US" w:eastAsia="zh-CN"/>
                <w14:textFill>
                  <w14:solidFill>
                    <w14:schemeClr w14:val="tx1"/>
                  </w14:solidFill>
                </w14:textFill>
              </w:rPr>
              <w:t xml:space="preserve"> </w:t>
            </w:r>
            <w:r>
              <w:rPr>
                <w:rFonts w:hint="eastAsia" w:cs="Times New Roman"/>
                <w:b/>
                <w:bCs/>
                <w:smallCaps w:val="0"/>
                <w:color w:val="000000" w:themeColor="text1"/>
                <w:spacing w:val="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t xml:space="preserve"> 环保设施（措施）投资</w:t>
            </w:r>
            <w:r>
              <w:rPr>
                <w:rFonts w:hint="default" w:ascii="Times New Roman" w:hAnsi="Times New Roman" w:eastAsia="宋体" w:cs="Times New Roman"/>
                <w:b/>
                <w:bCs/>
                <w:smallCaps w:val="0"/>
                <w:color w:val="000000" w:themeColor="text1"/>
                <w:spacing w:val="0"/>
                <w:kern w:val="0"/>
                <w:position w:val="0"/>
                <w:sz w:val="21"/>
                <w:szCs w:val="21"/>
                <w:highlight w:val="none"/>
                <w:lang w:eastAsia="zh-CN"/>
                <w14:textFill>
                  <w14:solidFill>
                    <w14:schemeClr w14:val="tx1"/>
                  </w14:solidFill>
                </w14:textFill>
              </w:rPr>
              <w:t>估算</w:t>
            </w:r>
            <w:r>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t>一览表</w:t>
            </w:r>
          </w:p>
          <w:tbl>
            <w:tblPr>
              <w:tblStyle w:val="4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6"/>
              <w:gridCol w:w="660"/>
              <w:gridCol w:w="6607"/>
              <w:gridCol w:w="7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t>时期</w:t>
                  </w: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t>分类</w:t>
                  </w:r>
                </w:p>
              </w:tc>
              <w:tc>
                <w:tcPr>
                  <w:tcW w:w="39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采取的环境保护措施（设施）</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金额（元）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施工期</w:t>
                  </w: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废气治理</w:t>
                  </w:r>
                </w:p>
              </w:tc>
              <w:tc>
                <w:tcPr>
                  <w:tcW w:w="39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14:textFill>
                        <w14:solidFill>
                          <w14:schemeClr w14:val="tx1"/>
                        </w14:solidFill>
                      </w14:textFill>
                    </w:rPr>
                    <w:t>施工围挡、苫布覆盖，洒水</w:t>
                  </w:r>
                  <w:r>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t>降尘</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14:textFill>
                        <w14:solidFill>
                          <w14:schemeClr w14:val="tx1"/>
                        </w14:solidFill>
                      </w14:textFill>
                    </w:rPr>
                  </w:pP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废水治理</w:t>
                  </w:r>
                </w:p>
              </w:tc>
              <w:tc>
                <w:tcPr>
                  <w:tcW w:w="3915" w:type="pct"/>
                  <w:tcBorders>
                    <w:tl2br w:val="nil"/>
                    <w:tr2bl w:val="nil"/>
                  </w:tcBorders>
                  <w:noWrap w:val="0"/>
                  <w:vAlign w:val="center"/>
                </w:tcPr>
                <w:p>
                  <w:pPr>
                    <w:pStyle w:val="118"/>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14:textFill>
                        <w14:solidFill>
                          <w14:schemeClr w14:val="tx1"/>
                        </w14:solidFill>
                      </w14:textFill>
                    </w:rPr>
                    <w:t>施工废水经沉淀池处理后回用于项目区降尘</w:t>
                  </w:r>
                </w:p>
              </w:tc>
              <w:tc>
                <w:tcPr>
                  <w:tcW w:w="469" w:type="pct"/>
                  <w:tcBorders>
                    <w:tl2br w:val="nil"/>
                    <w:tr2bl w:val="nil"/>
                  </w:tcBorders>
                  <w:noWrap w:val="0"/>
                  <w:vAlign w:val="center"/>
                </w:tcPr>
                <w:p>
                  <w:pPr>
                    <w:pStyle w:val="118"/>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14:textFill>
                        <w14:solidFill>
                          <w14:schemeClr w14:val="tx1"/>
                        </w14:solidFill>
                      </w14:textFill>
                    </w:rPr>
                  </w:pP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噪声治理</w:t>
                  </w:r>
                </w:p>
              </w:tc>
              <w:tc>
                <w:tcPr>
                  <w:tcW w:w="39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14:textFill>
                        <w14:solidFill>
                          <w14:schemeClr w14:val="tx1"/>
                        </w14:solidFill>
                      </w14:textFill>
                    </w:rPr>
                    <w:t>合理布局施工设备，采取工程降噪措施，明确施工噪声控制责任，必要时设临时隔声屏障</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14:textFill>
                        <w14:solidFill>
                          <w14:schemeClr w14:val="tx1"/>
                        </w14:solidFill>
                      </w14:textFill>
                    </w:rPr>
                  </w:pP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固废治理</w:t>
                  </w:r>
                </w:p>
              </w:tc>
              <w:tc>
                <w:tcPr>
                  <w:tcW w:w="39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施工废料运至指定地点；生活垃圾统一清运</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2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运营期</w:t>
                  </w: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废气治理</w:t>
                  </w:r>
                </w:p>
              </w:tc>
              <w:tc>
                <w:tcPr>
                  <w:tcW w:w="39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smallCaps w:val="0"/>
                      <w:color w:val="000000" w:themeColor="text1"/>
                      <w:spacing w:val="0"/>
                      <w:kern w:val="0"/>
                      <w:position w:val="0"/>
                      <w:sz w:val="21"/>
                      <w:szCs w:val="21"/>
                      <w:highlight w:val="none"/>
                      <w:vertAlign w:val="baseline"/>
                      <w:lang w:eastAsia="zh-CN"/>
                      <w14:textFill>
                        <w14:solidFill>
                          <w14:schemeClr w14:val="tx1"/>
                        </w14:solidFill>
                      </w14:textFill>
                    </w:rPr>
                    <w:t>还原土堆场设置不低于堆放高度的严密围挡，并采取篷布覆盖、洒水降尘等措施</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废水治理</w:t>
                  </w:r>
                </w:p>
              </w:tc>
              <w:tc>
                <w:tcPr>
                  <w:tcW w:w="39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全部循环利用，实现闭路循环，不对外排放；生活污水</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经化粪池（</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15m</w:t>
                  </w:r>
                  <w:r>
                    <w:rPr>
                      <w:rFonts w:hint="default" w:ascii="Times New Roman" w:hAnsi="Times New Roman" w:cs="Times New Roman"/>
                      <w:smallCaps w:val="0"/>
                      <w:color w:val="000000" w:themeColor="text1"/>
                      <w:spacing w:val="0"/>
                      <w:kern w:val="0"/>
                      <w:position w:val="0"/>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）预处理后定期拉运至</w:t>
                  </w:r>
                  <w:r>
                    <w:rPr>
                      <w:rFonts w:hint="eastAsia"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尉犁县污水处理厂</w:t>
                  </w:r>
                </w:p>
              </w:tc>
              <w:tc>
                <w:tcPr>
                  <w:tcW w:w="4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91" w:type="pct"/>
                  <w:tcBorders>
                    <w:tl2br w:val="nil"/>
                    <w:tr2bl w:val="nil"/>
                  </w:tcBorders>
                  <w:noWrap w:val="0"/>
                  <w:vAlign w:val="center"/>
                </w:tcPr>
                <w:p>
                  <w:pPr>
                    <w:pStyle w:val="302"/>
                    <w:pageBreakBefore w:val="0"/>
                    <w:wordWrap/>
                    <w:overflowPunct/>
                    <w:bidi w:val="0"/>
                    <w:adjustRightInd w:val="0"/>
                    <w:snapToGrid w:val="0"/>
                    <w:spacing w:line="221" w:lineRule="auto"/>
                    <w:ind w:left="0" w:leftChars="0" w:right="0"/>
                    <w:jc w:val="left"/>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噪声治理</w:t>
                  </w:r>
                </w:p>
              </w:tc>
              <w:tc>
                <w:tcPr>
                  <w:tcW w:w="3915" w:type="pct"/>
                  <w:tcBorders>
                    <w:tl2br w:val="nil"/>
                    <w:tr2bl w:val="nil"/>
                  </w:tcBorders>
                  <w:noWrap w:val="0"/>
                  <w:vAlign w:val="center"/>
                </w:tcPr>
                <w:p>
                  <w:pPr>
                    <w:pageBreakBefore w:val="0"/>
                    <w:wordWrap/>
                    <w:overflowPunct/>
                    <w:bidi w:val="0"/>
                    <w:adjustRightInd w:val="0"/>
                    <w:snapToGrid w:val="0"/>
                    <w:ind w:left="0" w:right="0"/>
                    <w:jc w:val="both"/>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采用低噪声设备，并采取消声、隔声、减振措施</w:t>
                  </w:r>
                </w:p>
              </w:tc>
              <w:tc>
                <w:tcPr>
                  <w:tcW w:w="46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91" w:type="pct"/>
                  <w:tcBorders>
                    <w:tl2br w:val="nil"/>
                    <w:tr2bl w:val="nil"/>
                  </w:tcBorders>
                  <w:noWrap w:val="0"/>
                  <w:vAlign w:val="center"/>
                </w:tcPr>
                <w:p>
                  <w:pPr>
                    <w:pStyle w:val="302"/>
                    <w:pageBreakBefore w:val="0"/>
                    <w:wordWrap/>
                    <w:overflowPunct/>
                    <w:bidi w:val="0"/>
                    <w:adjustRightInd w:val="0"/>
                    <w:snapToGrid w:val="0"/>
                    <w:spacing w:line="221" w:lineRule="auto"/>
                    <w:ind w:left="0" w:leftChars="0" w:right="0"/>
                    <w:jc w:val="left"/>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固废处置</w:t>
                  </w:r>
                </w:p>
              </w:tc>
              <w:tc>
                <w:tcPr>
                  <w:tcW w:w="3915" w:type="pct"/>
                  <w:tcBorders>
                    <w:tl2br w:val="nil"/>
                    <w:tr2bl w:val="nil"/>
                  </w:tcBorders>
                  <w:noWrap w:val="0"/>
                  <w:vAlign w:val="top"/>
                </w:tcPr>
                <w:p>
                  <w:pPr>
                    <w:pageBreakBefore w:val="0"/>
                    <w:wordWrap/>
                    <w:overflowPunct/>
                    <w:bidi w:val="0"/>
                    <w:adjustRightInd w:val="0"/>
                    <w:snapToGrid w:val="0"/>
                    <w:ind w:left="0" w:right="0"/>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污泥按照国家规定的危险废物鉴别标准和鉴别方法进行鉴定，若经鉴定属于危险废物，则应当按照危险废物进行收集、运输、处置，若经鉴定属于一般工业固废，则应当按照一般工业固废进行收集、处置；</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废矿物油、废油桶、</w:t>
                  </w: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化验室废液危废间暂存，定期</w:t>
                  </w:r>
                  <w:r>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t>交由有资质单位处置；废包装袋交由废品收购站；</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生活垃圾集中收集后</w:t>
                  </w:r>
                  <w:r>
                    <w:rPr>
                      <w:rFonts w:hint="eastAsia" w:cs="Times New Roman"/>
                      <w:smallCaps w:val="0"/>
                      <w:color w:val="000000" w:themeColor="text1"/>
                      <w:spacing w:val="0"/>
                      <w:kern w:val="0"/>
                      <w:position w:val="0"/>
                      <w:highlight w:val="none"/>
                      <w:lang w:val="en-US" w:eastAsia="zh-CN"/>
                      <w14:textFill>
                        <w14:solidFill>
                          <w14:schemeClr w14:val="tx1"/>
                        </w14:solidFill>
                      </w14:textFill>
                    </w:rPr>
                    <w:t>交由环卫部门清运处置</w:t>
                  </w:r>
                </w:p>
              </w:tc>
              <w:tc>
                <w:tcPr>
                  <w:tcW w:w="46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91" w:type="pct"/>
                  <w:tcBorders>
                    <w:tl2br w:val="nil"/>
                    <w:tr2bl w:val="nil"/>
                  </w:tcBorders>
                  <w:noWrap w:val="0"/>
                  <w:vAlign w:val="center"/>
                </w:tcPr>
                <w:p>
                  <w:pPr>
                    <w:pStyle w:val="302"/>
                    <w:pageBreakBefore w:val="0"/>
                    <w:wordWrap/>
                    <w:overflowPunct/>
                    <w:bidi w:val="0"/>
                    <w:adjustRightInd w:val="0"/>
                    <w:snapToGrid w:val="0"/>
                    <w:spacing w:line="221" w:lineRule="auto"/>
                    <w:ind w:left="0" w:leftChars="0" w:right="0"/>
                    <w:jc w:val="left"/>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环境管理</w:t>
                  </w:r>
                </w:p>
              </w:tc>
              <w:tc>
                <w:tcPr>
                  <w:tcW w:w="3915" w:type="pct"/>
                  <w:tcBorders>
                    <w:tl2br w:val="nil"/>
                    <w:tr2bl w:val="nil"/>
                  </w:tcBorders>
                  <w:noWrap w:val="0"/>
                  <w:vAlign w:val="center"/>
                </w:tcPr>
                <w:p>
                  <w:pPr>
                    <w:pageBreakBefore w:val="0"/>
                    <w:wordWrap/>
                    <w:overflowPunct/>
                    <w:bidi w:val="0"/>
                    <w:adjustRightInd w:val="0"/>
                    <w:snapToGrid w:val="0"/>
                    <w:ind w:left="0" w:right="0"/>
                    <w:jc w:val="both"/>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环境影响评价，环境保护竣工验收，环境监测</w:t>
                  </w:r>
                </w:p>
              </w:tc>
              <w:tc>
                <w:tcPr>
                  <w:tcW w:w="46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eastAsia="宋体" w:cs="Times New Roman"/>
                      <w:smallCaps w:val="0"/>
                      <w:color w:val="000000" w:themeColor="text1"/>
                      <w:spacing w:val="0"/>
                      <w:kern w:val="0"/>
                      <w:position w:val="0"/>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2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91" w:type="pct"/>
                  <w:tcBorders>
                    <w:tl2br w:val="nil"/>
                    <w:tr2bl w:val="nil"/>
                  </w:tcBorders>
                  <w:noWrap w:val="0"/>
                  <w:vAlign w:val="center"/>
                </w:tcPr>
                <w:p>
                  <w:pPr>
                    <w:pStyle w:val="302"/>
                    <w:pageBreakBefore w:val="0"/>
                    <w:wordWrap/>
                    <w:overflowPunct/>
                    <w:bidi w:val="0"/>
                    <w:adjustRightInd w:val="0"/>
                    <w:snapToGrid w:val="0"/>
                    <w:spacing w:line="221" w:lineRule="auto"/>
                    <w:ind w:left="0" w:leftChars="0" w:right="0"/>
                    <w:jc w:val="left"/>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防渗工程</w:t>
                  </w:r>
                </w:p>
              </w:tc>
              <w:tc>
                <w:tcPr>
                  <w:tcW w:w="3915" w:type="pct"/>
                  <w:tcBorders>
                    <w:tl2br w:val="nil"/>
                    <w:tr2bl w:val="nil"/>
                  </w:tcBorders>
                  <w:noWrap w:val="0"/>
                  <w:vAlign w:val="top"/>
                </w:tcPr>
                <w:p>
                  <w:pPr>
                    <w:pageBreakBefore w:val="0"/>
                    <w:wordWrap/>
                    <w:overflowPunct/>
                    <w:bidi w:val="0"/>
                    <w:adjustRightInd w:val="0"/>
                    <w:snapToGrid w:val="0"/>
                    <w:ind w:left="0" w:right="0"/>
                    <w:rPr>
                      <w:rFonts w:hint="default" w:ascii="Times New Roman" w:hAnsi="Times New Roman" w:cs="Times New Roman"/>
                      <w:smallCaps w:val="0"/>
                      <w:color w:val="000000" w:themeColor="text1"/>
                      <w:spacing w:val="0"/>
                      <w:kern w:val="0"/>
                      <w:position w:val="0"/>
                      <w:highlight w:val="none"/>
                      <w:lang w:val="en-US"/>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岩屑处理池、污水池、危险废物贮存库采取重点防渗；</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储药区、清水罐、还原土堆放区</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采取一般防渗；生活区为一般防渗，</w:t>
                  </w:r>
                  <w:r>
                    <w:rPr>
                      <w:rFonts w:hint="default" w:ascii="Times New Roman" w:hAnsi="Times New Roman" w:cs="Times New Roman"/>
                      <w:smallCaps w:val="0"/>
                      <w:color w:val="000000" w:themeColor="text1"/>
                      <w:spacing w:val="0"/>
                      <w:kern w:val="0"/>
                      <w:position w:val="0"/>
                      <w:highlight w:val="none"/>
                      <w14:textFill>
                        <w14:solidFill>
                          <w14:schemeClr w14:val="tx1"/>
                        </w14:solidFill>
                      </w14:textFill>
                    </w:rPr>
                    <w:t>防渗要求</w:t>
                  </w:r>
                  <w:r>
                    <w:rPr>
                      <w:rFonts w:hint="default" w:ascii="Times New Roman" w:hAnsi="Times New Roman" w:cs="Times New Roman"/>
                      <w:smallCaps w:val="0"/>
                      <w:color w:val="000000" w:themeColor="text1"/>
                      <w:spacing w:val="0"/>
                      <w:kern w:val="0"/>
                      <w:position w:val="0"/>
                      <w:highlight w:val="none"/>
                      <w:lang w:eastAsia="zh-CN"/>
                      <w14:textFill>
                        <w14:solidFill>
                          <w14:schemeClr w14:val="tx1"/>
                        </w14:solidFill>
                      </w14:textFill>
                    </w:rPr>
                    <w:t>见表</w:t>
                  </w:r>
                  <w:r>
                    <w:rPr>
                      <w:rFonts w:hint="default" w:ascii="Times New Roman" w:hAnsi="Times New Roman" w:cs="Times New Roman"/>
                      <w:smallCaps w:val="0"/>
                      <w:color w:val="000000" w:themeColor="text1"/>
                      <w:spacing w:val="0"/>
                      <w:kern w:val="0"/>
                      <w:position w:val="0"/>
                      <w:highlight w:val="none"/>
                      <w:lang w:val="en-US" w:eastAsia="zh-CN"/>
                      <w14:textFill>
                        <w14:solidFill>
                          <w14:schemeClr w14:val="tx1"/>
                        </w14:solidFill>
                      </w14:textFill>
                    </w:rPr>
                    <w:t>4-</w:t>
                  </w:r>
                  <w:r>
                    <w:rPr>
                      <w:rFonts w:hint="eastAsia" w:cs="Times New Roman"/>
                      <w:smallCaps w:val="0"/>
                      <w:color w:val="000000" w:themeColor="text1"/>
                      <w:spacing w:val="0"/>
                      <w:kern w:val="0"/>
                      <w:position w:val="0"/>
                      <w:highlight w:val="none"/>
                      <w:lang w:val="en-US" w:eastAsia="zh-CN"/>
                      <w14:textFill>
                        <w14:solidFill>
                          <w14:schemeClr w14:val="tx1"/>
                        </w14:solidFill>
                      </w14:textFill>
                    </w:rPr>
                    <w:t>6。</w:t>
                  </w:r>
                </w:p>
              </w:tc>
              <w:tc>
                <w:tcPr>
                  <w:tcW w:w="46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30" w:type="pct"/>
                  <w:gridSpan w:val="3"/>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合计</w:t>
                  </w:r>
                </w:p>
              </w:tc>
              <w:tc>
                <w:tcPr>
                  <w:tcW w:w="469" w:type="pct"/>
                  <w:tcBorders>
                    <w:tl2br w:val="nil"/>
                    <w:tr2bl w:val="nil"/>
                  </w:tcBorders>
                  <w:noWrap w:val="0"/>
                  <w:vAlign w:val="center"/>
                </w:tcPr>
                <w:p>
                  <w:pPr>
                    <w:pageBreakBefore w:val="0"/>
                    <w:wordWrap/>
                    <w:overflowPunct/>
                    <w:bidi w:val="0"/>
                    <w:adjustRightInd w:val="0"/>
                    <w:snapToGrid w:val="0"/>
                    <w:ind w:left="0" w:right="0"/>
                    <w:jc w:val="cente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70.2</w:t>
                  </w:r>
                </w:p>
              </w:tc>
            </w:tr>
          </w:tbl>
          <w:p>
            <w:pPr>
              <w:keepNext w:val="0"/>
              <w:keepLines w:val="0"/>
              <w:pageBreakBefore w:val="0"/>
              <w:widowControl w:val="0"/>
              <w:kinsoku/>
              <w:wordWrap/>
              <w:overflowPunct/>
              <w:topLinePunct/>
              <w:autoSpaceDE/>
              <w:autoSpaceDN/>
              <w:bidi w:val="0"/>
              <w:adjustRightInd w:val="0"/>
              <w:snapToGrid w:val="0"/>
              <w:spacing w:before="157" w:beforeLines="50" w:line="360" w:lineRule="auto"/>
              <w:ind w:left="0" w:right="0"/>
              <w:textAlignment w:val="auto"/>
              <w:rPr>
                <w:rFonts w:hint="default" w:ascii="Times New Roman" w:hAnsi="Times New Roman" w:cs="Times New Roman"/>
                <w:b/>
                <w:bCs/>
                <w:smallCaps w:val="0"/>
                <w:snapToGrid w:val="0"/>
                <w:color w:val="000000" w:themeColor="text1"/>
                <w:spacing w:val="0"/>
                <w:kern w:val="0"/>
                <w:position w:val="0"/>
                <w:sz w:val="24"/>
                <w:highlight w:val="none"/>
                <w14:textFill>
                  <w14:solidFill>
                    <w14:schemeClr w14:val="tx1"/>
                  </w14:solidFill>
                </w14:textFill>
              </w:rPr>
            </w:pPr>
            <w:r>
              <w:rPr>
                <w:rFonts w:hint="eastAsia" w:cs="Times New Roman"/>
                <w:b/>
                <w:bCs/>
                <w:smallCaps w:val="0"/>
                <w:snapToGrid w:val="0"/>
                <w:color w:val="000000" w:themeColor="text1"/>
                <w:spacing w:val="0"/>
                <w:kern w:val="0"/>
                <w:position w:val="0"/>
                <w:sz w:val="24"/>
                <w:highlight w:val="none"/>
                <w:lang w:val="en-US" w:eastAsia="zh-CN"/>
                <w14:textFill>
                  <w14:solidFill>
                    <w14:schemeClr w14:val="tx1"/>
                  </w14:solidFill>
                </w14:textFill>
              </w:rPr>
              <w:t>11、</w:t>
            </w:r>
            <w:r>
              <w:rPr>
                <w:rFonts w:hint="default" w:ascii="Times New Roman" w:hAnsi="Times New Roman" w:cs="Times New Roman"/>
                <w:b/>
                <w:bCs/>
                <w:smallCaps w:val="0"/>
                <w:snapToGrid w:val="0"/>
                <w:color w:val="000000" w:themeColor="text1"/>
                <w:spacing w:val="0"/>
                <w:kern w:val="0"/>
                <w:position w:val="0"/>
                <w:sz w:val="24"/>
                <w:highlight w:val="none"/>
                <w:lang w:val="en-US" w:eastAsia="zh-CN"/>
                <w14:textFill>
                  <w14:solidFill>
                    <w14:schemeClr w14:val="tx1"/>
                  </w14:solidFill>
                </w14:textFill>
              </w:rPr>
              <w:t>项目环境保护“三同时”竣工验收</w:t>
            </w:r>
          </w:p>
          <w:p>
            <w:pPr>
              <w:keepNext w:val="0"/>
              <w:keepLines w:val="0"/>
              <w:pageBreakBefore w:val="0"/>
              <w:widowControl w:val="0"/>
              <w:kinsoku/>
              <w:wordWrap/>
              <w:overflowPunct/>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b/>
                <w:bCs/>
                <w:smallCaps w:val="0"/>
                <w:color w:val="000000" w:themeColor="text1"/>
                <w:spacing w:val="0"/>
                <w:kern w:val="0"/>
                <w:position w:val="0"/>
                <w:sz w:val="21"/>
                <w:szCs w:val="21"/>
                <w:highlight w:val="none"/>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4"/>
                <w:szCs w:val="24"/>
                <w:highlight w:val="none"/>
                <w14:textFill>
                  <w14:solidFill>
                    <w14:schemeClr w14:val="tx1"/>
                  </w14:solidFill>
                </w14:textFill>
              </w:rPr>
              <w:t>本项目环境保护“三同时”竣工验收情况</w:t>
            </w:r>
            <w:r>
              <w:rPr>
                <w:rFonts w:hint="default" w:ascii="Times New Roman" w:hAnsi="Times New Roman" w:eastAsia="宋体" w:cs="Times New Roman"/>
                <w:bCs/>
                <w:smallCaps w:val="0"/>
                <w:color w:val="000000" w:themeColor="text1"/>
                <w:spacing w:val="0"/>
                <w:kern w:val="0"/>
                <w:position w:val="0"/>
                <w:sz w:val="24"/>
                <w:szCs w:val="24"/>
                <w:highlight w:val="none"/>
                <w:lang w:eastAsia="zh-CN"/>
                <w14:textFill>
                  <w14:solidFill>
                    <w14:schemeClr w14:val="tx1"/>
                  </w14:solidFill>
                </w14:textFill>
              </w:rPr>
              <w:t>见表</w:t>
            </w:r>
            <w:r>
              <w:rPr>
                <w:rFonts w:hint="default" w:ascii="Times New Roman" w:hAnsi="Times New Roman" w:eastAsia="宋体" w:cs="Times New Roman"/>
                <w:bCs/>
                <w:smallCaps w:val="0"/>
                <w:color w:val="000000" w:themeColor="text1"/>
                <w:spacing w:val="0"/>
                <w:kern w:val="0"/>
                <w:position w:val="0"/>
                <w:sz w:val="24"/>
                <w:szCs w:val="24"/>
                <w:highlight w:val="none"/>
                <w:lang w:val="en-US" w:eastAsia="zh-CN"/>
                <w14:textFill>
                  <w14:solidFill>
                    <w14:schemeClr w14:val="tx1"/>
                  </w14:solidFill>
                </w14:textFill>
              </w:rPr>
              <w:t>4-1</w:t>
            </w:r>
            <w:r>
              <w:rPr>
                <w:rFonts w:hint="eastAsia" w:cs="Times New Roman"/>
                <w:bCs/>
                <w:smallCaps w:val="0"/>
                <w:color w:val="000000" w:themeColor="text1"/>
                <w:spacing w:val="0"/>
                <w:kern w:val="0"/>
                <w:position w:val="0"/>
                <w:sz w:val="24"/>
                <w:szCs w:val="24"/>
                <w:highlight w:val="none"/>
                <w:lang w:val="en-US" w:eastAsia="zh-CN"/>
                <w14:textFill>
                  <w14:solidFill>
                    <w14:schemeClr w14:val="tx1"/>
                  </w14:solidFill>
                </w14:textFill>
              </w:rPr>
              <w:t>9</w:t>
            </w:r>
            <w:r>
              <w:rPr>
                <w:rFonts w:hint="default" w:ascii="Times New Roman" w:hAnsi="Times New Roman" w:eastAsia="宋体" w:cs="Times New Roman"/>
                <w:bCs/>
                <w:smallCaps w:val="0"/>
                <w:color w:val="000000" w:themeColor="text1"/>
                <w:spacing w:val="0"/>
                <w:kern w:val="0"/>
                <w:position w:val="0"/>
                <w:sz w:val="24"/>
                <w:szCs w:val="24"/>
                <w:highlight w:val="none"/>
                <w14:textFill>
                  <w14:solidFill>
                    <w14:schemeClr w14:val="tx1"/>
                  </w14:solidFill>
                </w14:textFill>
              </w:rPr>
              <w:t>。</w:t>
            </w:r>
          </w:p>
          <w:p>
            <w:pPr>
              <w:pStyle w:val="35"/>
              <w:keepNext w:val="0"/>
              <w:keepLines w:val="0"/>
              <w:pageBreakBefore w:val="0"/>
              <w:widowControl w:val="0"/>
              <w:kinsoku/>
              <w:wordWrap/>
              <w:overflowPunct/>
              <w:topLinePunct w:val="0"/>
              <w:autoSpaceDE/>
              <w:autoSpaceDN/>
              <w:bidi w:val="0"/>
              <w:adjustRightInd w:val="0"/>
              <w:snapToGrid w:val="0"/>
              <w:spacing w:line="240" w:lineRule="auto"/>
              <w:ind w:left="0" w:right="0" w:firstLine="422" w:firstLineChars="200"/>
              <w:jc w:val="both"/>
              <w:textAlignment w:val="auto"/>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14:textFill>
                  <w14:solidFill>
                    <w14:schemeClr w14:val="tx1"/>
                  </w14:solidFill>
                </w14:textFill>
              </w:rPr>
              <w:t>表4-1</w:t>
            </w:r>
            <w:r>
              <w:rPr>
                <w:rFonts w:hint="eastAsia" w:cs="Times New Roman"/>
                <w:b/>
                <w:bCs/>
                <w:smallCaps w:val="0"/>
                <w:color w:val="000000" w:themeColor="text1"/>
                <w:spacing w:val="0"/>
                <w:kern w:val="0"/>
                <w:position w:val="0"/>
                <w:sz w:val="21"/>
                <w:szCs w:val="21"/>
                <w:highlight w:val="none"/>
                <w:lang w:val="en-US" w:eastAsia="zh-CN"/>
                <w14:textFill>
                  <w14:solidFill>
                    <w14:schemeClr w14:val="tx1"/>
                  </w14:solidFill>
                </w14:textFill>
              </w:rPr>
              <w:t>9</w:t>
            </w:r>
            <w:r>
              <w:rPr>
                <w:rFonts w:hint="eastAsia" w:ascii="Times New Roman" w:hAnsi="Times New Roman" w:eastAsia="宋体" w:cs="Times New Roman"/>
                <w:b/>
                <w:bCs/>
                <w:smallCaps w:val="0"/>
                <w:color w:val="000000" w:themeColor="text1"/>
                <w:spacing w:val="0"/>
                <w:kern w:val="0"/>
                <w:positio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smallCaps w:val="0"/>
                <w:color w:val="000000" w:themeColor="text1"/>
                <w:spacing w:val="0"/>
                <w:kern w:val="0"/>
                <w:position w:val="0"/>
                <w:sz w:val="21"/>
                <w:szCs w:val="21"/>
                <w:highlight w:val="none"/>
                <w:lang w:val="en-US" w:eastAsia="zh-CN"/>
                <w14:textFill>
                  <w14:solidFill>
                    <w14:schemeClr w14:val="tx1"/>
                  </w14:solidFill>
                </w14:textFill>
              </w:rPr>
              <w:t xml:space="preserve">  项目环保措施“三同时”验收表</w:t>
            </w:r>
          </w:p>
          <w:tbl>
            <w:tblPr>
              <w:tblStyle w:val="49"/>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701"/>
              <w:gridCol w:w="610"/>
              <w:gridCol w:w="3423"/>
              <w:gridCol w:w="3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7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t>分类</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t>环保措施</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val="0"/>
                      <w:smallCaps w:val="0"/>
                      <w:color w:val="000000" w:themeColor="text1"/>
                      <w:spacing w:val="0"/>
                      <w:kern w:val="0"/>
                      <w:position w:val="0"/>
                      <w:sz w:val="21"/>
                      <w:szCs w:val="21"/>
                      <w:highlight w:val="none"/>
                      <w:vertAlign w:val="baseline"/>
                      <w:lang w:eastAsia="zh-CN"/>
                      <w14:textFill>
                        <w14:solidFill>
                          <w14:schemeClr w14:val="tx1"/>
                        </w14:solidFill>
                      </w14:textFill>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7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废气治理</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t>还原土堆场设置不低于堆放高度的严密围挡，并采取篷布覆盖、洒水降尘等措施</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《大气污染物综合排放标准 》（</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GB16297- 1996</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）中非甲烷总烃和颗粒物无组织排放监控浓度限值要求</w:t>
                  </w:r>
                  <w:r>
                    <w:rPr>
                      <w:rFonts w:hint="eastAsia" w:cs="Times New Roman"/>
                      <w:smallCaps w:val="0"/>
                      <w:color w:val="000000" w:themeColor="text1"/>
                      <w:spacing w:val="0"/>
                      <w:kern w:val="0"/>
                      <w:position w:val="0"/>
                      <w:sz w:val="21"/>
                      <w:szCs w:val="21"/>
                      <w:highlight w:val="none"/>
                      <w:lang w:eastAsia="zh-CN"/>
                      <w14:textFill>
                        <w14:solidFill>
                          <w14:schemeClr w14:val="tx1"/>
                        </w14:solidFill>
                      </w14:textFill>
                    </w:rPr>
                    <w:t>；</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岩屑处理池下风向1m处非甲烷总烃满足</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《挥发性有机物无组织排放控制标准》（GB37822-2019）</w:t>
                  </w:r>
                  <w:r>
                    <w:rPr>
                      <w:rFonts w:hint="eastAsia"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1" w:hRule="atLeast"/>
              </w:trPr>
              <w:tc>
                <w:tcPr>
                  <w:tcW w:w="4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废水治理措施</w:t>
                  </w:r>
                </w:p>
              </w:tc>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生产废水</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循环利用</w:t>
                  </w:r>
                </w:p>
              </w:tc>
              <w:tc>
                <w:tcPr>
                  <w:tcW w:w="2190" w:type="pct"/>
                  <w:tcBorders>
                    <w:tl2br w:val="nil"/>
                    <w:tr2bl w:val="nil"/>
                  </w:tcBorders>
                  <w:noWrap w:val="0"/>
                  <w:vAlign w:val="center"/>
                </w:tcPr>
                <w:p>
                  <w:pPr>
                    <w:pStyle w:val="276"/>
                    <w:pageBreakBefore w:val="0"/>
                    <w:kinsoku/>
                    <w:wordWrap/>
                    <w:overflowPunct/>
                    <w:bidi w:val="0"/>
                    <w:adjustRightInd w:val="0"/>
                    <w:snapToGrid w:val="0"/>
                    <w:ind w:left="0" w:right="0"/>
                    <w:jc w:val="center"/>
                    <w:rPr>
                      <w:rFonts w:hint="eastAsia" w:ascii="Times New Roman" w:hAnsi="Times New Roman" w:eastAsia="宋体" w:cs="Times New Roman"/>
                      <w:caps w:val="0"/>
                      <w:smallCaps w:val="0"/>
                      <w:color w:val="000000" w:themeColor="text1"/>
                      <w:spacing w:val="0"/>
                      <w:kern w:val="0"/>
                      <w:position w:val="0"/>
                      <w:sz w:val="21"/>
                      <w:szCs w:val="21"/>
                      <w:highlight w:val="none"/>
                      <w:lang w:eastAsia="zh-CN"/>
                      <w14:textFill>
                        <w14:solidFill>
                          <w14:schemeClr w14:val="tx1"/>
                        </w14:solidFill>
                      </w14:textFill>
                    </w:rPr>
                  </w:pP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生活污水</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化粪池预处理后定期拉运至</w:t>
                  </w:r>
                  <w:r>
                    <w:rPr>
                      <w:rFonts w:hint="eastAsia"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尉犁县污水处理厂</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《污水综合排放标准》（</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GB8978- 1996</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）中</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表</w:t>
                  </w:r>
                  <w:r>
                    <w:rPr>
                      <w:rFonts w:hint="default"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4</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第二类污染物最高允许排放浓度二级标准要求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7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噪声治理</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eastAsia"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t>基础减震措施</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《工业企业厂界环境噪声排放标准》（GB12348-2008）中的</w:t>
                  </w:r>
                  <w: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2</w:t>
                  </w: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固废治理</w:t>
                  </w:r>
                </w:p>
              </w:tc>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污泥</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按照国家规定的危险废物鉴别标准和鉴别方法进行鉴定，若经鉴定属于危险废物，则应当按照危险废物进行收集、运输、处置，若经鉴定属于一般工业固废，则应当按照一般工业固废进行收集、处置</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eastAsia"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t>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t>废包装袋</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smallCaps w:val="0"/>
                      <w:color w:val="000000" w:themeColor="text1"/>
                      <w:spacing w:val="0"/>
                      <w:kern w:val="0"/>
                      <w:position w:val="0"/>
                      <w:sz w:val="21"/>
                      <w:szCs w:val="21"/>
                      <w:highlight w:val="none"/>
                      <w:lang w:eastAsia="zh-CN"/>
                      <w14:textFill>
                        <w14:solidFill>
                          <w14:schemeClr w14:val="tx1"/>
                        </w14:solidFill>
                      </w14:textFill>
                    </w:rPr>
                    <w:t>交由废品收购站</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eastAsia"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t>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危险废物</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废机油、废机油桶、</w:t>
                  </w: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化验室废液</w:t>
                  </w:r>
                  <w: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等</w:t>
                  </w: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危险废物贮存库暂存，定期由有资质单位处置</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《危险废物贮存污染控制标准》 （</w:t>
                  </w:r>
                  <w:r>
                    <w:rPr>
                      <w:rFonts w:hint="default" w:ascii="Times New Roman" w:hAnsi="Times New Roman" w:eastAsia="Times New Roman" w:cs="Times New Roman"/>
                      <w:smallCaps w:val="0"/>
                      <w:color w:val="000000" w:themeColor="text1"/>
                      <w:spacing w:val="0"/>
                      <w:kern w:val="0"/>
                      <w:position w:val="0"/>
                      <w:sz w:val="21"/>
                      <w:szCs w:val="21"/>
                      <w:highlight w:val="none"/>
                      <w14:textFill>
                        <w14:solidFill>
                          <w14:schemeClr w14:val="tx1"/>
                        </w14:solidFill>
                      </w14:textFill>
                    </w:rPr>
                    <w:t>GB18597-20</w:t>
                  </w:r>
                  <w:r>
                    <w:rPr>
                      <w:rFonts w:hint="default" w:ascii="Times New Roman" w:hAnsi="Times New Roman" w:eastAsia="宋体" w:cs="Times New Roman"/>
                      <w:smallCaps w:val="0"/>
                      <w:color w:val="000000" w:themeColor="text1"/>
                      <w:spacing w:val="0"/>
                      <w:kern w:val="0"/>
                      <w:position w:val="0"/>
                      <w:sz w:val="21"/>
                      <w:szCs w:val="21"/>
                      <w:highlight w:val="none"/>
                      <w:lang w:val="en-US" w:eastAsia="zh-CN"/>
                      <w14:textFill>
                        <w14:solidFill>
                          <w14:schemeClr w14:val="tx1"/>
                        </w14:solidFill>
                      </w14:textFill>
                    </w:rPr>
                    <w:t>23</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1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p>
              </w:tc>
              <w:tc>
                <w:tcPr>
                  <w:tcW w:w="3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生活垃圾</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厂内布置垃圾箱，</w:t>
                  </w:r>
                  <w:r>
                    <w:rPr>
                      <w:rFonts w:hint="default" w:ascii="Times New Roman" w:hAnsi="Times New Roman" w:eastAsia="宋体" w:cs="Times New Roman"/>
                      <w:caps w:val="0"/>
                      <w:smallCaps w:val="0"/>
                      <w:color w:val="000000" w:themeColor="text1"/>
                      <w:spacing w:val="0"/>
                      <w:kern w:val="0"/>
                      <w:position w:val="0"/>
                      <w:sz w:val="21"/>
                      <w:szCs w:val="21"/>
                      <w:highlight w:val="none"/>
                      <w14:textFill>
                        <w14:solidFill>
                          <w14:schemeClr w14:val="tx1"/>
                        </w14:solidFill>
                      </w14:textFill>
                    </w:rPr>
                    <w:t>由垃圾箱暂存，</w:t>
                  </w:r>
                  <w:r>
                    <w:rPr>
                      <w:rFonts w:hint="eastAsia"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集中收集后</w:t>
                  </w:r>
                  <w:r>
                    <w:rPr>
                      <w:rFonts w:hint="default" w:ascii="Times New Roman" w:hAnsi="Times New Roman" w:eastAsia="宋体" w:cs="Times New Roman"/>
                      <w:caps w:val="0"/>
                      <w:smallCaps w:val="0"/>
                      <w:color w:val="000000" w:themeColor="text1"/>
                      <w:spacing w:val="0"/>
                      <w:kern w:val="0"/>
                      <w:position w:val="0"/>
                      <w:sz w:val="21"/>
                      <w:szCs w:val="21"/>
                      <w:highlight w:val="none"/>
                      <w:lang w:val="en-US" w:eastAsia="zh-CN"/>
                      <w14:textFill>
                        <w14:solidFill>
                          <w14:schemeClr w14:val="tx1"/>
                        </w14:solidFill>
                      </w14:textFill>
                    </w:rPr>
                    <w:t>交由环卫部门清运处置</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eastAsia"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t>妥善处置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7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t>防渗工程</w:t>
                  </w:r>
                </w:p>
              </w:tc>
              <w:tc>
                <w:tcPr>
                  <w:tcW w:w="20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both"/>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危险废物贮存库采取重点防渗；岩屑处理池、</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化粪池</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污水池、</w:t>
                  </w:r>
                  <w:r>
                    <w:rPr>
                      <w:rFonts w:hint="eastAsia" w:ascii="Times New Roman" w:hAnsi="Times New Roman" w:cs="Times New Roman"/>
                      <w:smallCaps w:val="0"/>
                      <w:color w:val="000000" w:themeColor="text1"/>
                      <w:spacing w:val="0"/>
                      <w:kern w:val="0"/>
                      <w:position w:val="0"/>
                      <w:sz w:val="21"/>
                      <w:szCs w:val="21"/>
                      <w:highlight w:val="none"/>
                      <w:lang w:val="en-US" w:eastAsia="zh-CN"/>
                      <w14:textFill>
                        <w14:solidFill>
                          <w14:schemeClr w14:val="tx1"/>
                        </w14:solidFill>
                      </w14:textFill>
                    </w:rPr>
                    <w:t>泥浆回收利用池</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采取一般防渗；</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还原土堆场和其他生产区域</w:t>
                  </w:r>
                  <w:r>
                    <w:rPr>
                      <w:rFonts w:hint="default" w:ascii="Times New Roman" w:hAnsi="Times New Roman" w:cs="Times New Roman"/>
                      <w:smallCaps w:val="0"/>
                      <w:color w:val="000000" w:themeColor="text1"/>
                      <w:spacing w:val="0"/>
                      <w:kern w:val="0"/>
                      <w:position w:val="0"/>
                      <w:sz w:val="21"/>
                      <w:szCs w:val="21"/>
                      <w:highlight w:val="none"/>
                      <w:lang w:eastAsia="zh-CN"/>
                      <w14:textFill>
                        <w14:solidFill>
                          <w14:schemeClr w14:val="tx1"/>
                        </w14:solidFill>
                      </w14:textFill>
                    </w:rPr>
                    <w:t>为</w:t>
                  </w:r>
                  <w:r>
                    <w:rPr>
                      <w:rFonts w:hint="eastAsia" w:cs="Times New Roman"/>
                      <w:smallCaps w:val="0"/>
                      <w:color w:val="000000" w:themeColor="text1"/>
                      <w:spacing w:val="0"/>
                      <w:kern w:val="0"/>
                      <w:position w:val="0"/>
                      <w:sz w:val="21"/>
                      <w:szCs w:val="21"/>
                      <w:highlight w:val="none"/>
                      <w:lang w:val="en-US" w:eastAsia="zh-CN"/>
                      <w14:textFill>
                        <w14:solidFill>
                          <w14:schemeClr w14:val="tx1"/>
                        </w14:solidFill>
                      </w14:textFill>
                    </w:rPr>
                    <w:t>简单防渗</w:t>
                  </w: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w:t>
                  </w:r>
                </w:p>
              </w:tc>
              <w:tc>
                <w:tcPr>
                  <w:tcW w:w="21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bCs/>
                      <w:smallCaps w:val="0"/>
                      <w:color w:val="000000" w:themeColor="text1"/>
                      <w:spacing w:val="0"/>
                      <w:kern w:val="0"/>
                      <w:positio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smallCaps w:val="0"/>
                      <w:color w:val="000000" w:themeColor="text1"/>
                      <w:spacing w:val="0"/>
                      <w:kern w:val="0"/>
                      <w:position w:val="0"/>
                      <w:sz w:val="21"/>
                      <w:szCs w:val="21"/>
                      <w:highlight w:val="none"/>
                      <w14:textFill>
                        <w14:solidFill>
                          <w14:schemeClr w14:val="tx1"/>
                        </w14:solidFill>
                      </w14:textFill>
                    </w:rPr>
                    <w:t>严格按照要求采取防渗措施</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smallCaps w:val="0"/>
                <w:color w:val="000000" w:themeColor="text1"/>
                <w:spacing w:val="0"/>
                <w:kern w:val="0"/>
                <w:position w:val="0"/>
                <w:sz w:val="24"/>
                <w:szCs w:val="24"/>
                <w:highlight w:val="none"/>
                <w:lang w:val="en-US" w:eastAsia="zh-CN"/>
                <w14:textFill>
                  <w14:solidFill>
                    <w14:schemeClr w14:val="tx1"/>
                  </w14:solidFill>
                </w14:textFill>
              </w:rPr>
            </w:pPr>
          </w:p>
        </w:tc>
      </w:tr>
    </w:tbl>
    <w:p>
      <w:pPr>
        <w:pageBreakBefore w:val="0"/>
        <w:kinsoku/>
        <w:wordWrap/>
        <w:bidi w:val="0"/>
        <w:adjustRightInd/>
        <w:snapToGrid/>
        <w:spacing w:line="360" w:lineRule="auto"/>
        <w:rPr>
          <w:rFonts w:ascii="Times New Roman" w:hAnsi="Times New Roman" w:eastAsia="宋体"/>
          <w:b/>
          <w:caps w:val="0"/>
          <w:color w:val="000000" w:themeColor="text1"/>
          <w:kern w:val="0"/>
          <w:sz w:val="28"/>
          <w:szCs w:val="28"/>
          <w:highlight w:val="none"/>
          <w14:textFill>
            <w14:solidFill>
              <w14:schemeClr w14:val="tx1"/>
            </w14:solidFill>
          </w14:textFill>
        </w:rPr>
      </w:pPr>
    </w:p>
    <w:p>
      <w:pPr>
        <w:pStyle w:val="35"/>
        <w:ind w:left="0" w:leftChars="0" w:firstLine="0" w:firstLineChars="0"/>
        <w:rPr>
          <w:rFonts w:ascii="Times New Roman" w:hAnsi="Times New Roman" w:eastAsia="宋体"/>
          <w:b/>
          <w:caps w:val="0"/>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宋体"/>
          <w:b/>
          <w:caps w:val="0"/>
          <w:snapToGrid w:val="0"/>
          <w:color w:val="000000" w:themeColor="text1"/>
          <w:sz w:val="30"/>
          <w:szCs w:val="30"/>
          <w:highlight w:val="none"/>
          <w14:textFill>
            <w14:solidFill>
              <w14:schemeClr w14:val="tx1"/>
            </w14:solidFill>
          </w14:textFill>
        </w:rPr>
      </w:pPr>
      <w:bookmarkStart w:id="12" w:name="_Toc1352"/>
      <w:bookmarkStart w:id="13" w:name="_Toc2317"/>
      <w:r>
        <w:rPr>
          <w:rFonts w:ascii="Times New Roman" w:hAnsi="Times New Roman" w:eastAsia="宋体"/>
          <w:b/>
          <w:caps w:val="0"/>
          <w:snapToGrid w:val="0"/>
          <w:color w:val="000000" w:themeColor="text1"/>
          <w:sz w:val="30"/>
          <w:szCs w:val="30"/>
          <w:highlight w:val="none"/>
          <w14:textFill>
            <w14:solidFill>
              <w14:schemeClr w14:val="tx1"/>
            </w14:solidFill>
          </w14:textFill>
        </w:rPr>
        <w:t>五、</w:t>
      </w:r>
      <w:bookmarkStart w:id="14" w:name="_Hlk54167917"/>
      <w:r>
        <w:rPr>
          <w:rFonts w:ascii="Times New Roman" w:hAnsi="Times New Roman" w:eastAsia="宋体"/>
          <w:b/>
          <w:caps w:val="0"/>
          <w:snapToGrid w:val="0"/>
          <w:color w:val="000000" w:themeColor="text1"/>
          <w:sz w:val="30"/>
          <w:szCs w:val="30"/>
          <w:highlight w:val="none"/>
          <w14:textFill>
            <w14:solidFill>
              <w14:schemeClr w14:val="tx1"/>
            </w14:solidFill>
          </w14:textFill>
        </w:rPr>
        <w:t>环境保护措施监督检查清单</w:t>
      </w:r>
      <w:bookmarkEnd w:id="12"/>
      <w:bookmarkEnd w:id="13"/>
      <w:bookmarkEnd w:id="14"/>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53"/>
        <w:gridCol w:w="1498"/>
        <w:gridCol w:w="1453"/>
        <w:gridCol w:w="1784"/>
        <w:gridCol w:w="30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要素</w:t>
            </w:r>
          </w:p>
        </w:tc>
        <w:tc>
          <w:tcPr>
            <w:tcW w:w="1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排放口</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（编号、名称）/污染源</w:t>
            </w:r>
          </w:p>
        </w:tc>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污染物项目</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环境保护措施</w:t>
            </w:r>
          </w:p>
        </w:tc>
        <w:tc>
          <w:tcPr>
            <w:tcW w:w="3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b/>
                <w:bCs/>
                <w:caps w:val="0"/>
                <w:color w:val="000000" w:themeColor="text1"/>
                <w:spacing w:val="0"/>
                <w:kern w:val="0"/>
                <w:sz w:val="24"/>
                <w:szCs w:val="24"/>
                <w:highlight w:val="none"/>
                <w14:textFill>
                  <w14:solidFill>
                    <w14:schemeClr w14:val="tx1"/>
                  </w14:solidFill>
                </w14:textFill>
              </w:rPr>
              <w:t>执行标准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大气环境</w:t>
            </w:r>
          </w:p>
        </w:tc>
        <w:tc>
          <w:tcPr>
            <w:tcW w:w="14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无组织排放</w:t>
            </w:r>
          </w:p>
        </w:tc>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非甲烷总烃</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w:t>
            </w:r>
          </w:p>
        </w:tc>
        <w:tc>
          <w:tcPr>
            <w:tcW w:w="306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《大气污染物综合排放标准》（GB 16297-1996）无组织排放限值要求</w:t>
            </w:r>
            <w:r>
              <w:rPr>
                <w:rFonts w:hint="eastAsia" w:cs="Times New Roman"/>
                <w:color w:val="000000" w:themeColor="text1"/>
                <w:spacing w:val="0"/>
                <w:kern w:val="0"/>
                <w:sz w:val="24"/>
                <w:szCs w:val="24"/>
                <w:highlight w:val="none"/>
                <w:lang w:val="en-US" w:eastAsia="zh-CN"/>
                <w14:textFill>
                  <w14:solidFill>
                    <w14:schemeClr w14:val="tx1"/>
                  </w14:solidFill>
                </w14:textFill>
              </w:rPr>
              <w:t>，岩屑处理池下风向1m处非甲烷总烃满足《挥发性有机物无组织排放控制标准》（GB37822-2019）标准要求。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tc>
        <w:tc>
          <w:tcPr>
            <w:tcW w:w="14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pPr>
          </w:p>
        </w:tc>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扬尘（TSP）</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还原土堆场设置不低于堆放高度的严密围挡，并采取篷布覆盖、洒水降尘等措施</w:t>
            </w:r>
          </w:p>
        </w:tc>
        <w:tc>
          <w:tcPr>
            <w:tcW w:w="306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水环境</w:t>
            </w:r>
          </w:p>
        </w:tc>
        <w:tc>
          <w:tcPr>
            <w:tcW w:w="1498"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生产废水</w:t>
            </w:r>
          </w:p>
        </w:tc>
        <w:tc>
          <w:tcPr>
            <w:tcW w:w="1453"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COD等</w:t>
            </w:r>
          </w:p>
        </w:tc>
        <w:tc>
          <w:tcPr>
            <w:tcW w:w="1784"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全部循环利用，实现闭路循环</w:t>
            </w:r>
          </w:p>
        </w:tc>
        <w:tc>
          <w:tcPr>
            <w:tcW w:w="3067"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eastAsia" w:cs="Times New Roman"/>
                <w:color w:val="000000" w:themeColor="text1"/>
                <w:spacing w:val="0"/>
                <w:kern w:val="0"/>
                <w:sz w:val="24"/>
                <w:szCs w:val="24"/>
                <w:highlight w:val="none"/>
                <w:lang w:val="en-US" w:eastAsia="zh-CN" w:bidi="ar-SA"/>
                <w14:textFill>
                  <w14:solidFill>
                    <w14:schemeClr w14:val="tx1"/>
                  </w14:solidFill>
                </w14:textFill>
              </w:rPr>
              <w:t>不外排</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tc>
        <w:tc>
          <w:tcPr>
            <w:tcW w:w="1498"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生活污水</w:t>
            </w:r>
          </w:p>
        </w:tc>
        <w:tc>
          <w:tcPr>
            <w:tcW w:w="1453"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COD、氨氮等</w:t>
            </w:r>
          </w:p>
        </w:tc>
        <w:tc>
          <w:tcPr>
            <w:tcW w:w="1784" w:type="dxa"/>
            <w:tcBorders>
              <w:tl2br w:val="nil"/>
              <w:tr2bl w:val="nil"/>
            </w:tcBorders>
            <w:noWrap w:val="0"/>
            <w:vAlign w:val="center"/>
          </w:tcPr>
          <w:p>
            <w:pPr>
              <w:pStyle w:val="276"/>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化粪池暂存定期拉至</w:t>
            </w:r>
            <w:r>
              <w:rPr>
                <w:rFonts w:hint="eastAsia"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尉犁县</w:t>
            </w: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污水处理厂</w:t>
            </w:r>
          </w:p>
        </w:tc>
        <w:tc>
          <w:tcPr>
            <w:tcW w:w="3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《污水综合排放标准》（GB8978- 1996）中</w:t>
            </w: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表</w:t>
            </w: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4</w:t>
            </w:r>
            <w:r>
              <w:rPr>
                <w:rFonts w:hint="eastAsia" w:cs="Times New Roman"/>
                <w:color w:val="000000" w:themeColor="text1"/>
                <w:spacing w:val="0"/>
                <w:kern w:val="0"/>
                <w:sz w:val="24"/>
                <w:szCs w:val="24"/>
                <w:highlight w:val="none"/>
                <w:lang w:val="en-US" w:eastAsia="zh-CN"/>
                <w14:textFill>
                  <w14:solidFill>
                    <w14:schemeClr w14:val="tx1"/>
                  </w14:solidFill>
                </w14:textFill>
              </w:rPr>
              <w:t>中三级排放标准要求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声环境</w:t>
            </w:r>
          </w:p>
        </w:tc>
        <w:tc>
          <w:tcPr>
            <w:tcW w:w="14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生产设备噪声</w:t>
            </w:r>
          </w:p>
        </w:tc>
        <w:tc>
          <w:tcPr>
            <w:tcW w:w="1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等效A声级</w:t>
            </w:r>
          </w:p>
        </w:tc>
        <w:tc>
          <w:tcPr>
            <w:tcW w:w="1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选用高效低噪声设备、安装减振底座等</w:t>
            </w:r>
          </w:p>
        </w:tc>
        <w:tc>
          <w:tcPr>
            <w:tcW w:w="30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bidi="ar-SA"/>
                <w14:textFill>
                  <w14:solidFill>
                    <w14:schemeClr w14:val="tx1"/>
                  </w14:solidFill>
                </w14:textFill>
              </w:rPr>
              <w:t>《工业企业厂界环境噪声排放标准》（GB12348-2008）中的2类标准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电磁辐射</w:t>
            </w: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固体废物</w:t>
            </w: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污泥：按照国家规定的危险废物鉴别标准和鉴别方法进行鉴定，若经鉴定属于危险废物，则应当按照危险废物进行收集、运输、处置，若经鉴定属于一般工业固废，则应当按照一般工业固废进行收集、处置。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废机油、废机油桶、</w:t>
            </w: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化验室废液</w:t>
            </w:r>
            <w:r>
              <w:rPr>
                <w:rFonts w:hint="default" w:ascii="Times New Roman" w:hAnsi="Times New Roman" w:eastAsia="宋体" w:cs="Times New Roman"/>
                <w:color w:val="000000" w:themeColor="text1"/>
                <w:spacing w:val="0"/>
                <w:kern w:val="0"/>
                <w:sz w:val="24"/>
                <w:szCs w:val="24"/>
                <w:highlight w:val="none"/>
                <w:lang w:val="en-US" w:eastAsia="zh-CN"/>
                <w14:textFill>
                  <w14:solidFill>
                    <w14:schemeClr w14:val="tx1"/>
                  </w14:solidFill>
                </w14:textFill>
              </w:rPr>
              <w:t>等</w:t>
            </w: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危险废物贮存库储存，定期交由有资质单位处置。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废包装袋交由废品收购站。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厂内布置垃圾箱，</w:t>
            </w:r>
            <w:r>
              <w:rPr>
                <w:rFonts w:hint="default" w:ascii="Times New Roman" w:hAnsi="Times New Roman" w:eastAsia="宋体" w:cs="Times New Roman"/>
                <w:color w:val="000000" w:themeColor="text1"/>
                <w:spacing w:val="0"/>
                <w:kern w:val="0"/>
                <w:sz w:val="24"/>
                <w:szCs w:val="24"/>
                <w:highlight w:val="none"/>
                <w14:textFill>
                  <w14:solidFill>
                    <w14:schemeClr w14:val="tx1"/>
                  </w14:solidFill>
                </w14:textFill>
              </w:rPr>
              <w:t>由垃圾箱暂存，</w:t>
            </w:r>
            <w:r>
              <w:rPr>
                <w:rFonts w:hint="eastAsia" w:cs="Times New Roman"/>
                <w:color w:val="000000" w:themeColor="text1"/>
                <w:spacing w:val="0"/>
                <w:kern w:val="0"/>
                <w:sz w:val="24"/>
                <w:szCs w:val="24"/>
                <w:highlight w:val="none"/>
                <w:lang w:val="en-US" w:eastAsia="zh-CN"/>
                <w14:textFill>
                  <w14:solidFill>
                    <w14:schemeClr w14:val="tx1"/>
                  </w14:solidFill>
                </w14:textFill>
              </w:rPr>
              <w:t>交由环卫部门清运处置</w:t>
            </w:r>
            <w:r>
              <w:rPr>
                <w:rFonts w:hint="default" w:ascii="Times New Roman" w:hAnsi="Times New Roman" w:eastAsia="宋体" w:cs="Times New Roman"/>
                <w:color w:val="000000" w:themeColor="text1"/>
                <w:spacing w:val="0"/>
                <w:kern w:val="0"/>
                <w:sz w:val="24"/>
                <w:szCs w:val="24"/>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土壤及地下水污染防治措施</w:t>
            </w: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bCs/>
                <w:color w:val="000000" w:themeColor="text1"/>
                <w:spacing w:val="0"/>
                <w:kern w:val="0"/>
                <w:sz w:val="24"/>
                <w:szCs w:val="24"/>
                <w:highlight w:val="none"/>
                <w:vertAlign w:val="baseline"/>
                <w:lang w:eastAsia="zh-CN"/>
                <w14:textFill>
                  <w14:solidFill>
                    <w14:schemeClr w14:val="tx1"/>
                  </w14:solidFill>
                </w14:textFill>
              </w:rPr>
            </w:pPr>
            <w:r>
              <w:rPr>
                <w:rFonts w:hint="eastAsia" w:cs="Times New Roman"/>
                <w:bCs/>
                <w:color w:val="000000" w:themeColor="text1"/>
                <w:spacing w:val="0"/>
                <w:kern w:val="0"/>
                <w:sz w:val="24"/>
                <w:szCs w:val="24"/>
                <w:highlight w:val="none"/>
                <w:shd w:val="clear" w:color="auto" w:fill="auto"/>
                <w:vertAlign w:val="baseline"/>
                <w:lang w:val="en-US" w:eastAsia="zh-CN"/>
                <w14:textFill>
                  <w14:solidFill>
                    <w14:schemeClr w14:val="tx1"/>
                  </w14:solidFill>
                </w14:textFill>
              </w:rPr>
              <w:t>落实分区防渗措施，危险废物贮存库</w:t>
            </w:r>
            <w:r>
              <w:rPr>
                <w:rFonts w:hint="default" w:ascii="Times New Roman" w:hAnsi="Times New Roman" w:eastAsia="宋体" w:cs="Times New Roman"/>
                <w:bCs/>
                <w:color w:val="000000" w:themeColor="text1"/>
                <w:spacing w:val="0"/>
                <w:kern w:val="0"/>
                <w:sz w:val="24"/>
                <w:szCs w:val="24"/>
                <w:highlight w:val="none"/>
                <w:shd w:val="clear" w:color="auto" w:fill="auto"/>
                <w:vertAlign w:val="baseline"/>
                <w:lang w:eastAsia="zh-CN"/>
                <w14:textFill>
                  <w14:solidFill>
                    <w14:schemeClr w14:val="tx1"/>
                  </w14:solidFill>
                </w14:textFill>
              </w:rPr>
              <w:t>按《危险废物贮存污染控制标准》（GB18597-20</w:t>
            </w:r>
            <w:r>
              <w:rPr>
                <w:rFonts w:hint="default" w:ascii="Times New Roman" w:hAnsi="Times New Roman" w:eastAsia="宋体" w:cs="Times New Roman"/>
                <w:bCs/>
                <w:color w:val="000000" w:themeColor="text1"/>
                <w:spacing w:val="0"/>
                <w:kern w:val="0"/>
                <w:sz w:val="24"/>
                <w:szCs w:val="24"/>
                <w:highlight w:val="none"/>
                <w:shd w:val="clear" w:color="auto" w:fill="auto"/>
                <w:vertAlign w:val="baseline"/>
                <w:lang w:val="en-US" w:eastAsia="zh-CN"/>
                <w14:textFill>
                  <w14:solidFill>
                    <w14:schemeClr w14:val="tx1"/>
                  </w14:solidFill>
                </w14:textFill>
              </w:rPr>
              <w:t>23</w:t>
            </w:r>
            <w:r>
              <w:rPr>
                <w:rFonts w:hint="default" w:ascii="Times New Roman" w:hAnsi="Times New Roman" w:eastAsia="宋体" w:cs="Times New Roman"/>
                <w:bCs/>
                <w:color w:val="000000" w:themeColor="text1"/>
                <w:spacing w:val="0"/>
                <w:kern w:val="0"/>
                <w:sz w:val="24"/>
                <w:szCs w:val="24"/>
                <w:highlight w:val="none"/>
                <w:shd w:val="clear" w:color="auto" w:fill="auto"/>
                <w:vertAlign w:val="baseline"/>
                <w:lang w:eastAsia="zh-CN"/>
                <w14:textFill>
                  <w14:solidFill>
                    <w14:schemeClr w14:val="tx1"/>
                  </w14:solidFill>
                </w14:textFill>
              </w:rPr>
              <w:t>）中相关要求</w:t>
            </w:r>
            <w:r>
              <w:rPr>
                <w:rFonts w:hint="eastAsia" w:cs="Times New Roman"/>
                <w:bCs/>
                <w:color w:val="000000" w:themeColor="text1"/>
                <w:spacing w:val="0"/>
                <w:kern w:val="0"/>
                <w:sz w:val="24"/>
                <w:szCs w:val="24"/>
                <w:highlight w:val="none"/>
                <w:shd w:val="clear" w:color="auto" w:fill="auto"/>
                <w:vertAlign w:val="baseline"/>
                <w:lang w:val="en-US" w:eastAsia="zh-CN"/>
                <w14:textFill>
                  <w14:solidFill>
                    <w14:schemeClr w14:val="tx1"/>
                  </w14:solidFill>
                </w14:textFill>
              </w:rPr>
              <w:t>重点防渗；岩屑处理池、污水池、化粪池、泥浆回收利用池采取一般防渗；还原土堆场和其他生产区域为简单防渗</w:t>
            </w:r>
            <w:r>
              <w:rPr>
                <w:rFonts w:hint="default" w:ascii="Times New Roman" w:hAnsi="Times New Roman" w:cs="Times New Roman"/>
                <w:color w:val="000000" w:themeColor="text1"/>
                <w:spacing w:val="0"/>
                <w:kern w:val="0"/>
                <w:sz w:val="24"/>
                <w:szCs w:val="24"/>
                <w:highlight w:val="none"/>
                <w:shd w:val="clear" w:color="auto" w:fill="auto"/>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生态保护措施</w:t>
            </w:r>
          </w:p>
        </w:tc>
        <w:tc>
          <w:tcPr>
            <w:tcW w:w="7802" w:type="dxa"/>
            <w:gridSpan w:val="4"/>
            <w:tcBorders>
              <w:tl2br w:val="nil"/>
              <w:tr2bl w:val="nil"/>
            </w:tcBorders>
            <w:noWrap w:val="0"/>
            <w:vAlign w:val="center"/>
          </w:tcPr>
          <w:p>
            <w:pPr>
              <w:pStyle w:val="11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pPr>
            <w:r>
              <w:rPr>
                <w:rFonts w:hint="eastAsia" w:ascii="Times New Roman" w:hAnsi="Times New Roman" w:cs="Times New Roman"/>
                <w:b/>
                <w:bCs/>
                <w:caps w:val="0"/>
                <w:color w:val="000000" w:themeColor="text1"/>
                <w:spacing w:val="0"/>
                <w:kern w:val="0"/>
                <w:sz w:val="24"/>
                <w:szCs w:val="24"/>
                <w:highlight w:val="none"/>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环境风险</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防范措施</w:t>
            </w: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（1）完善物料贮存设施，加强对物料储存、使用的安全管理和检查，避免物料出现泄漏；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（2）</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危险废物贮存库</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地面均应采取防腐防渗处理。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（3）废</w:t>
            </w:r>
            <w:r>
              <w:rPr>
                <w:rFonts w:hint="eastAsia" w:cs="Times New Roman"/>
                <w:caps w:val="0"/>
                <w:color w:val="000000" w:themeColor="text1"/>
                <w:spacing w:val="0"/>
                <w:kern w:val="0"/>
                <w:sz w:val="24"/>
                <w:szCs w:val="24"/>
                <w:highlight w:val="none"/>
                <w:lang w:val="en-US" w:eastAsia="zh-CN"/>
                <w14:textFill>
                  <w14:solidFill>
                    <w14:schemeClr w14:val="tx1"/>
                  </w14:solidFill>
                </w14:textFill>
              </w:rPr>
              <w:t>机油</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、废油桶、化验室废液等</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在</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暂存间</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内</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暂存，</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定期检查，发现其品质变化、包装破损、渗漏等，及时处理。防治污染土壤及地下水环境</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（4）配备应急救援物资，灭火器、消防栓等</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）制定风险防范措施，通过加强员工的安全、环保知识和风险事故安全教育，提高职工的风险意识，以减少风险发生的概率</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6</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）建设单位应严格按照国家有关标准的要求对生产过程进行严格监控和管理，认真落实本次环评提出的环保对策措施，并制定应急预案。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2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其他环境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管理要求</w:t>
            </w:r>
          </w:p>
        </w:tc>
        <w:tc>
          <w:tcPr>
            <w:tcW w:w="780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（1）根据国家和地方相关环保政策和法规，制定企业环境保护计划的环保方针目标。并建立相应的管理监督制度。</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（2）监控相关污染物，满足日常监测需要、排污口规范化。</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3</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加强环保教育宣传，并制定紧急情况应急措施，预防或减少可能的环境影响。</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4</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）维护环保措施的正常运行和安全生产，对各种环保设施进行定期检查和维修，确保污染物达标排放，同时要推广及应用先进的环保技术和经验，最大限度降低污染物的排放量。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5</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）按照要求</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申请</w:t>
            </w:r>
            <w:r>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t>排污许可</w:t>
            </w:r>
            <w:r>
              <w:rPr>
                <w:rFonts w:hint="default" w:ascii="Times New Roman" w:hAnsi="Times New Roman" w:eastAsia="宋体" w:cs="Times New Roman"/>
                <w:caps w:val="0"/>
                <w:color w:val="000000" w:themeColor="text1"/>
                <w:spacing w:val="0"/>
                <w:kern w:val="0"/>
                <w:sz w:val="24"/>
                <w:szCs w:val="24"/>
                <w:highlight w:val="none"/>
                <w:lang w:eastAsia="zh-CN"/>
                <w14:textFill>
                  <w14:solidFill>
                    <w14:schemeClr w14:val="tx1"/>
                  </w14:solidFill>
                </w14:textFill>
              </w:rPr>
              <w:t>证</w:t>
            </w:r>
            <w:r>
              <w:rPr>
                <w:rFonts w:hint="default" w:ascii="Times New Roman" w:hAnsi="Times New Roman" w:eastAsia="宋体" w:cs="Times New Roman"/>
                <w:caps w:val="0"/>
                <w:color w:val="000000" w:themeColor="text1"/>
                <w:spacing w:val="0"/>
                <w:kern w:val="0"/>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imes New Roman"/>
                <w:caps w:val="0"/>
                <w:color w:val="000000" w:themeColor="text1"/>
                <w:spacing w:val="0"/>
                <w:kern w:val="0"/>
                <w:sz w:val="24"/>
                <w:szCs w:val="24"/>
                <w:highlight w:val="none"/>
                <w14:textFill>
                  <w14:solidFill>
                    <w14:schemeClr w14:val="tx1"/>
                  </w14:solidFill>
                </w14:textFill>
              </w:rPr>
            </w:pPr>
          </w:p>
        </w:tc>
      </w:tr>
    </w:tbl>
    <w:p>
      <w:pPr>
        <w:pStyle w:val="4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宋体"/>
          <w:b/>
          <w:caps w:val="0"/>
          <w:snapToGrid w:val="0"/>
          <w:color w:val="000000" w:themeColor="text1"/>
          <w:sz w:val="30"/>
          <w:szCs w:val="30"/>
          <w:highlight w:val="none"/>
          <w14:textFill>
            <w14:solidFill>
              <w14:schemeClr w14:val="tx1"/>
            </w14:solidFill>
          </w14:textFill>
        </w:rPr>
      </w:pPr>
      <w:r>
        <w:rPr>
          <w:rFonts w:ascii="Times New Roman" w:hAnsi="Times New Roman" w:eastAsia="宋体"/>
          <w:caps w:val="0"/>
          <w:snapToGrid w:val="0"/>
          <w:color w:val="000000" w:themeColor="text1"/>
          <w:highlight w:val="none"/>
          <w14:textFill>
            <w14:solidFill>
              <w14:schemeClr w14:val="tx1"/>
            </w14:solidFill>
          </w14:textFill>
        </w:rPr>
        <w:br w:type="page"/>
      </w:r>
      <w:bookmarkStart w:id="15" w:name="_Toc23827"/>
      <w:bookmarkStart w:id="16" w:name="_Toc6493"/>
      <w:r>
        <w:rPr>
          <w:rFonts w:ascii="Times New Roman" w:hAnsi="Times New Roman" w:eastAsia="宋体"/>
          <w:b/>
          <w:caps w:val="0"/>
          <w:snapToGrid w:val="0"/>
          <w:color w:val="000000" w:themeColor="text1"/>
          <w:sz w:val="30"/>
          <w:szCs w:val="30"/>
          <w:highlight w:val="none"/>
          <w14:textFill>
            <w14:solidFill>
              <w14:schemeClr w14:val="tx1"/>
            </w14:solidFill>
          </w14:textFill>
        </w:rPr>
        <w:t>六、结论</w:t>
      </w:r>
      <w:bookmarkEnd w:id="15"/>
      <w:bookmarkEnd w:id="16"/>
    </w:p>
    <w:tbl>
      <w:tblPr>
        <w:tblStyle w:val="48"/>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top"/>
          </w:tcPr>
          <w:p>
            <w:pPr>
              <w:pageBreakBefore w:val="0"/>
              <w:kinsoku/>
              <w:wordWrap/>
              <w:bidi w:val="0"/>
              <w:adjustRightInd/>
              <w:snapToGrid/>
              <w:spacing w:before="120" w:beforeLines="50" w:line="360" w:lineRule="auto"/>
              <w:ind w:firstLine="480" w:firstLineChars="200"/>
              <w:jc w:val="left"/>
              <w:rPr>
                <w:rFonts w:ascii="Times New Roman" w:hAnsi="Times New Roman" w:eastAsia="宋体"/>
                <w:caps w:val="0"/>
                <w:color w:val="000000" w:themeColor="text1"/>
                <w:sz w:val="24"/>
                <w:highlight w:val="none"/>
                <w14:textFill>
                  <w14:solidFill>
                    <w14:schemeClr w14:val="tx1"/>
                  </w14:solidFill>
                </w14:textFill>
              </w:rPr>
            </w:pPr>
            <w:r>
              <w:rPr>
                <w:rFonts w:ascii="Times New Roman" w:hAnsi="Times New Roman" w:eastAsia="宋体"/>
                <w:caps w:val="0"/>
                <w:color w:val="000000" w:themeColor="text1"/>
                <w:sz w:val="24"/>
                <w:highlight w:val="none"/>
                <w14:textFill>
                  <w14:solidFill>
                    <w14:schemeClr w14:val="tx1"/>
                  </w14:solidFill>
                </w14:textFill>
              </w:rPr>
              <w:t>本项目在生产过程中会产生废气、废水、噪声、固体废物等，在全面落实本报告表提出的各项环境保护措施的基础上，切实做到</w:t>
            </w:r>
            <w:r>
              <w:rPr>
                <w:rFonts w:hint="eastAsia" w:ascii="Times New Roman" w:hAnsi="Times New Roman" w:eastAsia="宋体"/>
                <w:caps w:val="0"/>
                <w:color w:val="000000" w:themeColor="text1"/>
                <w:sz w:val="24"/>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三同时</w:t>
            </w:r>
            <w:r>
              <w:rPr>
                <w:rFonts w:hint="eastAsia" w:ascii="Times New Roman" w:hAnsi="Times New Roman" w:eastAsia="宋体"/>
                <w:caps w:val="0"/>
                <w:color w:val="000000" w:themeColor="text1"/>
                <w:sz w:val="24"/>
                <w:highlight w:val="none"/>
                <w14:textFill>
                  <w14:solidFill>
                    <w14:schemeClr w14:val="tx1"/>
                  </w14:solidFill>
                </w14:textFill>
              </w:rPr>
              <w:t>”</w:t>
            </w:r>
            <w:r>
              <w:rPr>
                <w:rFonts w:ascii="Times New Roman" w:hAnsi="Times New Roman" w:eastAsia="宋体"/>
                <w:caps w:val="0"/>
                <w:color w:val="000000" w:themeColor="text1"/>
                <w:sz w:val="24"/>
                <w:highlight w:val="none"/>
                <w14:textFill>
                  <w14:solidFill>
                    <w14:schemeClr w14:val="tx1"/>
                  </w14:solidFill>
                </w14:textFill>
              </w:rPr>
              <w:t>，并在运营期内持之以恒加强环境管理的前提下，从环境保护角度，本项目环境影响可行。</w:t>
            </w:r>
          </w:p>
        </w:tc>
      </w:tr>
    </w:tbl>
    <w:p>
      <w:pPr>
        <w:pageBreakBefore w:val="0"/>
        <w:kinsoku/>
        <w:wordWrap/>
        <w:bidi w:val="0"/>
        <w:adjustRightInd/>
        <w:snapToGrid/>
        <w:rPr>
          <w:rFonts w:ascii="Times New Roman" w:hAnsi="Times New Roman" w:eastAsia="宋体"/>
          <w:caps w:val="0"/>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43"/>
        <w:keepNext w:val="0"/>
        <w:keepLines w:val="0"/>
        <w:pageBreakBefore w:val="0"/>
        <w:widowControl/>
        <w:kinsoku/>
        <w:wordWrap/>
        <w:overflowPunct/>
        <w:topLinePunct w:val="0"/>
        <w:autoSpaceDE/>
        <w:autoSpaceDN/>
        <w:bidi w:val="0"/>
        <w:adjustRightInd/>
        <w:snapToGrid/>
        <w:spacing w:before="0" w:beforeAutospacing="0"/>
        <w:jc w:val="left"/>
        <w:textAlignment w:val="auto"/>
        <w:outlineLvl w:val="0"/>
        <w:rPr>
          <w:rFonts w:ascii="Times New Roman" w:hAnsi="Times New Roman" w:eastAsia="宋体" w:cs="Times New Roman"/>
          <w:b/>
          <w:caps w:val="0"/>
          <w:snapToGrid w:val="0"/>
          <w:color w:val="000000" w:themeColor="text1"/>
          <w:sz w:val="28"/>
          <w:szCs w:val="28"/>
          <w:highlight w:val="none"/>
          <w:lang w:val="en-US" w:eastAsia="zh-CN"/>
          <w14:textFill>
            <w14:solidFill>
              <w14:schemeClr w14:val="tx1"/>
            </w14:solidFill>
          </w14:textFill>
        </w:rPr>
      </w:pPr>
      <w:bookmarkStart w:id="17" w:name="_Toc23108"/>
      <w:bookmarkStart w:id="18" w:name="_Toc32696"/>
      <w:r>
        <w:rPr>
          <w:rFonts w:ascii="Times New Roman" w:hAnsi="Times New Roman" w:eastAsia="宋体" w:cs="Times New Roman"/>
          <w:b/>
          <w:caps w:val="0"/>
          <w:snapToGrid w:val="0"/>
          <w:color w:val="000000" w:themeColor="text1"/>
          <w:sz w:val="28"/>
          <w:szCs w:val="28"/>
          <w:highlight w:val="none"/>
          <w:lang w:val="en-US" w:eastAsia="zh-CN"/>
          <w14:textFill>
            <w14:solidFill>
              <w14:schemeClr w14:val="tx1"/>
            </w14:solidFill>
          </w14:textFill>
        </w:rPr>
        <w:t>附表</w:t>
      </w:r>
      <w:bookmarkEnd w:id="17"/>
      <w:bookmarkEnd w:id="18"/>
    </w:p>
    <w:p>
      <w:pPr>
        <w:pStyle w:val="43"/>
        <w:pageBreakBefore w:val="0"/>
        <w:kinsoku/>
        <w:wordWrap/>
        <w:bidi w:val="0"/>
        <w:adjustRightInd/>
        <w:snapToGrid/>
        <w:spacing w:before="0" w:beforeAutospacing="0" w:after="0" w:afterAutospacing="0"/>
        <w:jc w:val="center"/>
        <w:rPr>
          <w:rFonts w:hint="eastAsia" w:ascii="Times New Roman" w:hAnsi="Times New Roman" w:eastAsia="宋体"/>
          <w:b/>
          <w:bCs/>
          <w:caps w:val="0"/>
          <w:snapToGrid w:val="0"/>
          <w:color w:val="000000" w:themeColor="text1"/>
          <w:sz w:val="38"/>
          <w:szCs w:val="38"/>
          <w:highlight w:val="none"/>
          <w:lang w:eastAsia="zh-CN"/>
          <w14:textFill>
            <w14:solidFill>
              <w14:schemeClr w14:val="tx1"/>
            </w14:solidFill>
          </w14:textFill>
        </w:rPr>
      </w:pPr>
      <w:r>
        <w:rPr>
          <w:rFonts w:ascii="Times New Roman" w:hAnsi="Times New Roman" w:eastAsia="宋体"/>
          <w:b/>
          <w:bCs/>
          <w:caps w:val="0"/>
          <w:snapToGrid w:val="0"/>
          <w:color w:val="000000" w:themeColor="text1"/>
          <w:sz w:val="38"/>
          <w:szCs w:val="38"/>
          <w:highlight w:val="none"/>
          <w14:textFill>
            <w14:solidFill>
              <w14:schemeClr w14:val="tx1"/>
            </w14:solidFill>
          </w14:textFill>
        </w:rPr>
        <w:t>建设项目污染物排放量汇总表</w:t>
      </w:r>
    </w:p>
    <w:tbl>
      <w:tblPr>
        <w:tblStyle w:val="48"/>
        <w:tblW w:w="496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507"/>
        <w:gridCol w:w="1317"/>
        <w:gridCol w:w="1640"/>
        <w:gridCol w:w="1257"/>
        <w:gridCol w:w="1559"/>
        <w:gridCol w:w="1607"/>
        <w:gridCol w:w="1292"/>
        <w:gridCol w:w="1475"/>
        <w:gridCol w:w="1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blHeader/>
        </w:trPr>
        <w:tc>
          <w:tcPr>
            <w:tcW w:w="700" w:type="pct"/>
            <w:tcBorders>
              <w:tl2br w:val="nil"/>
              <w:tr2bl w:val="nil"/>
            </w:tcBorders>
            <w:noWrap w:val="0"/>
            <w:tcMar>
              <w:left w:w="28" w:type="dxa"/>
              <w:right w:w="28" w:type="dxa"/>
            </w:tcMar>
            <w:vAlign w:val="center"/>
            <mc:AlternateContent>
              <mc:Choice Requires="wpsCustomData">
                <wpsCustomData:diagonals>
                  <wpsCustomData:diagonal from="30000" to="10000">
                    <wpsCustomData:border w:val="single" w:color="auto" w:sz="4" w:space="0"/>
                  </wpsCustomData:diagonal>
                </wpsCustomData:diagonals>
              </mc:Choice>
            </mc:AlternateContent>
          </w:tcPr>
          <w:p>
            <w:pPr>
              <w:pStyle w:val="107"/>
              <w:pageBreakBefore w:val="0"/>
              <w:kinsoku/>
              <w:wordWrap/>
              <w:bidi w:val="0"/>
              <w:adjustRightInd/>
              <w:snapToGrid w:val="0"/>
              <w:spacing w:beforeLines="0" w:afterLines="0" w:line="240" w:lineRule="auto"/>
              <w:ind w:left="0" w:firstLine="0" w:firstLineChars="0"/>
              <w:jc w:val="left"/>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p>
          <w:p>
            <w:pPr>
              <w:pStyle w:val="107"/>
              <w:pageBreakBefore w:val="0"/>
              <w:kinsoku/>
              <w:wordWrap/>
              <w:bidi w:val="0"/>
              <w:adjustRightInd/>
              <w:snapToGrid w:val="0"/>
              <w:spacing w:beforeLines="0" w:afterLines="0" w:line="240" w:lineRule="auto"/>
              <w:ind w:left="0" w:firstLine="0" w:firstLineChars="0"/>
              <w:jc w:val="left"/>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p>
          <w:p>
            <w:pPr>
              <w:pStyle w:val="107"/>
              <w:pageBreakBefore w:val="0"/>
              <w:kinsoku/>
              <w:wordWrap/>
              <w:bidi w:val="0"/>
              <w:adjustRightInd/>
              <w:snapToGrid w:val="0"/>
              <w:spacing w:beforeLines="0" w:afterLines="0" w:line="240" w:lineRule="auto"/>
              <w:ind w:left="0" w:firstLine="0" w:firstLineChars="0"/>
              <w:jc w:val="left"/>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p>
          <w:p>
            <w:pPr>
              <w:pStyle w:val="107"/>
              <w:pageBreakBefore w:val="0"/>
              <w:kinsoku/>
              <w:wordWrap/>
              <w:bidi w:val="0"/>
              <w:adjustRightInd/>
              <w:snapToGrid w:val="0"/>
              <w:spacing w:beforeLines="0" w:afterLines="0" w:line="240" w:lineRule="auto"/>
              <w:ind w:left="0" w:firstLine="0" w:firstLineChars="0"/>
              <w:jc w:val="left"/>
              <mc:AlternateContent>
                <mc:Choice Requires="wpsCustomData">
                  <wpsCustomData:diagonalParaType/>
                </mc:Choice>
              </mc:AlternateContent>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分类</w:t>
            </w:r>
          </w:p>
          <w:p>
            <w:pPr>
              <w:pStyle w:val="107"/>
              <w:pageBreakBefore w:val="0"/>
              <w:kinsoku/>
              <w:wordWrap/>
              <w:bidi w:val="0"/>
              <w:adjustRightInd/>
              <w:snapToGrid/>
              <w:spacing w:beforeLines="0" w:afterLines="0" w:line="240" w:lineRule="auto"/>
              <w:ind w:left="0" w:firstLine="0" w:firstLineChars="0"/>
              <w:jc w:val="right"/>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项目</w:t>
            </w:r>
          </w:p>
          <w:p>
            <w:pPr>
              <w:pStyle w:val="107"/>
              <w:pageBreakBefore w:val="0"/>
              <w:kinsoku/>
              <w:wordWrap/>
              <w:bidi w:val="0"/>
              <w:adjustRightInd/>
              <w:snapToGrid/>
              <w:spacing w:beforeLines="0" w:afterLines="0" w:line="240" w:lineRule="auto"/>
              <w:ind w:left="0" w:firstLine="0" w:firstLineChars="0"/>
              <w:jc w:val="left"/>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p>
        </w:tc>
        <w:tc>
          <w:tcPr>
            <w:tcW w:w="645" w:type="pct"/>
            <w:gridSpan w:val="2"/>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污染物名称</w:t>
            </w:r>
          </w:p>
        </w:tc>
        <w:tc>
          <w:tcPr>
            <w:tcW w:w="580"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现有工程</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instrText xml:space="preserve"> = 1 \* GB3 \* MERGEFORMAT </w:instrTex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t>①</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end"/>
            </w:r>
          </w:p>
        </w:tc>
        <w:tc>
          <w:tcPr>
            <w:tcW w:w="444"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现有工程</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许可排放量</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instrText xml:space="preserve"> = 2 \* GB3 \* MERGEFORMAT </w:instrTex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②</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end"/>
            </w:r>
          </w:p>
        </w:tc>
        <w:tc>
          <w:tcPr>
            <w:tcW w:w="551"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在建工程</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instrText xml:space="preserve"> = 3 \* GB3 \* MERGEFORMAT </w:instrTex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t>③</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end"/>
            </w:r>
          </w:p>
        </w:tc>
        <w:tc>
          <w:tcPr>
            <w:tcW w:w="568"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本项目</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排放量（固体废物产生量）</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instrText xml:space="preserve"> = 4 \* GB3 \* MERGEFORMAT </w:instrTex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t>④</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end"/>
            </w:r>
          </w:p>
        </w:tc>
        <w:tc>
          <w:tcPr>
            <w:tcW w:w="457"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t>以新带老削减量（新建项目不填）</w:t>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instrText xml:space="preserve"> = 5 \* GB3 \* MERGEFORMAT </w:instrText>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t>⑤</w:t>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fldChar w:fldCharType="end"/>
            </w:r>
          </w:p>
        </w:tc>
        <w:tc>
          <w:tcPr>
            <w:tcW w:w="521"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t>本项目建成后</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t>全厂排放量（固体废物产生量）</w:t>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instrText xml:space="preserve"> = 6 \* GB3 \* MERGEFORMAT </w:instrText>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t>⑥</w:t>
            </w:r>
            <w:r>
              <w:rPr>
                <w:rFonts w:hint="default" w:ascii="Times New Roman" w:hAnsi="Times New Roman" w:eastAsia="宋体" w:cs="Times New Roman"/>
                <w:caps w:val="0"/>
                <w:snapToGrid w:val="0"/>
                <w:color w:val="000000" w:themeColor="text1"/>
                <w:spacing w:val="-16"/>
                <w:kern w:val="21"/>
                <w:sz w:val="21"/>
                <w:szCs w:val="21"/>
                <w:highlight w:val="none"/>
                <w14:textFill>
                  <w14:solidFill>
                    <w14:schemeClr w14:val="tx1"/>
                  </w14:solidFill>
                </w14:textFill>
              </w:rPr>
              <w:fldChar w:fldCharType="end"/>
            </w:r>
          </w:p>
        </w:tc>
        <w:tc>
          <w:tcPr>
            <w:tcW w:w="530" w:type="pct"/>
            <w:tcBorders>
              <w:tl2br w:val="nil"/>
              <w:tr2bl w:val="nil"/>
            </w:tcBorders>
            <w:noWrap w:val="0"/>
            <w:tcMar>
              <w:left w:w="28" w:type="dxa"/>
              <w:right w:w="28" w:type="dxa"/>
            </w:tcMar>
            <w:vAlign w:val="center"/>
          </w:tcPr>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t>变化量</w:t>
            </w:r>
          </w:p>
          <w:p>
            <w:pPr>
              <w:pStyle w:val="107"/>
              <w:pageBreakBefore w:val="0"/>
              <w:kinsoku/>
              <w:wordWrap/>
              <w:bidi w:val="0"/>
              <w:adjustRightInd/>
              <w:snapToGrid/>
              <w:spacing w:beforeLines="0" w:afterLines="0" w:line="240" w:lineRule="auto"/>
              <w:ind w:left="0" w:firstLine="0" w:firstLineChars="0"/>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begin"/>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instrText xml:space="preserve"> = 7 \* GB3 \* MERGEFORMAT </w:instrTex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separate"/>
            </w:r>
            <w:r>
              <w:rPr>
                <w:rFonts w:hint="default" w:ascii="Times New Roman" w:hAnsi="Times New Roman" w:eastAsia="宋体" w:cs="Times New Roman"/>
                <w:caps w:val="0"/>
                <w:color w:val="000000" w:themeColor="text1"/>
                <w:kern w:val="2"/>
                <w:sz w:val="21"/>
                <w:szCs w:val="21"/>
                <w:highlight w:val="none"/>
                <w14:textFill>
                  <w14:solidFill>
                    <w14:schemeClr w14:val="tx1"/>
                  </w14:solidFill>
                </w14:textFill>
              </w:rPr>
              <w:t>⑦</w:t>
            </w:r>
            <w:r>
              <w:rPr>
                <w:rFonts w:hint="default" w:ascii="Times New Roman" w:hAnsi="Times New Roman" w:eastAsia="宋体" w:cs="Times New Roman"/>
                <w:caps w:val="0"/>
                <w:snapToGrid w:val="0"/>
                <w:color w:val="000000" w:themeColor="text1"/>
                <w:spacing w:val="-6"/>
                <w:kern w:val="21"/>
                <w:sz w:val="21"/>
                <w:szCs w:val="21"/>
                <w:highlight w:val="none"/>
                <w14:textFill>
                  <w14:solidFill>
                    <w14:schemeClr w14:val="tx1"/>
                  </w14:solidFill>
                </w14:textFill>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废气</w:t>
            </w:r>
          </w:p>
        </w:tc>
        <w:tc>
          <w:tcPr>
            <w:tcW w:w="645"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颗粒物</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cs="Times New Roman"/>
                <w:caps w:val="0"/>
                <w:color w:val="000000" w:themeColor="text1"/>
                <w:sz w:val="21"/>
                <w:szCs w:val="21"/>
                <w:highlight w:val="none"/>
                <w:lang w:val="en-US" w:eastAsia="zh-CN"/>
                <w14:textFill>
                  <w14:solidFill>
                    <w14:schemeClr w14:val="tx1"/>
                  </w14:solidFill>
                </w14:textFill>
              </w:rPr>
              <w:t>107.626</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eastAsia" w:cs="Times New Roman"/>
                <w:caps w:val="0"/>
                <w:color w:val="000000" w:themeColor="text1"/>
                <w:sz w:val="21"/>
                <w:szCs w:val="21"/>
                <w:highlight w:val="none"/>
                <w:lang w:val="en-US" w:eastAsia="zh-CN"/>
                <w14:textFill>
                  <w14:solidFill>
                    <w14:schemeClr w14:val="tx1"/>
                  </w14:solidFill>
                </w14:textFill>
              </w:rPr>
              <w:t>107.626</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r>
              <w:rPr>
                <w:rFonts w:hint="eastAsia" w:cs="Times New Roman"/>
                <w:caps w:val="0"/>
                <w:color w:val="000000" w:themeColor="text1"/>
                <w:sz w:val="21"/>
                <w:szCs w:val="21"/>
                <w:highlight w:val="none"/>
                <w:lang w:val="en-US" w:eastAsia="zh-CN"/>
                <w14:textFill>
                  <w14:solidFill>
                    <w14:schemeClr w14:val="tx1"/>
                  </w14:solidFill>
                </w14:textFill>
              </w:rPr>
              <w:t>107.626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645"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挥发性有机物</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0.118</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0.118</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restar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废水</w:t>
            </w:r>
          </w:p>
        </w:tc>
        <w:tc>
          <w:tcPr>
            <w:tcW w:w="179" w:type="pct"/>
            <w:vMerge w:val="restar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生活污水</w:t>
            </w:r>
          </w:p>
        </w:tc>
        <w:tc>
          <w:tcPr>
            <w:tcW w:w="465" w:type="pct"/>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t>COD</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0</w:t>
            </w:r>
          </w:p>
        </w:tc>
        <w:tc>
          <w:tcPr>
            <w:tcW w:w="44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0.0576</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0.0576</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179"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465" w:type="pct"/>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t>BOD</w:t>
            </w:r>
            <w:r>
              <w:rPr>
                <w:rFonts w:hint="default" w:ascii="Times New Roman" w:hAnsi="Times New Roman" w:eastAsia="宋体" w:cs="Times New Roman"/>
                <w:caps w:val="0"/>
                <w:snapToGrid w:val="0"/>
                <w:color w:val="000000" w:themeColor="text1"/>
                <w:kern w:val="0"/>
                <w:sz w:val="21"/>
                <w:szCs w:val="21"/>
                <w:highlight w:val="none"/>
                <w:vertAlign w:val="subscript"/>
                <w14:textFill>
                  <w14:solidFill>
                    <w14:schemeClr w14:val="tx1"/>
                  </w14:solidFill>
                </w14:textFill>
              </w:rPr>
              <w:t>5</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0</w:t>
            </w:r>
          </w:p>
        </w:tc>
        <w:tc>
          <w:tcPr>
            <w:tcW w:w="44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0.0288</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0.0288</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179"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465" w:type="pct"/>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8"/>
                <w:sz w:val="21"/>
                <w:szCs w:val="21"/>
                <w:highlight w:val="none"/>
                <w14:textFill>
                  <w14:solidFill>
                    <w14:schemeClr w14:val="tx1"/>
                  </w14:solidFill>
                </w14:textFill>
              </w:rPr>
              <w:t>SS</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0</w:t>
            </w:r>
          </w:p>
        </w:tc>
        <w:tc>
          <w:tcPr>
            <w:tcW w:w="44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0.0461</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0.0461</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179"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465" w:type="pct"/>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t>NH</w:t>
            </w:r>
            <w:r>
              <w:rPr>
                <w:rFonts w:hint="default" w:ascii="Times New Roman" w:hAnsi="Times New Roman" w:eastAsia="宋体" w:cs="Times New Roman"/>
                <w:caps w:val="0"/>
                <w:snapToGrid w:val="0"/>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t>-N</w:t>
            </w:r>
          </w:p>
        </w:tc>
        <w:tc>
          <w:tcPr>
            <w:tcW w:w="58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t>0</w:t>
            </w:r>
          </w:p>
        </w:tc>
        <w:tc>
          <w:tcPr>
            <w:tcW w:w="44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5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0.0065</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0.0065</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bidi="ar-SA"/>
                <w14:textFill>
                  <w14:solidFill>
                    <w14:schemeClr w14:val="tx1"/>
                  </w14:solidFill>
                </w14:textFill>
              </w:rPr>
              <w:t>+0.0065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一般工业固体废物</w:t>
            </w:r>
          </w:p>
        </w:tc>
        <w:tc>
          <w:tcPr>
            <w:tcW w:w="645" w:type="pct"/>
            <w:gridSpan w:val="2"/>
            <w:tcBorders>
              <w:tl2br w:val="nil"/>
              <w:tr2bl w:val="nil"/>
            </w:tcBorders>
            <w:noWrap w:val="0"/>
            <w:vAlign w:val="center"/>
          </w:tcPr>
          <w:p>
            <w:pPr>
              <w:pageBreakBefore w:val="0"/>
              <w:kinsoku/>
              <w:wordWrap/>
              <w:bidi w:val="0"/>
              <w:adjustRightInd/>
              <w:snapToGrid/>
              <w:ind w:left="-105" w:leftChars="-50" w:right="-105" w:rightChars="-50"/>
              <w:jc w:val="cente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废包装</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0.2</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0.2</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700" w:type="pct"/>
            <w:vMerge w:val="restar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危险废物</w:t>
            </w:r>
          </w:p>
        </w:tc>
        <w:tc>
          <w:tcPr>
            <w:tcW w:w="645" w:type="pct"/>
            <w:gridSpan w:val="2"/>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bCs/>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废机油</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0.4</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0.4</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645" w:type="pct"/>
            <w:gridSpan w:val="2"/>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废油桶</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pct"/>
            <w:vMerge w:val="continue"/>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645" w:type="pct"/>
            <w:gridSpan w:val="2"/>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化验室废液</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45" w:type="pct"/>
            <w:gridSpan w:val="3"/>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bCs/>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aps w:val="0"/>
                <w:color w:val="000000" w:themeColor="text1"/>
                <w:sz w:val="21"/>
                <w:szCs w:val="21"/>
                <w:highlight w:val="none"/>
                <w:lang w:eastAsia="zh-CN"/>
                <w14:textFill>
                  <w14:solidFill>
                    <w14:schemeClr w14:val="tx1"/>
                  </w14:solidFill>
                </w14:textFill>
              </w:rPr>
              <w:t>污泥</w:t>
            </w:r>
          </w:p>
        </w:tc>
        <w:tc>
          <w:tcPr>
            <w:tcW w:w="580"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444"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51" w:type="pct"/>
            <w:tcBorders>
              <w:tl2br w:val="nil"/>
              <w:tr2bl w:val="nil"/>
            </w:tcBorders>
            <w:noWrap w:val="0"/>
            <w:vAlign w:val="center"/>
          </w:tcPr>
          <w:p>
            <w:pPr>
              <w:pageBreakBefore w:val="0"/>
              <w:kinsoku/>
              <w:wordWrap/>
              <w:bidi w:val="0"/>
              <w:adjustRightInd/>
              <w:snapToGrid/>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56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9.736</w:t>
            </w:r>
          </w:p>
        </w:tc>
        <w:tc>
          <w:tcPr>
            <w:tcW w:w="45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52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9.736</w:t>
            </w:r>
          </w:p>
        </w:tc>
        <w:tc>
          <w:tcPr>
            <w:tcW w:w="5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sz w:val="21"/>
                <w:szCs w:val="21"/>
                <w:highlight w:val="none"/>
                <w:lang w:val="en-US" w:eastAsia="zh-CN"/>
                <w14:textFill>
                  <w14:solidFill>
                    <w14:schemeClr w14:val="tx1"/>
                  </w14:solidFill>
                </w14:textFill>
              </w:rPr>
              <w:t>+9.736</w:t>
            </w:r>
          </w:p>
        </w:tc>
      </w:tr>
    </w:tbl>
    <w:p>
      <w:pPr>
        <w:pStyle w:val="107"/>
        <w:pageBreakBefore w:val="0"/>
        <w:kinsoku/>
        <w:wordWrap/>
        <w:bidi w:val="0"/>
        <w:adjustRightInd/>
        <w:snapToGrid/>
        <w:spacing w:before="192" w:beforeLines="80" w:after="24"/>
        <w:ind w:left="420" w:hanging="420"/>
        <w:jc w:val="left"/>
        <w:rPr>
          <w:rFonts w:ascii="Times New Roman" w:hAnsi="Times New Roman" w:eastAsia="宋体"/>
          <w:caps w:val="0"/>
          <w:snapToGrid w:val="0"/>
          <w:color w:val="000000" w:themeColor="text1"/>
          <w:spacing w:val="-6"/>
          <w:kern w:val="21"/>
          <w:szCs w:val="21"/>
          <w:highlight w:val="none"/>
          <w14:textFill>
            <w14:solidFill>
              <w14:schemeClr w14:val="tx1"/>
            </w14:solidFill>
          </w14:textFill>
        </w:rPr>
      </w:pPr>
      <w:r>
        <w:rPr>
          <w:rFonts w:ascii="Times New Roman" w:hAnsi="Times New Roman" w:eastAsia="宋体"/>
          <w:caps w:val="0"/>
          <w:snapToGrid w:val="0"/>
          <w:color w:val="000000" w:themeColor="text1"/>
          <w:kern w:val="21"/>
          <w:szCs w:val="21"/>
          <w:highlight w:val="none"/>
          <w14:textFill>
            <w14:solidFill>
              <w14:schemeClr w14:val="tx1"/>
            </w14:solidFill>
          </w14:textFill>
        </w:rPr>
        <w:t>注：</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⑥</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①</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③</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④</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⑤</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⑦</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⑥</w:t>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fldChar w:fldCharType="end"/>
      </w:r>
      <w:r>
        <w:rPr>
          <w:rFonts w:ascii="Times New Roman" w:hAnsi="Times New Roman" w:eastAsia="宋体"/>
          <w:caps w:val="0"/>
          <w:snapToGrid w:val="0"/>
          <w:color w:val="000000" w:themeColor="text1"/>
          <w:spacing w:val="-16"/>
          <w:kern w:val="21"/>
          <w:szCs w:val="21"/>
          <w:highlight w:val="none"/>
          <w14:textFill>
            <w14:solidFill>
              <w14:schemeClr w14:val="tx1"/>
            </w14:solidFill>
          </w14:textFill>
        </w:rPr>
        <w:t>-</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begin"/>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separate"/>
      </w:r>
      <w:r>
        <w:rPr>
          <w:rFonts w:hint="eastAsia" w:ascii="Times New Roman" w:hAnsi="Times New Roman" w:eastAsia="宋体" w:cs="宋体"/>
          <w:caps w:val="0"/>
          <w:color w:val="000000" w:themeColor="text1"/>
          <w:szCs w:val="21"/>
          <w:highlight w:val="none"/>
          <w14:textFill>
            <w14:solidFill>
              <w14:schemeClr w14:val="tx1"/>
            </w14:solidFill>
          </w14:textFill>
        </w:rPr>
        <w:t>①</w:t>
      </w:r>
      <w:r>
        <w:rPr>
          <w:rFonts w:ascii="Times New Roman" w:hAnsi="Times New Roman" w:eastAsia="宋体"/>
          <w:caps w:val="0"/>
          <w:snapToGrid w:val="0"/>
          <w:color w:val="000000" w:themeColor="text1"/>
          <w:spacing w:val="-6"/>
          <w:kern w:val="21"/>
          <w:szCs w:val="21"/>
          <w:highlight w:val="none"/>
          <w14:textFill>
            <w14:solidFill>
              <w14:schemeClr w14:val="tx1"/>
            </w14:solidFill>
          </w14:textFill>
        </w:rPr>
        <w:fldChar w:fldCharType="end"/>
      </w:r>
    </w:p>
    <w:p>
      <w:pPr>
        <w:pStyle w:val="107"/>
        <w:pageBreakBefore w:val="0"/>
        <w:kinsoku/>
        <w:wordWrap/>
        <w:bidi w:val="0"/>
        <w:adjustRightInd/>
        <w:snapToGrid/>
        <w:spacing w:before="192" w:beforeLines="80" w:after="24"/>
        <w:ind w:left="420" w:hanging="420"/>
        <w:jc w:val="left"/>
        <w:rPr>
          <w:rFonts w:hint="eastAsia" w:ascii="Times New Roman" w:hAnsi="Times New Roman" w:eastAsia="宋体"/>
          <w:caps w:val="0"/>
          <w:snapToGrid w:val="0"/>
          <w:color w:val="000000" w:themeColor="text1"/>
          <w:spacing w:val="-6"/>
          <w:kern w:val="21"/>
          <w:szCs w:val="21"/>
          <w:highlight w:val="none"/>
          <w14:textFill>
            <w14:solidFill>
              <w14:schemeClr w14:val="tx1"/>
            </w14:solidFill>
          </w14:textFill>
        </w:rPr>
      </w:pPr>
    </w:p>
    <w:sectPr>
      <w:footerReference r:id="rId7" w:type="default"/>
      <w:pgSz w:w="16838" w:h="11906" w:orient="landscape"/>
      <w:pgMar w:top="1134" w:right="1134"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CFD4627-1C77-4B8E-9A60-D844B4A1319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2" w:fontKey="{68301DC3-E826-4806-AFE4-0E8BD78E32EA}"/>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baikeFont_css">
    <w:altName w:val="微软雅黑"/>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仿宋_GB2312">
    <w:panose1 w:val="02010609030101010101"/>
    <w:charset w:val="86"/>
    <w:family w:val="modern"/>
    <w:pitch w:val="default"/>
    <w:sig w:usb0="00000001" w:usb1="080E0000" w:usb2="00000000" w:usb3="00000000" w:csb0="00040000" w:csb1="00000000"/>
    <w:embedRegular r:id="rId3" w:fontKey="{FD344B6D-A240-43EB-A898-422A9C34F79D}"/>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embedRegular r:id="rId4" w:fontKey="{B61119BB-F518-441D-80EA-7F6215EF8374}"/>
  </w:font>
  <w:font w:name="TimesNewRomanPSMT">
    <w:altName w:val="Times New Roman"/>
    <w:panose1 w:val="00000000000000000000"/>
    <w:charset w:val="00"/>
    <w:family w:val="auto"/>
    <w:pitch w:val="default"/>
    <w:sig w:usb0="00000000" w:usb1="00000000" w:usb2="00000000" w:usb3="00000000" w:csb0="00040001" w:csb1="00000000"/>
  </w:font>
  <w:font w:name="TimesNewRomanPS-ItalicMT">
    <w:altName w:val="Times New Roman"/>
    <w:panose1 w:val="00000000000000000000"/>
    <w:charset w:val="00"/>
    <w:family w:val="roman"/>
    <w:pitch w:val="default"/>
    <w:sig w:usb0="00000000" w:usb1="00000000" w:usb2="00000000" w:usb3="00000000" w:csb0="00040001" w:csb1="00000000"/>
  </w:font>
  <w:font w:name="SymbolMT">
    <w:altName w:val="Times New Roman"/>
    <w:panose1 w:val="00000000000000000000"/>
    <w:charset w:val="00"/>
    <w:family w:val="roman"/>
    <w:pitch w:val="default"/>
    <w:sig w:usb0="00000000" w:usb1="00000000" w:usb2="00000000"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embedRegular r:id="rId5" w:fontKey="{8A61FB7C-8B92-4469-9C9E-CA28CAA6AD2F}"/>
  </w:font>
  <w:font w:name="Wingdings 2">
    <w:panose1 w:val="05020102010507070707"/>
    <w:charset w:val="02"/>
    <w:family w:val="auto"/>
    <w:pitch w:val="default"/>
    <w:sig w:usb0="00000000" w:usb1="00000000" w:usb2="00000000" w:usb3="00000000" w:csb0="80000000" w:csb1="00000000"/>
    <w:embedRegular r:id="rId6" w:fontKey="{03468916-9BBD-44B4-9017-EA16D3FEC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52"/>
      </w:rPr>
    </w:pPr>
    <w:r>
      <w:fldChar w:fldCharType="begin"/>
    </w:r>
    <w:r>
      <w:rPr>
        <w:rStyle w:val="52"/>
      </w:rPr>
      <w:instrText xml:space="preserve">PAGE  </w:instrText>
    </w:r>
    <w:r>
      <w:fldChar w:fldCharType="end"/>
    </w:r>
  </w:p>
  <w:p>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Style w:val="52"/>
                              <w:rFonts w:ascii="宋体" w:hAnsi="宋体"/>
                              <w:sz w:val="28"/>
                              <w:szCs w:val="28"/>
                            </w:rPr>
                          </w:pPr>
                          <w:r>
                            <w:rPr>
                              <w:rStyle w:val="52"/>
                              <w:rFonts w:hint="default" w:ascii="Times New Roman" w:hAnsi="Times New Roman" w:cs="Times New Roman"/>
                              <w:sz w:val="21"/>
                              <w:szCs w:val="21"/>
                            </w:rPr>
                            <w:fldChar w:fldCharType="begin"/>
                          </w:r>
                          <w:r>
                            <w:rPr>
                              <w:rStyle w:val="52"/>
                              <w:rFonts w:hint="default" w:ascii="Times New Roman" w:hAnsi="Times New Roman" w:cs="Times New Roman"/>
                              <w:sz w:val="21"/>
                              <w:szCs w:val="21"/>
                            </w:rPr>
                            <w:instrText xml:space="preserve">PAGE  </w:instrText>
                          </w:r>
                          <w:r>
                            <w:rPr>
                              <w:rStyle w:val="52"/>
                              <w:rFonts w:hint="default" w:ascii="Times New Roman" w:hAnsi="Times New Roman" w:cs="Times New Roman"/>
                              <w:sz w:val="21"/>
                              <w:szCs w:val="21"/>
                            </w:rPr>
                            <w:fldChar w:fldCharType="separate"/>
                          </w:r>
                          <w:r>
                            <w:rPr>
                              <w:rStyle w:val="52"/>
                              <w:rFonts w:hint="default" w:ascii="Times New Roman" w:hAnsi="Times New Roman" w:cs="Times New Roman"/>
                              <w:sz w:val="21"/>
                              <w:szCs w:val="21"/>
                            </w:rPr>
                            <w:t>82</w:t>
                          </w:r>
                          <w:r>
                            <w:rPr>
                              <w:rStyle w:val="52"/>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8"/>
                      <w:rPr>
                        <w:rStyle w:val="52"/>
                        <w:rFonts w:ascii="宋体" w:hAnsi="宋体"/>
                        <w:sz w:val="28"/>
                        <w:szCs w:val="28"/>
                      </w:rPr>
                    </w:pPr>
                    <w:r>
                      <w:rPr>
                        <w:rStyle w:val="52"/>
                        <w:rFonts w:hint="default" w:ascii="Times New Roman" w:hAnsi="Times New Roman" w:cs="Times New Roman"/>
                        <w:sz w:val="21"/>
                        <w:szCs w:val="21"/>
                      </w:rPr>
                      <w:fldChar w:fldCharType="begin"/>
                    </w:r>
                    <w:r>
                      <w:rPr>
                        <w:rStyle w:val="52"/>
                        <w:rFonts w:hint="default" w:ascii="Times New Roman" w:hAnsi="Times New Roman" w:cs="Times New Roman"/>
                        <w:sz w:val="21"/>
                        <w:szCs w:val="21"/>
                      </w:rPr>
                      <w:instrText xml:space="preserve">PAGE  </w:instrText>
                    </w:r>
                    <w:r>
                      <w:rPr>
                        <w:rStyle w:val="52"/>
                        <w:rFonts w:hint="default" w:ascii="Times New Roman" w:hAnsi="Times New Roman" w:cs="Times New Roman"/>
                        <w:sz w:val="21"/>
                        <w:szCs w:val="21"/>
                      </w:rPr>
                      <w:fldChar w:fldCharType="separate"/>
                    </w:r>
                    <w:r>
                      <w:rPr>
                        <w:rStyle w:val="52"/>
                        <w:rFonts w:hint="default" w:ascii="Times New Roman" w:hAnsi="Times New Roman" w:cs="Times New Roman"/>
                        <w:sz w:val="21"/>
                        <w:szCs w:val="21"/>
                      </w:rPr>
                      <w:t>82</w:t>
                    </w:r>
                    <w:r>
                      <w:rPr>
                        <w:rStyle w:val="52"/>
                        <w:rFonts w:hint="default" w:ascii="Times New Roman" w:hAnsi="Times New Roman" w:cs="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rPr>
                              <w:rStyle w:val="52"/>
                              <w:rFonts w:ascii="宋体" w:hAnsi="宋体"/>
                              <w:sz w:val="28"/>
                              <w:szCs w:val="28"/>
                            </w:rPr>
                          </w:pPr>
                          <w:r>
                            <w:rPr>
                              <w:rStyle w:val="52"/>
                              <w:rFonts w:hint="eastAsia" w:ascii="宋体" w:hAnsi="宋体"/>
                              <w:sz w:val="28"/>
                              <w:szCs w:val="28"/>
                            </w:rPr>
                            <w:t>—</w:t>
                          </w:r>
                          <w:r>
                            <w:rPr>
                              <w:rStyle w:val="52"/>
                              <w:rFonts w:hint="eastAsia" w:ascii="宋体" w:hAnsi="宋体"/>
                              <w:sz w:val="20"/>
                            </w:rPr>
                            <w:t xml:space="preserve">  </w:t>
                          </w:r>
                          <w:r>
                            <w:rPr>
                              <w:rStyle w:val="52"/>
                              <w:rFonts w:ascii="宋体" w:hAnsi="宋体"/>
                              <w:sz w:val="26"/>
                              <w:szCs w:val="26"/>
                            </w:rPr>
                            <w:fldChar w:fldCharType="begin"/>
                          </w:r>
                          <w:r>
                            <w:rPr>
                              <w:rStyle w:val="52"/>
                              <w:rFonts w:ascii="宋体" w:hAnsi="宋体"/>
                              <w:sz w:val="26"/>
                              <w:szCs w:val="26"/>
                            </w:rPr>
                            <w:instrText xml:space="preserve">PAGE  </w:instrText>
                          </w:r>
                          <w:r>
                            <w:rPr>
                              <w:rStyle w:val="52"/>
                              <w:rFonts w:ascii="宋体" w:hAnsi="宋体"/>
                              <w:sz w:val="26"/>
                              <w:szCs w:val="26"/>
                            </w:rPr>
                            <w:fldChar w:fldCharType="separate"/>
                          </w:r>
                          <w:r>
                            <w:rPr>
                              <w:rStyle w:val="52"/>
                              <w:rFonts w:ascii="宋体" w:hAnsi="宋体"/>
                              <w:sz w:val="26"/>
                              <w:szCs w:val="26"/>
                            </w:rPr>
                            <w:t>104</w:t>
                          </w:r>
                          <w:r>
                            <w:rPr>
                              <w:rStyle w:val="52"/>
                              <w:rFonts w:ascii="宋体" w:hAnsi="宋体"/>
                              <w:sz w:val="26"/>
                              <w:szCs w:val="26"/>
                            </w:rPr>
                            <w:fldChar w:fldCharType="end"/>
                          </w:r>
                          <w:r>
                            <w:rPr>
                              <w:rStyle w:val="52"/>
                              <w:rFonts w:hint="eastAsia" w:ascii="宋体" w:hAnsi="宋体"/>
                              <w:sz w:val="20"/>
                            </w:rPr>
                            <w:t xml:space="preserve">  </w:t>
                          </w:r>
                          <w:r>
                            <w:rPr>
                              <w:rStyle w:val="5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8"/>
                      <w:rPr>
                        <w:rStyle w:val="52"/>
                        <w:rFonts w:ascii="宋体" w:hAnsi="宋体"/>
                        <w:sz w:val="28"/>
                        <w:szCs w:val="28"/>
                      </w:rPr>
                    </w:pPr>
                    <w:r>
                      <w:rPr>
                        <w:rStyle w:val="52"/>
                        <w:rFonts w:hint="eastAsia" w:ascii="宋体" w:hAnsi="宋体"/>
                        <w:sz w:val="28"/>
                        <w:szCs w:val="28"/>
                      </w:rPr>
                      <w:t>—</w:t>
                    </w:r>
                    <w:r>
                      <w:rPr>
                        <w:rStyle w:val="52"/>
                        <w:rFonts w:hint="eastAsia" w:ascii="宋体" w:hAnsi="宋体"/>
                        <w:sz w:val="20"/>
                      </w:rPr>
                      <w:t xml:space="preserve">  </w:t>
                    </w:r>
                    <w:r>
                      <w:rPr>
                        <w:rStyle w:val="52"/>
                        <w:rFonts w:ascii="宋体" w:hAnsi="宋体"/>
                        <w:sz w:val="26"/>
                        <w:szCs w:val="26"/>
                      </w:rPr>
                      <w:fldChar w:fldCharType="begin"/>
                    </w:r>
                    <w:r>
                      <w:rPr>
                        <w:rStyle w:val="52"/>
                        <w:rFonts w:ascii="宋体" w:hAnsi="宋体"/>
                        <w:sz w:val="26"/>
                        <w:szCs w:val="26"/>
                      </w:rPr>
                      <w:instrText xml:space="preserve">PAGE  </w:instrText>
                    </w:r>
                    <w:r>
                      <w:rPr>
                        <w:rStyle w:val="52"/>
                        <w:rFonts w:ascii="宋体" w:hAnsi="宋体"/>
                        <w:sz w:val="26"/>
                        <w:szCs w:val="26"/>
                      </w:rPr>
                      <w:fldChar w:fldCharType="separate"/>
                    </w:r>
                    <w:r>
                      <w:rPr>
                        <w:rStyle w:val="52"/>
                        <w:rFonts w:ascii="宋体" w:hAnsi="宋体"/>
                        <w:sz w:val="26"/>
                        <w:szCs w:val="26"/>
                      </w:rPr>
                      <w:t>104</w:t>
                    </w:r>
                    <w:r>
                      <w:rPr>
                        <w:rStyle w:val="52"/>
                        <w:rFonts w:ascii="宋体" w:hAnsi="宋体"/>
                        <w:sz w:val="26"/>
                        <w:szCs w:val="26"/>
                      </w:rPr>
                      <w:fldChar w:fldCharType="end"/>
                    </w:r>
                    <w:r>
                      <w:rPr>
                        <w:rStyle w:val="52"/>
                        <w:rFonts w:hint="eastAsia" w:ascii="宋体" w:hAnsi="宋体"/>
                        <w:sz w:val="20"/>
                      </w:rPr>
                      <w:t xml:space="preserve">  </w:t>
                    </w:r>
                    <w:r>
                      <w:rPr>
                        <w:rStyle w:val="52"/>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BF6BDB"/>
    <w:multiLevelType w:val="singleLevel"/>
    <w:tmpl w:val="97BF6BDB"/>
    <w:lvl w:ilvl="0" w:tentative="0">
      <w:start w:val="1"/>
      <w:numFmt w:val="bullet"/>
      <w:pStyle w:val="23"/>
      <w:lvlText w:val=""/>
      <w:lvlJc w:val="left"/>
      <w:pPr>
        <w:tabs>
          <w:tab w:val="left" w:pos="2040"/>
        </w:tabs>
        <w:ind w:left="2040" w:hanging="360"/>
      </w:pPr>
      <w:rPr>
        <w:rFonts w:hint="default" w:ascii="Wingdings" w:hAnsi="Wingdings"/>
      </w:rPr>
    </w:lvl>
  </w:abstractNum>
  <w:abstractNum w:abstractNumId="1">
    <w:nsid w:val="AD50EAC2"/>
    <w:multiLevelType w:val="singleLevel"/>
    <w:tmpl w:val="AD50EAC2"/>
    <w:lvl w:ilvl="0" w:tentative="0">
      <w:start w:val="19"/>
      <w:numFmt w:val="upperLetter"/>
      <w:suff w:val="nothing"/>
      <w:lvlText w:val="%1-"/>
      <w:lvlJc w:val="left"/>
    </w:lvl>
  </w:abstractNum>
  <w:abstractNum w:abstractNumId="2">
    <w:nsid w:val="4ABDE9A2"/>
    <w:multiLevelType w:val="singleLevel"/>
    <w:tmpl w:val="4ABDE9A2"/>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hNGUwMDRkMDRmYjk4YzAwMTU3NTA5NWEzZjQwNzEifQ=="/>
    <w:docVar w:name="KSO_WPS_MARK_KEY" w:val="a6b1f1e5-b6d0-4f49-98d3-65894b54d5fc"/>
  </w:docVars>
  <w:rsids>
    <w:rsidRoot w:val="00A14947"/>
    <w:rsid w:val="00001472"/>
    <w:rsid w:val="000038CB"/>
    <w:rsid w:val="00003DFB"/>
    <w:rsid w:val="000060B3"/>
    <w:rsid w:val="00006F45"/>
    <w:rsid w:val="000119B9"/>
    <w:rsid w:val="0001311A"/>
    <w:rsid w:val="00014B44"/>
    <w:rsid w:val="0001787E"/>
    <w:rsid w:val="000228D9"/>
    <w:rsid w:val="000239A7"/>
    <w:rsid w:val="00025030"/>
    <w:rsid w:val="00025364"/>
    <w:rsid w:val="00025CB4"/>
    <w:rsid w:val="00026471"/>
    <w:rsid w:val="00026723"/>
    <w:rsid w:val="000271F7"/>
    <w:rsid w:val="00031058"/>
    <w:rsid w:val="00032A8C"/>
    <w:rsid w:val="000340AF"/>
    <w:rsid w:val="00034B26"/>
    <w:rsid w:val="00036284"/>
    <w:rsid w:val="00036849"/>
    <w:rsid w:val="00040F02"/>
    <w:rsid w:val="000414FC"/>
    <w:rsid w:val="00043294"/>
    <w:rsid w:val="0004364B"/>
    <w:rsid w:val="00045BDC"/>
    <w:rsid w:val="00050107"/>
    <w:rsid w:val="00054554"/>
    <w:rsid w:val="00056F90"/>
    <w:rsid w:val="00060357"/>
    <w:rsid w:val="00060CC0"/>
    <w:rsid w:val="00061B1F"/>
    <w:rsid w:val="00061B60"/>
    <w:rsid w:val="000631D4"/>
    <w:rsid w:val="0007228F"/>
    <w:rsid w:val="00072439"/>
    <w:rsid w:val="00072E3F"/>
    <w:rsid w:val="00072FCA"/>
    <w:rsid w:val="0007303E"/>
    <w:rsid w:val="000733C4"/>
    <w:rsid w:val="00074783"/>
    <w:rsid w:val="00076305"/>
    <w:rsid w:val="00080262"/>
    <w:rsid w:val="0008070B"/>
    <w:rsid w:val="000810AC"/>
    <w:rsid w:val="00081A02"/>
    <w:rsid w:val="00082231"/>
    <w:rsid w:val="00082388"/>
    <w:rsid w:val="00084704"/>
    <w:rsid w:val="00084A64"/>
    <w:rsid w:val="0008629F"/>
    <w:rsid w:val="0008672A"/>
    <w:rsid w:val="00087841"/>
    <w:rsid w:val="00090583"/>
    <w:rsid w:val="00091001"/>
    <w:rsid w:val="00092D38"/>
    <w:rsid w:val="000933DB"/>
    <w:rsid w:val="0009377B"/>
    <w:rsid w:val="000942B7"/>
    <w:rsid w:val="00094DDC"/>
    <w:rsid w:val="00096DB2"/>
    <w:rsid w:val="00096DD1"/>
    <w:rsid w:val="000A20C9"/>
    <w:rsid w:val="000A4D47"/>
    <w:rsid w:val="000B058F"/>
    <w:rsid w:val="000B1F7C"/>
    <w:rsid w:val="000B3CD1"/>
    <w:rsid w:val="000B4467"/>
    <w:rsid w:val="000B4827"/>
    <w:rsid w:val="000B483E"/>
    <w:rsid w:val="000B4DB9"/>
    <w:rsid w:val="000B54C1"/>
    <w:rsid w:val="000B5E5F"/>
    <w:rsid w:val="000B6EA7"/>
    <w:rsid w:val="000C09AC"/>
    <w:rsid w:val="000C3B19"/>
    <w:rsid w:val="000C3DC9"/>
    <w:rsid w:val="000C4201"/>
    <w:rsid w:val="000C661B"/>
    <w:rsid w:val="000C767F"/>
    <w:rsid w:val="000D1064"/>
    <w:rsid w:val="000D1815"/>
    <w:rsid w:val="000D5499"/>
    <w:rsid w:val="000D5A44"/>
    <w:rsid w:val="000E23F2"/>
    <w:rsid w:val="000E334F"/>
    <w:rsid w:val="000E3ED2"/>
    <w:rsid w:val="000E5203"/>
    <w:rsid w:val="000E5BB6"/>
    <w:rsid w:val="000E61B1"/>
    <w:rsid w:val="000E6549"/>
    <w:rsid w:val="000F1A66"/>
    <w:rsid w:val="000F32A6"/>
    <w:rsid w:val="000F339C"/>
    <w:rsid w:val="000F3E67"/>
    <w:rsid w:val="000F7264"/>
    <w:rsid w:val="000F7AD8"/>
    <w:rsid w:val="00101811"/>
    <w:rsid w:val="00101AA2"/>
    <w:rsid w:val="00103134"/>
    <w:rsid w:val="001039C7"/>
    <w:rsid w:val="00104C1C"/>
    <w:rsid w:val="00107526"/>
    <w:rsid w:val="001102F9"/>
    <w:rsid w:val="00110667"/>
    <w:rsid w:val="0011171A"/>
    <w:rsid w:val="00112584"/>
    <w:rsid w:val="00116527"/>
    <w:rsid w:val="001218F4"/>
    <w:rsid w:val="00122FFA"/>
    <w:rsid w:val="00130C0D"/>
    <w:rsid w:val="00130EEA"/>
    <w:rsid w:val="00131788"/>
    <w:rsid w:val="00131F42"/>
    <w:rsid w:val="00133FDF"/>
    <w:rsid w:val="001346AF"/>
    <w:rsid w:val="0013475C"/>
    <w:rsid w:val="00134AE2"/>
    <w:rsid w:val="0013544D"/>
    <w:rsid w:val="001357F1"/>
    <w:rsid w:val="00137D7E"/>
    <w:rsid w:val="00140FA8"/>
    <w:rsid w:val="00142FEB"/>
    <w:rsid w:val="00143A2D"/>
    <w:rsid w:val="00144CF8"/>
    <w:rsid w:val="00145A41"/>
    <w:rsid w:val="00151675"/>
    <w:rsid w:val="00151B90"/>
    <w:rsid w:val="00153ADD"/>
    <w:rsid w:val="00153B45"/>
    <w:rsid w:val="00153B77"/>
    <w:rsid w:val="001548B1"/>
    <w:rsid w:val="00154E89"/>
    <w:rsid w:val="001557B2"/>
    <w:rsid w:val="00156060"/>
    <w:rsid w:val="001569D4"/>
    <w:rsid w:val="00157435"/>
    <w:rsid w:val="001615B8"/>
    <w:rsid w:val="001638C4"/>
    <w:rsid w:val="00171E8F"/>
    <w:rsid w:val="001733A3"/>
    <w:rsid w:val="00173F7A"/>
    <w:rsid w:val="0017405E"/>
    <w:rsid w:val="0017504D"/>
    <w:rsid w:val="00176453"/>
    <w:rsid w:val="0017671A"/>
    <w:rsid w:val="00177422"/>
    <w:rsid w:val="00182016"/>
    <w:rsid w:val="0018420B"/>
    <w:rsid w:val="00184590"/>
    <w:rsid w:val="00184D83"/>
    <w:rsid w:val="00186F15"/>
    <w:rsid w:val="001870D1"/>
    <w:rsid w:val="0018781E"/>
    <w:rsid w:val="00190759"/>
    <w:rsid w:val="00192383"/>
    <w:rsid w:val="0019262D"/>
    <w:rsid w:val="001945A7"/>
    <w:rsid w:val="00195317"/>
    <w:rsid w:val="001964AF"/>
    <w:rsid w:val="00196554"/>
    <w:rsid w:val="001A1B35"/>
    <w:rsid w:val="001A48A2"/>
    <w:rsid w:val="001A68A2"/>
    <w:rsid w:val="001A6F61"/>
    <w:rsid w:val="001B0E35"/>
    <w:rsid w:val="001B32C9"/>
    <w:rsid w:val="001B4D8B"/>
    <w:rsid w:val="001B5F79"/>
    <w:rsid w:val="001B72B8"/>
    <w:rsid w:val="001C20A9"/>
    <w:rsid w:val="001C2CBC"/>
    <w:rsid w:val="001C4019"/>
    <w:rsid w:val="001C69B3"/>
    <w:rsid w:val="001C7745"/>
    <w:rsid w:val="001D135F"/>
    <w:rsid w:val="001D2E12"/>
    <w:rsid w:val="001D536D"/>
    <w:rsid w:val="001D5595"/>
    <w:rsid w:val="001D56C1"/>
    <w:rsid w:val="001D7874"/>
    <w:rsid w:val="001D7F22"/>
    <w:rsid w:val="001E0C46"/>
    <w:rsid w:val="001E101D"/>
    <w:rsid w:val="001E315E"/>
    <w:rsid w:val="001E31D3"/>
    <w:rsid w:val="001E387F"/>
    <w:rsid w:val="001E4400"/>
    <w:rsid w:val="001E503B"/>
    <w:rsid w:val="001E5EF3"/>
    <w:rsid w:val="001F0F17"/>
    <w:rsid w:val="001F3347"/>
    <w:rsid w:val="001F41E5"/>
    <w:rsid w:val="001F4ADA"/>
    <w:rsid w:val="001F50C6"/>
    <w:rsid w:val="001F5D21"/>
    <w:rsid w:val="001F69E4"/>
    <w:rsid w:val="001F7F5F"/>
    <w:rsid w:val="002005FB"/>
    <w:rsid w:val="00202F5F"/>
    <w:rsid w:val="00205873"/>
    <w:rsid w:val="00206ADC"/>
    <w:rsid w:val="00210684"/>
    <w:rsid w:val="00211774"/>
    <w:rsid w:val="00211F95"/>
    <w:rsid w:val="002125B4"/>
    <w:rsid w:val="0021272A"/>
    <w:rsid w:val="00212CEA"/>
    <w:rsid w:val="00213FC1"/>
    <w:rsid w:val="00215002"/>
    <w:rsid w:val="002155B8"/>
    <w:rsid w:val="00215A0C"/>
    <w:rsid w:val="00220F80"/>
    <w:rsid w:val="00221E7B"/>
    <w:rsid w:val="00223018"/>
    <w:rsid w:val="00224839"/>
    <w:rsid w:val="002249B2"/>
    <w:rsid w:val="00225A1C"/>
    <w:rsid w:val="00225D8F"/>
    <w:rsid w:val="00226437"/>
    <w:rsid w:val="00226574"/>
    <w:rsid w:val="002267E8"/>
    <w:rsid w:val="00227315"/>
    <w:rsid w:val="002278EC"/>
    <w:rsid w:val="00231B78"/>
    <w:rsid w:val="0023280E"/>
    <w:rsid w:val="002339D9"/>
    <w:rsid w:val="00233EC6"/>
    <w:rsid w:val="00234409"/>
    <w:rsid w:val="00234DCD"/>
    <w:rsid w:val="00235106"/>
    <w:rsid w:val="002377D1"/>
    <w:rsid w:val="00237C89"/>
    <w:rsid w:val="00240AEB"/>
    <w:rsid w:val="002449FC"/>
    <w:rsid w:val="002471F3"/>
    <w:rsid w:val="002504A2"/>
    <w:rsid w:val="00250594"/>
    <w:rsid w:val="002506BC"/>
    <w:rsid w:val="00250AE8"/>
    <w:rsid w:val="00252583"/>
    <w:rsid w:val="002527B2"/>
    <w:rsid w:val="0025335B"/>
    <w:rsid w:val="00254345"/>
    <w:rsid w:val="002553A6"/>
    <w:rsid w:val="00255D8F"/>
    <w:rsid w:val="00262EBA"/>
    <w:rsid w:val="00264557"/>
    <w:rsid w:val="002648C4"/>
    <w:rsid w:val="002661B6"/>
    <w:rsid w:val="0026646E"/>
    <w:rsid w:val="00266F7E"/>
    <w:rsid w:val="00270F22"/>
    <w:rsid w:val="00272A95"/>
    <w:rsid w:val="00277362"/>
    <w:rsid w:val="00277643"/>
    <w:rsid w:val="00277EA0"/>
    <w:rsid w:val="002805AB"/>
    <w:rsid w:val="00282681"/>
    <w:rsid w:val="00283809"/>
    <w:rsid w:val="002838A8"/>
    <w:rsid w:val="00284204"/>
    <w:rsid w:val="00286DB7"/>
    <w:rsid w:val="00286DC4"/>
    <w:rsid w:val="0028709F"/>
    <w:rsid w:val="0028774D"/>
    <w:rsid w:val="00290324"/>
    <w:rsid w:val="002910C4"/>
    <w:rsid w:val="00291773"/>
    <w:rsid w:val="00292176"/>
    <w:rsid w:val="00292C49"/>
    <w:rsid w:val="00292DAE"/>
    <w:rsid w:val="00293637"/>
    <w:rsid w:val="002942B8"/>
    <w:rsid w:val="00294959"/>
    <w:rsid w:val="00295E00"/>
    <w:rsid w:val="00297A0F"/>
    <w:rsid w:val="002A168C"/>
    <w:rsid w:val="002A3DC7"/>
    <w:rsid w:val="002A4F93"/>
    <w:rsid w:val="002A5484"/>
    <w:rsid w:val="002A5785"/>
    <w:rsid w:val="002A71A1"/>
    <w:rsid w:val="002B2621"/>
    <w:rsid w:val="002B49E2"/>
    <w:rsid w:val="002B509D"/>
    <w:rsid w:val="002B7B00"/>
    <w:rsid w:val="002B7C44"/>
    <w:rsid w:val="002C2B17"/>
    <w:rsid w:val="002C3D6C"/>
    <w:rsid w:val="002C57D6"/>
    <w:rsid w:val="002C79FC"/>
    <w:rsid w:val="002C7B1C"/>
    <w:rsid w:val="002C7BAD"/>
    <w:rsid w:val="002D2733"/>
    <w:rsid w:val="002D3DD0"/>
    <w:rsid w:val="002E10AA"/>
    <w:rsid w:val="002E13DA"/>
    <w:rsid w:val="002E1F3A"/>
    <w:rsid w:val="002E298A"/>
    <w:rsid w:val="002E4DD8"/>
    <w:rsid w:val="002E59E3"/>
    <w:rsid w:val="002E604E"/>
    <w:rsid w:val="002E6FD7"/>
    <w:rsid w:val="002E7848"/>
    <w:rsid w:val="002E7996"/>
    <w:rsid w:val="002E7D35"/>
    <w:rsid w:val="002F1253"/>
    <w:rsid w:val="002F12CB"/>
    <w:rsid w:val="002F18D6"/>
    <w:rsid w:val="002F3A1A"/>
    <w:rsid w:val="002F4137"/>
    <w:rsid w:val="002F5D0C"/>
    <w:rsid w:val="003005C1"/>
    <w:rsid w:val="00301978"/>
    <w:rsid w:val="003020BE"/>
    <w:rsid w:val="0030332C"/>
    <w:rsid w:val="003051C2"/>
    <w:rsid w:val="00307E67"/>
    <w:rsid w:val="00312296"/>
    <w:rsid w:val="00314B12"/>
    <w:rsid w:val="00314F0E"/>
    <w:rsid w:val="003158B4"/>
    <w:rsid w:val="0032119B"/>
    <w:rsid w:val="00321D8E"/>
    <w:rsid w:val="00321F83"/>
    <w:rsid w:val="00322CBD"/>
    <w:rsid w:val="003239F8"/>
    <w:rsid w:val="00323BDC"/>
    <w:rsid w:val="003243C6"/>
    <w:rsid w:val="0032473C"/>
    <w:rsid w:val="00325928"/>
    <w:rsid w:val="00331E2C"/>
    <w:rsid w:val="00332863"/>
    <w:rsid w:val="00334FAC"/>
    <w:rsid w:val="003350C2"/>
    <w:rsid w:val="00336454"/>
    <w:rsid w:val="0033684D"/>
    <w:rsid w:val="00337374"/>
    <w:rsid w:val="00337B42"/>
    <w:rsid w:val="00340EE5"/>
    <w:rsid w:val="00341B42"/>
    <w:rsid w:val="00342CED"/>
    <w:rsid w:val="00343077"/>
    <w:rsid w:val="0034348F"/>
    <w:rsid w:val="00346908"/>
    <w:rsid w:val="00346990"/>
    <w:rsid w:val="0034732E"/>
    <w:rsid w:val="00350A40"/>
    <w:rsid w:val="00353C19"/>
    <w:rsid w:val="0035482B"/>
    <w:rsid w:val="00355925"/>
    <w:rsid w:val="00356653"/>
    <w:rsid w:val="0035743F"/>
    <w:rsid w:val="00357BE2"/>
    <w:rsid w:val="0036170C"/>
    <w:rsid w:val="00363B65"/>
    <w:rsid w:val="003643B5"/>
    <w:rsid w:val="00364F39"/>
    <w:rsid w:val="00366E0F"/>
    <w:rsid w:val="00367515"/>
    <w:rsid w:val="0037158E"/>
    <w:rsid w:val="00373088"/>
    <w:rsid w:val="00375DCB"/>
    <w:rsid w:val="003775E2"/>
    <w:rsid w:val="00380BE3"/>
    <w:rsid w:val="00381A72"/>
    <w:rsid w:val="00382E36"/>
    <w:rsid w:val="00384676"/>
    <w:rsid w:val="00384B63"/>
    <w:rsid w:val="00384B6C"/>
    <w:rsid w:val="00387B33"/>
    <w:rsid w:val="003901D4"/>
    <w:rsid w:val="00390857"/>
    <w:rsid w:val="00390CD2"/>
    <w:rsid w:val="00393FF0"/>
    <w:rsid w:val="00396CF3"/>
    <w:rsid w:val="00397286"/>
    <w:rsid w:val="00397F23"/>
    <w:rsid w:val="003A1723"/>
    <w:rsid w:val="003A3C51"/>
    <w:rsid w:val="003A4BF3"/>
    <w:rsid w:val="003A691C"/>
    <w:rsid w:val="003A7DF4"/>
    <w:rsid w:val="003B0113"/>
    <w:rsid w:val="003B032F"/>
    <w:rsid w:val="003B2D96"/>
    <w:rsid w:val="003B3889"/>
    <w:rsid w:val="003B420D"/>
    <w:rsid w:val="003B59A9"/>
    <w:rsid w:val="003C2489"/>
    <w:rsid w:val="003C33D9"/>
    <w:rsid w:val="003C53F6"/>
    <w:rsid w:val="003C60F4"/>
    <w:rsid w:val="003C6C16"/>
    <w:rsid w:val="003D232F"/>
    <w:rsid w:val="003D28C5"/>
    <w:rsid w:val="003D39AE"/>
    <w:rsid w:val="003D596C"/>
    <w:rsid w:val="003D794D"/>
    <w:rsid w:val="003E0029"/>
    <w:rsid w:val="003E0B68"/>
    <w:rsid w:val="003E117C"/>
    <w:rsid w:val="003E2077"/>
    <w:rsid w:val="003E2B83"/>
    <w:rsid w:val="003E3058"/>
    <w:rsid w:val="003E4761"/>
    <w:rsid w:val="003E4AAD"/>
    <w:rsid w:val="003E76A9"/>
    <w:rsid w:val="003F0426"/>
    <w:rsid w:val="003F0809"/>
    <w:rsid w:val="003F0C28"/>
    <w:rsid w:val="003F1F1D"/>
    <w:rsid w:val="003F49B8"/>
    <w:rsid w:val="003F6A8C"/>
    <w:rsid w:val="003F755C"/>
    <w:rsid w:val="004001BE"/>
    <w:rsid w:val="00400631"/>
    <w:rsid w:val="0040064A"/>
    <w:rsid w:val="0040238E"/>
    <w:rsid w:val="004042AA"/>
    <w:rsid w:val="0040498B"/>
    <w:rsid w:val="00405211"/>
    <w:rsid w:val="00406F01"/>
    <w:rsid w:val="0040757C"/>
    <w:rsid w:val="0040767A"/>
    <w:rsid w:val="0041158F"/>
    <w:rsid w:val="00411D47"/>
    <w:rsid w:val="0041221B"/>
    <w:rsid w:val="004127B9"/>
    <w:rsid w:val="00416D50"/>
    <w:rsid w:val="00416FD5"/>
    <w:rsid w:val="004174FD"/>
    <w:rsid w:val="00417772"/>
    <w:rsid w:val="00420335"/>
    <w:rsid w:val="00420E6A"/>
    <w:rsid w:val="004213FE"/>
    <w:rsid w:val="0042200A"/>
    <w:rsid w:val="00425A9E"/>
    <w:rsid w:val="00426D6B"/>
    <w:rsid w:val="0042782A"/>
    <w:rsid w:val="004302DD"/>
    <w:rsid w:val="00431E6C"/>
    <w:rsid w:val="004335FE"/>
    <w:rsid w:val="00433CE7"/>
    <w:rsid w:val="00436D1C"/>
    <w:rsid w:val="00441416"/>
    <w:rsid w:val="00441CDF"/>
    <w:rsid w:val="0044381F"/>
    <w:rsid w:val="004439EB"/>
    <w:rsid w:val="00443DB0"/>
    <w:rsid w:val="00444F9B"/>
    <w:rsid w:val="0045071B"/>
    <w:rsid w:val="00450824"/>
    <w:rsid w:val="00450A03"/>
    <w:rsid w:val="00451E9D"/>
    <w:rsid w:val="00452658"/>
    <w:rsid w:val="00452738"/>
    <w:rsid w:val="00452D54"/>
    <w:rsid w:val="0045415C"/>
    <w:rsid w:val="00456091"/>
    <w:rsid w:val="00456EBC"/>
    <w:rsid w:val="0046429B"/>
    <w:rsid w:val="00464B87"/>
    <w:rsid w:val="00465048"/>
    <w:rsid w:val="00465A59"/>
    <w:rsid w:val="00466321"/>
    <w:rsid w:val="00470833"/>
    <w:rsid w:val="0047141A"/>
    <w:rsid w:val="00472A6A"/>
    <w:rsid w:val="00473A56"/>
    <w:rsid w:val="0047740A"/>
    <w:rsid w:val="00480182"/>
    <w:rsid w:val="004819C1"/>
    <w:rsid w:val="00481A68"/>
    <w:rsid w:val="00483154"/>
    <w:rsid w:val="004843C1"/>
    <w:rsid w:val="00484B9B"/>
    <w:rsid w:val="004855F6"/>
    <w:rsid w:val="00486376"/>
    <w:rsid w:val="0048661E"/>
    <w:rsid w:val="0048694E"/>
    <w:rsid w:val="00486B04"/>
    <w:rsid w:val="0048793F"/>
    <w:rsid w:val="00492E27"/>
    <w:rsid w:val="00493233"/>
    <w:rsid w:val="00494670"/>
    <w:rsid w:val="00494A7F"/>
    <w:rsid w:val="00494E67"/>
    <w:rsid w:val="00495A4C"/>
    <w:rsid w:val="00496590"/>
    <w:rsid w:val="004A144A"/>
    <w:rsid w:val="004A3823"/>
    <w:rsid w:val="004A3DA4"/>
    <w:rsid w:val="004A4249"/>
    <w:rsid w:val="004A612A"/>
    <w:rsid w:val="004A66F4"/>
    <w:rsid w:val="004B26FD"/>
    <w:rsid w:val="004B32F0"/>
    <w:rsid w:val="004B4734"/>
    <w:rsid w:val="004B524E"/>
    <w:rsid w:val="004B5FB2"/>
    <w:rsid w:val="004B6BAC"/>
    <w:rsid w:val="004B7034"/>
    <w:rsid w:val="004B7182"/>
    <w:rsid w:val="004C0C4B"/>
    <w:rsid w:val="004C3446"/>
    <w:rsid w:val="004C41E9"/>
    <w:rsid w:val="004C4F96"/>
    <w:rsid w:val="004C592E"/>
    <w:rsid w:val="004D1111"/>
    <w:rsid w:val="004D163D"/>
    <w:rsid w:val="004D1E73"/>
    <w:rsid w:val="004D3B4D"/>
    <w:rsid w:val="004D3BD6"/>
    <w:rsid w:val="004D622B"/>
    <w:rsid w:val="004D72C1"/>
    <w:rsid w:val="004E1A1E"/>
    <w:rsid w:val="004E24A1"/>
    <w:rsid w:val="004E34DD"/>
    <w:rsid w:val="004E3541"/>
    <w:rsid w:val="004E4D57"/>
    <w:rsid w:val="004E5025"/>
    <w:rsid w:val="004E54AC"/>
    <w:rsid w:val="004E592B"/>
    <w:rsid w:val="004E6042"/>
    <w:rsid w:val="004E6946"/>
    <w:rsid w:val="004E7B35"/>
    <w:rsid w:val="004F1AD8"/>
    <w:rsid w:val="004F2F10"/>
    <w:rsid w:val="004F3635"/>
    <w:rsid w:val="004F42A8"/>
    <w:rsid w:val="004F46BC"/>
    <w:rsid w:val="00500335"/>
    <w:rsid w:val="00500E0D"/>
    <w:rsid w:val="00501417"/>
    <w:rsid w:val="00501A7A"/>
    <w:rsid w:val="00503676"/>
    <w:rsid w:val="005039B9"/>
    <w:rsid w:val="005039CB"/>
    <w:rsid w:val="0050558F"/>
    <w:rsid w:val="00505AD7"/>
    <w:rsid w:val="00506286"/>
    <w:rsid w:val="00510813"/>
    <w:rsid w:val="00511990"/>
    <w:rsid w:val="00511DE0"/>
    <w:rsid w:val="00514870"/>
    <w:rsid w:val="00514B9B"/>
    <w:rsid w:val="00515E21"/>
    <w:rsid w:val="005170F0"/>
    <w:rsid w:val="005170FA"/>
    <w:rsid w:val="00517F02"/>
    <w:rsid w:val="00524303"/>
    <w:rsid w:val="00524D14"/>
    <w:rsid w:val="005258A2"/>
    <w:rsid w:val="00525FC3"/>
    <w:rsid w:val="00530D00"/>
    <w:rsid w:val="00531544"/>
    <w:rsid w:val="0053790C"/>
    <w:rsid w:val="005401AE"/>
    <w:rsid w:val="00541F30"/>
    <w:rsid w:val="00542E07"/>
    <w:rsid w:val="00542EEE"/>
    <w:rsid w:val="00545424"/>
    <w:rsid w:val="00545D8C"/>
    <w:rsid w:val="00547410"/>
    <w:rsid w:val="00547C44"/>
    <w:rsid w:val="005510A9"/>
    <w:rsid w:val="005522CA"/>
    <w:rsid w:val="00553098"/>
    <w:rsid w:val="00554A7B"/>
    <w:rsid w:val="0055572C"/>
    <w:rsid w:val="0056106A"/>
    <w:rsid w:val="00567A49"/>
    <w:rsid w:val="005720AE"/>
    <w:rsid w:val="00574382"/>
    <w:rsid w:val="00576225"/>
    <w:rsid w:val="005770CF"/>
    <w:rsid w:val="005779D3"/>
    <w:rsid w:val="00580C23"/>
    <w:rsid w:val="00585455"/>
    <w:rsid w:val="0058555E"/>
    <w:rsid w:val="00585B1D"/>
    <w:rsid w:val="00585BC7"/>
    <w:rsid w:val="005908BB"/>
    <w:rsid w:val="0059155C"/>
    <w:rsid w:val="00592DA2"/>
    <w:rsid w:val="00593609"/>
    <w:rsid w:val="00593E21"/>
    <w:rsid w:val="00594D77"/>
    <w:rsid w:val="005963ED"/>
    <w:rsid w:val="005969E4"/>
    <w:rsid w:val="00596E2D"/>
    <w:rsid w:val="005970CA"/>
    <w:rsid w:val="0059714F"/>
    <w:rsid w:val="00597926"/>
    <w:rsid w:val="00597986"/>
    <w:rsid w:val="005A06B7"/>
    <w:rsid w:val="005A13EC"/>
    <w:rsid w:val="005A1759"/>
    <w:rsid w:val="005A21AA"/>
    <w:rsid w:val="005A60C8"/>
    <w:rsid w:val="005A68A7"/>
    <w:rsid w:val="005B10DE"/>
    <w:rsid w:val="005B1FA2"/>
    <w:rsid w:val="005B3024"/>
    <w:rsid w:val="005B3327"/>
    <w:rsid w:val="005B4555"/>
    <w:rsid w:val="005B7C4D"/>
    <w:rsid w:val="005C3E8F"/>
    <w:rsid w:val="005C4168"/>
    <w:rsid w:val="005C4832"/>
    <w:rsid w:val="005C566D"/>
    <w:rsid w:val="005C6B1E"/>
    <w:rsid w:val="005C75E1"/>
    <w:rsid w:val="005D07EB"/>
    <w:rsid w:val="005D1B55"/>
    <w:rsid w:val="005D2DA7"/>
    <w:rsid w:val="005D36AB"/>
    <w:rsid w:val="005D7850"/>
    <w:rsid w:val="005D7B53"/>
    <w:rsid w:val="005E0613"/>
    <w:rsid w:val="005E2649"/>
    <w:rsid w:val="005E2D1F"/>
    <w:rsid w:val="005E4B18"/>
    <w:rsid w:val="005E4CF3"/>
    <w:rsid w:val="005E5CEB"/>
    <w:rsid w:val="005E706E"/>
    <w:rsid w:val="005F11F4"/>
    <w:rsid w:val="005F3D15"/>
    <w:rsid w:val="005F410B"/>
    <w:rsid w:val="005F4EF9"/>
    <w:rsid w:val="005F5A2F"/>
    <w:rsid w:val="00600157"/>
    <w:rsid w:val="00600A65"/>
    <w:rsid w:val="0060450D"/>
    <w:rsid w:val="00604721"/>
    <w:rsid w:val="00604EEF"/>
    <w:rsid w:val="00605319"/>
    <w:rsid w:val="00607124"/>
    <w:rsid w:val="00611426"/>
    <w:rsid w:val="00611FD0"/>
    <w:rsid w:val="006150AC"/>
    <w:rsid w:val="0061543F"/>
    <w:rsid w:val="00617CC3"/>
    <w:rsid w:val="00621763"/>
    <w:rsid w:val="00623BC5"/>
    <w:rsid w:val="00625822"/>
    <w:rsid w:val="00627F59"/>
    <w:rsid w:val="006308C1"/>
    <w:rsid w:val="00634218"/>
    <w:rsid w:val="00636D11"/>
    <w:rsid w:val="0063778E"/>
    <w:rsid w:val="006377A6"/>
    <w:rsid w:val="00637A3D"/>
    <w:rsid w:val="00640F37"/>
    <w:rsid w:val="006411A1"/>
    <w:rsid w:val="006411EF"/>
    <w:rsid w:val="00641E16"/>
    <w:rsid w:val="0064484E"/>
    <w:rsid w:val="0064658F"/>
    <w:rsid w:val="00646A2C"/>
    <w:rsid w:val="00650FFF"/>
    <w:rsid w:val="0065302A"/>
    <w:rsid w:val="00653C03"/>
    <w:rsid w:val="00654FC1"/>
    <w:rsid w:val="006560D4"/>
    <w:rsid w:val="00656AFA"/>
    <w:rsid w:val="0066079A"/>
    <w:rsid w:val="006622F7"/>
    <w:rsid w:val="00662E5E"/>
    <w:rsid w:val="006660D3"/>
    <w:rsid w:val="00666285"/>
    <w:rsid w:val="00666C75"/>
    <w:rsid w:val="006703B7"/>
    <w:rsid w:val="00671F53"/>
    <w:rsid w:val="006724AE"/>
    <w:rsid w:val="006748B8"/>
    <w:rsid w:val="006775C3"/>
    <w:rsid w:val="00681E9A"/>
    <w:rsid w:val="00684A60"/>
    <w:rsid w:val="00685803"/>
    <w:rsid w:val="006917CE"/>
    <w:rsid w:val="006923D7"/>
    <w:rsid w:val="0069290A"/>
    <w:rsid w:val="00696BA3"/>
    <w:rsid w:val="00696E33"/>
    <w:rsid w:val="006972F0"/>
    <w:rsid w:val="0069775A"/>
    <w:rsid w:val="00697813"/>
    <w:rsid w:val="00697F29"/>
    <w:rsid w:val="006A1924"/>
    <w:rsid w:val="006A33B5"/>
    <w:rsid w:val="006A3AC3"/>
    <w:rsid w:val="006A3EE8"/>
    <w:rsid w:val="006A448C"/>
    <w:rsid w:val="006A635C"/>
    <w:rsid w:val="006A72BF"/>
    <w:rsid w:val="006B03F2"/>
    <w:rsid w:val="006B15CB"/>
    <w:rsid w:val="006B2B9D"/>
    <w:rsid w:val="006B360C"/>
    <w:rsid w:val="006B37DC"/>
    <w:rsid w:val="006B4F68"/>
    <w:rsid w:val="006B5FC9"/>
    <w:rsid w:val="006B7602"/>
    <w:rsid w:val="006B7675"/>
    <w:rsid w:val="006C0592"/>
    <w:rsid w:val="006C0900"/>
    <w:rsid w:val="006C0D85"/>
    <w:rsid w:val="006C0EF0"/>
    <w:rsid w:val="006C1CC3"/>
    <w:rsid w:val="006C272E"/>
    <w:rsid w:val="006C5479"/>
    <w:rsid w:val="006D0B67"/>
    <w:rsid w:val="006D0F78"/>
    <w:rsid w:val="006D13B5"/>
    <w:rsid w:val="006D502E"/>
    <w:rsid w:val="006D68B6"/>
    <w:rsid w:val="006D78C8"/>
    <w:rsid w:val="006E0BA7"/>
    <w:rsid w:val="006E0C32"/>
    <w:rsid w:val="006E12FF"/>
    <w:rsid w:val="006E177E"/>
    <w:rsid w:val="006E31AA"/>
    <w:rsid w:val="006E4FD6"/>
    <w:rsid w:val="006E578E"/>
    <w:rsid w:val="006E607E"/>
    <w:rsid w:val="006F2F8E"/>
    <w:rsid w:val="006F5834"/>
    <w:rsid w:val="006F5B50"/>
    <w:rsid w:val="006F7077"/>
    <w:rsid w:val="006F72DC"/>
    <w:rsid w:val="00701A1A"/>
    <w:rsid w:val="00701AE8"/>
    <w:rsid w:val="00702588"/>
    <w:rsid w:val="00705D92"/>
    <w:rsid w:val="00706043"/>
    <w:rsid w:val="00706C5D"/>
    <w:rsid w:val="007070BB"/>
    <w:rsid w:val="0071350B"/>
    <w:rsid w:val="0071578D"/>
    <w:rsid w:val="00716507"/>
    <w:rsid w:val="00716824"/>
    <w:rsid w:val="00720431"/>
    <w:rsid w:val="00721FE1"/>
    <w:rsid w:val="0072275E"/>
    <w:rsid w:val="00722F2A"/>
    <w:rsid w:val="007250A6"/>
    <w:rsid w:val="00727833"/>
    <w:rsid w:val="00727A22"/>
    <w:rsid w:val="00730D19"/>
    <w:rsid w:val="00731D2B"/>
    <w:rsid w:val="00732922"/>
    <w:rsid w:val="00732C14"/>
    <w:rsid w:val="00734FD3"/>
    <w:rsid w:val="007352F3"/>
    <w:rsid w:val="00737260"/>
    <w:rsid w:val="007407B8"/>
    <w:rsid w:val="00741CD6"/>
    <w:rsid w:val="00741DD2"/>
    <w:rsid w:val="0074210F"/>
    <w:rsid w:val="00744AD6"/>
    <w:rsid w:val="00745883"/>
    <w:rsid w:val="007470A0"/>
    <w:rsid w:val="00747F3A"/>
    <w:rsid w:val="007503F0"/>
    <w:rsid w:val="0075162E"/>
    <w:rsid w:val="007519C2"/>
    <w:rsid w:val="00753548"/>
    <w:rsid w:val="00754034"/>
    <w:rsid w:val="00754500"/>
    <w:rsid w:val="007558F2"/>
    <w:rsid w:val="0075595C"/>
    <w:rsid w:val="00755975"/>
    <w:rsid w:val="00756556"/>
    <w:rsid w:val="007579CF"/>
    <w:rsid w:val="007600CC"/>
    <w:rsid w:val="007601F9"/>
    <w:rsid w:val="00760DFC"/>
    <w:rsid w:val="00760F27"/>
    <w:rsid w:val="007618C4"/>
    <w:rsid w:val="00761929"/>
    <w:rsid w:val="00763106"/>
    <w:rsid w:val="007636A3"/>
    <w:rsid w:val="00764054"/>
    <w:rsid w:val="00764C69"/>
    <w:rsid w:val="007663DA"/>
    <w:rsid w:val="00766C3E"/>
    <w:rsid w:val="00767980"/>
    <w:rsid w:val="007707F6"/>
    <w:rsid w:val="00770B19"/>
    <w:rsid w:val="00771FEE"/>
    <w:rsid w:val="0077463F"/>
    <w:rsid w:val="007754A6"/>
    <w:rsid w:val="0077699B"/>
    <w:rsid w:val="00780B0A"/>
    <w:rsid w:val="007811E9"/>
    <w:rsid w:val="00781AA2"/>
    <w:rsid w:val="00781C7C"/>
    <w:rsid w:val="00781DBB"/>
    <w:rsid w:val="007836EA"/>
    <w:rsid w:val="00783852"/>
    <w:rsid w:val="00784CDA"/>
    <w:rsid w:val="00785544"/>
    <w:rsid w:val="0078554F"/>
    <w:rsid w:val="007857AD"/>
    <w:rsid w:val="007868FD"/>
    <w:rsid w:val="00787F67"/>
    <w:rsid w:val="00790400"/>
    <w:rsid w:val="007906C4"/>
    <w:rsid w:val="00792854"/>
    <w:rsid w:val="007934F1"/>
    <w:rsid w:val="007940EA"/>
    <w:rsid w:val="0079581B"/>
    <w:rsid w:val="007967E8"/>
    <w:rsid w:val="007968C6"/>
    <w:rsid w:val="007972CA"/>
    <w:rsid w:val="007A1A98"/>
    <w:rsid w:val="007A2170"/>
    <w:rsid w:val="007A22BF"/>
    <w:rsid w:val="007A2628"/>
    <w:rsid w:val="007A3323"/>
    <w:rsid w:val="007A395F"/>
    <w:rsid w:val="007A60B1"/>
    <w:rsid w:val="007A7F29"/>
    <w:rsid w:val="007B0449"/>
    <w:rsid w:val="007B1477"/>
    <w:rsid w:val="007B2DEA"/>
    <w:rsid w:val="007B30A0"/>
    <w:rsid w:val="007B72B8"/>
    <w:rsid w:val="007B7A58"/>
    <w:rsid w:val="007C13D8"/>
    <w:rsid w:val="007C21B5"/>
    <w:rsid w:val="007C2359"/>
    <w:rsid w:val="007C2FE7"/>
    <w:rsid w:val="007C3509"/>
    <w:rsid w:val="007C37ED"/>
    <w:rsid w:val="007C3ED6"/>
    <w:rsid w:val="007C437C"/>
    <w:rsid w:val="007C58E0"/>
    <w:rsid w:val="007C6F89"/>
    <w:rsid w:val="007D006F"/>
    <w:rsid w:val="007D093B"/>
    <w:rsid w:val="007D3B49"/>
    <w:rsid w:val="007D4565"/>
    <w:rsid w:val="007D4B4E"/>
    <w:rsid w:val="007D60CC"/>
    <w:rsid w:val="007D6AB4"/>
    <w:rsid w:val="007D6DE3"/>
    <w:rsid w:val="007E06EC"/>
    <w:rsid w:val="007E07EB"/>
    <w:rsid w:val="007E091E"/>
    <w:rsid w:val="007E10BC"/>
    <w:rsid w:val="007E2940"/>
    <w:rsid w:val="007E2A50"/>
    <w:rsid w:val="007E3CDA"/>
    <w:rsid w:val="007E4BD2"/>
    <w:rsid w:val="007F2494"/>
    <w:rsid w:val="007F2636"/>
    <w:rsid w:val="007F37F4"/>
    <w:rsid w:val="007F41A3"/>
    <w:rsid w:val="007F6DF0"/>
    <w:rsid w:val="008009B2"/>
    <w:rsid w:val="00801393"/>
    <w:rsid w:val="00802F88"/>
    <w:rsid w:val="00803622"/>
    <w:rsid w:val="00805D6A"/>
    <w:rsid w:val="00810F53"/>
    <w:rsid w:val="0081293E"/>
    <w:rsid w:val="00812D0D"/>
    <w:rsid w:val="00813335"/>
    <w:rsid w:val="008152F0"/>
    <w:rsid w:val="00815465"/>
    <w:rsid w:val="00817E9A"/>
    <w:rsid w:val="00820830"/>
    <w:rsid w:val="008220F3"/>
    <w:rsid w:val="00822433"/>
    <w:rsid w:val="00823040"/>
    <w:rsid w:val="00830192"/>
    <w:rsid w:val="008306BD"/>
    <w:rsid w:val="00831A80"/>
    <w:rsid w:val="00833159"/>
    <w:rsid w:val="00833743"/>
    <w:rsid w:val="00833EBD"/>
    <w:rsid w:val="008340A4"/>
    <w:rsid w:val="0083453A"/>
    <w:rsid w:val="00834E61"/>
    <w:rsid w:val="008365B2"/>
    <w:rsid w:val="00836FC0"/>
    <w:rsid w:val="00843E8C"/>
    <w:rsid w:val="00844366"/>
    <w:rsid w:val="00846372"/>
    <w:rsid w:val="00854B5D"/>
    <w:rsid w:val="008552FA"/>
    <w:rsid w:val="0085590F"/>
    <w:rsid w:val="00855F22"/>
    <w:rsid w:val="00856BA5"/>
    <w:rsid w:val="00856BCB"/>
    <w:rsid w:val="00856E48"/>
    <w:rsid w:val="008577AD"/>
    <w:rsid w:val="00857C85"/>
    <w:rsid w:val="008615CC"/>
    <w:rsid w:val="00863E3B"/>
    <w:rsid w:val="008652B9"/>
    <w:rsid w:val="008710CC"/>
    <w:rsid w:val="0087135F"/>
    <w:rsid w:val="00872D94"/>
    <w:rsid w:val="00873006"/>
    <w:rsid w:val="00874346"/>
    <w:rsid w:val="00874587"/>
    <w:rsid w:val="00874AC6"/>
    <w:rsid w:val="008758EB"/>
    <w:rsid w:val="00875B95"/>
    <w:rsid w:val="00875D33"/>
    <w:rsid w:val="00876995"/>
    <w:rsid w:val="0087737D"/>
    <w:rsid w:val="00880364"/>
    <w:rsid w:val="008804FA"/>
    <w:rsid w:val="00881768"/>
    <w:rsid w:val="008823D2"/>
    <w:rsid w:val="00882607"/>
    <w:rsid w:val="00882A46"/>
    <w:rsid w:val="00884481"/>
    <w:rsid w:val="008910C6"/>
    <w:rsid w:val="00891592"/>
    <w:rsid w:val="008915DE"/>
    <w:rsid w:val="00891E9E"/>
    <w:rsid w:val="008930D0"/>
    <w:rsid w:val="00894E5E"/>
    <w:rsid w:val="00895533"/>
    <w:rsid w:val="008A1AC2"/>
    <w:rsid w:val="008A2F68"/>
    <w:rsid w:val="008A3480"/>
    <w:rsid w:val="008A35FB"/>
    <w:rsid w:val="008A4B07"/>
    <w:rsid w:val="008B24CB"/>
    <w:rsid w:val="008B3549"/>
    <w:rsid w:val="008B4006"/>
    <w:rsid w:val="008B4512"/>
    <w:rsid w:val="008B4FA6"/>
    <w:rsid w:val="008B5282"/>
    <w:rsid w:val="008B5C48"/>
    <w:rsid w:val="008B72EB"/>
    <w:rsid w:val="008B7C17"/>
    <w:rsid w:val="008C1971"/>
    <w:rsid w:val="008C1F49"/>
    <w:rsid w:val="008C2D01"/>
    <w:rsid w:val="008C39A0"/>
    <w:rsid w:val="008C40E6"/>
    <w:rsid w:val="008C4E45"/>
    <w:rsid w:val="008C722D"/>
    <w:rsid w:val="008D0773"/>
    <w:rsid w:val="008D0D4E"/>
    <w:rsid w:val="008D0F7A"/>
    <w:rsid w:val="008D130D"/>
    <w:rsid w:val="008D3550"/>
    <w:rsid w:val="008D4365"/>
    <w:rsid w:val="008D612E"/>
    <w:rsid w:val="008D68E4"/>
    <w:rsid w:val="008D7ABE"/>
    <w:rsid w:val="008E0506"/>
    <w:rsid w:val="008E0CFF"/>
    <w:rsid w:val="008E0FBB"/>
    <w:rsid w:val="008E3DAE"/>
    <w:rsid w:val="008E525C"/>
    <w:rsid w:val="008E5D6B"/>
    <w:rsid w:val="008E60D0"/>
    <w:rsid w:val="008E6669"/>
    <w:rsid w:val="008E76F0"/>
    <w:rsid w:val="008F15FE"/>
    <w:rsid w:val="008F2082"/>
    <w:rsid w:val="008F2D29"/>
    <w:rsid w:val="008F2D31"/>
    <w:rsid w:val="008F3E7A"/>
    <w:rsid w:val="008F4B8B"/>
    <w:rsid w:val="008F5187"/>
    <w:rsid w:val="008F60D8"/>
    <w:rsid w:val="008F6E97"/>
    <w:rsid w:val="008F7DBB"/>
    <w:rsid w:val="00901320"/>
    <w:rsid w:val="00901391"/>
    <w:rsid w:val="00902727"/>
    <w:rsid w:val="0090312B"/>
    <w:rsid w:val="009065FF"/>
    <w:rsid w:val="00906DC9"/>
    <w:rsid w:val="00915E25"/>
    <w:rsid w:val="0091736D"/>
    <w:rsid w:val="00917803"/>
    <w:rsid w:val="00917987"/>
    <w:rsid w:val="00922FB6"/>
    <w:rsid w:val="00926429"/>
    <w:rsid w:val="0093037A"/>
    <w:rsid w:val="009314B2"/>
    <w:rsid w:val="00931F9C"/>
    <w:rsid w:val="009323C3"/>
    <w:rsid w:val="0093242A"/>
    <w:rsid w:val="009330BA"/>
    <w:rsid w:val="0093351B"/>
    <w:rsid w:val="0093713A"/>
    <w:rsid w:val="0094154D"/>
    <w:rsid w:val="00941894"/>
    <w:rsid w:val="0094295E"/>
    <w:rsid w:val="009452C8"/>
    <w:rsid w:val="0094777B"/>
    <w:rsid w:val="00947A53"/>
    <w:rsid w:val="0095155F"/>
    <w:rsid w:val="00954429"/>
    <w:rsid w:val="00955EB1"/>
    <w:rsid w:val="009563CE"/>
    <w:rsid w:val="00960766"/>
    <w:rsid w:val="0096265A"/>
    <w:rsid w:val="0096333D"/>
    <w:rsid w:val="00967759"/>
    <w:rsid w:val="00967851"/>
    <w:rsid w:val="00967D97"/>
    <w:rsid w:val="00967E34"/>
    <w:rsid w:val="00970301"/>
    <w:rsid w:val="0097145D"/>
    <w:rsid w:val="00972D02"/>
    <w:rsid w:val="009731D7"/>
    <w:rsid w:val="009736D3"/>
    <w:rsid w:val="00974FB0"/>
    <w:rsid w:val="009750AF"/>
    <w:rsid w:val="00976328"/>
    <w:rsid w:val="0097680D"/>
    <w:rsid w:val="00980F44"/>
    <w:rsid w:val="00982438"/>
    <w:rsid w:val="009828A8"/>
    <w:rsid w:val="0098404C"/>
    <w:rsid w:val="00984DA9"/>
    <w:rsid w:val="00985283"/>
    <w:rsid w:val="0098561A"/>
    <w:rsid w:val="00990FE2"/>
    <w:rsid w:val="00992845"/>
    <w:rsid w:val="009938C7"/>
    <w:rsid w:val="00995062"/>
    <w:rsid w:val="00995992"/>
    <w:rsid w:val="00995CE7"/>
    <w:rsid w:val="00996D53"/>
    <w:rsid w:val="00996FED"/>
    <w:rsid w:val="009A008B"/>
    <w:rsid w:val="009A03E5"/>
    <w:rsid w:val="009A0F3B"/>
    <w:rsid w:val="009A1BB4"/>
    <w:rsid w:val="009A24B7"/>
    <w:rsid w:val="009A2628"/>
    <w:rsid w:val="009A3200"/>
    <w:rsid w:val="009A5F77"/>
    <w:rsid w:val="009B0897"/>
    <w:rsid w:val="009B12B9"/>
    <w:rsid w:val="009B487F"/>
    <w:rsid w:val="009B4E8F"/>
    <w:rsid w:val="009B72C7"/>
    <w:rsid w:val="009B7BD9"/>
    <w:rsid w:val="009C0333"/>
    <w:rsid w:val="009C0DF1"/>
    <w:rsid w:val="009C11E9"/>
    <w:rsid w:val="009C2623"/>
    <w:rsid w:val="009C2F75"/>
    <w:rsid w:val="009C414E"/>
    <w:rsid w:val="009C6652"/>
    <w:rsid w:val="009C6B6F"/>
    <w:rsid w:val="009C7DD5"/>
    <w:rsid w:val="009D46E2"/>
    <w:rsid w:val="009D6CCD"/>
    <w:rsid w:val="009E227D"/>
    <w:rsid w:val="009E2344"/>
    <w:rsid w:val="009E457D"/>
    <w:rsid w:val="009E5019"/>
    <w:rsid w:val="009E64E9"/>
    <w:rsid w:val="009E6E62"/>
    <w:rsid w:val="009F0D99"/>
    <w:rsid w:val="009F0F1C"/>
    <w:rsid w:val="009F1650"/>
    <w:rsid w:val="009F41CE"/>
    <w:rsid w:val="009F497B"/>
    <w:rsid w:val="009F5610"/>
    <w:rsid w:val="00A0136F"/>
    <w:rsid w:val="00A023A7"/>
    <w:rsid w:val="00A02FB5"/>
    <w:rsid w:val="00A0462F"/>
    <w:rsid w:val="00A04F1B"/>
    <w:rsid w:val="00A0501B"/>
    <w:rsid w:val="00A066F5"/>
    <w:rsid w:val="00A074F4"/>
    <w:rsid w:val="00A111F6"/>
    <w:rsid w:val="00A11348"/>
    <w:rsid w:val="00A11549"/>
    <w:rsid w:val="00A11984"/>
    <w:rsid w:val="00A14947"/>
    <w:rsid w:val="00A17247"/>
    <w:rsid w:val="00A17A47"/>
    <w:rsid w:val="00A22DB1"/>
    <w:rsid w:val="00A241EE"/>
    <w:rsid w:val="00A24A2B"/>
    <w:rsid w:val="00A254C5"/>
    <w:rsid w:val="00A26371"/>
    <w:rsid w:val="00A27844"/>
    <w:rsid w:val="00A3091F"/>
    <w:rsid w:val="00A30A76"/>
    <w:rsid w:val="00A326AF"/>
    <w:rsid w:val="00A32A83"/>
    <w:rsid w:val="00A337BA"/>
    <w:rsid w:val="00A35111"/>
    <w:rsid w:val="00A35B7A"/>
    <w:rsid w:val="00A368DB"/>
    <w:rsid w:val="00A36BF9"/>
    <w:rsid w:val="00A423AA"/>
    <w:rsid w:val="00A43599"/>
    <w:rsid w:val="00A47090"/>
    <w:rsid w:val="00A47D4B"/>
    <w:rsid w:val="00A504A6"/>
    <w:rsid w:val="00A50744"/>
    <w:rsid w:val="00A50E17"/>
    <w:rsid w:val="00A51317"/>
    <w:rsid w:val="00A52482"/>
    <w:rsid w:val="00A537D5"/>
    <w:rsid w:val="00A53EC6"/>
    <w:rsid w:val="00A54DE7"/>
    <w:rsid w:val="00A55C0F"/>
    <w:rsid w:val="00A57233"/>
    <w:rsid w:val="00A57BAD"/>
    <w:rsid w:val="00A57CDE"/>
    <w:rsid w:val="00A600EB"/>
    <w:rsid w:val="00A67DD5"/>
    <w:rsid w:val="00A70818"/>
    <w:rsid w:val="00A723E0"/>
    <w:rsid w:val="00A74D5D"/>
    <w:rsid w:val="00A7726D"/>
    <w:rsid w:val="00A811FA"/>
    <w:rsid w:val="00A8174C"/>
    <w:rsid w:val="00A85CE3"/>
    <w:rsid w:val="00A85F22"/>
    <w:rsid w:val="00A86694"/>
    <w:rsid w:val="00A8713F"/>
    <w:rsid w:val="00A87D7C"/>
    <w:rsid w:val="00A90B5D"/>
    <w:rsid w:val="00A90BA1"/>
    <w:rsid w:val="00A9181B"/>
    <w:rsid w:val="00A92C01"/>
    <w:rsid w:val="00A95BD5"/>
    <w:rsid w:val="00A96496"/>
    <w:rsid w:val="00A96F16"/>
    <w:rsid w:val="00A97723"/>
    <w:rsid w:val="00A97A9A"/>
    <w:rsid w:val="00AA0671"/>
    <w:rsid w:val="00AA2531"/>
    <w:rsid w:val="00AA3EF4"/>
    <w:rsid w:val="00AA4BC2"/>
    <w:rsid w:val="00AB05D6"/>
    <w:rsid w:val="00AB061F"/>
    <w:rsid w:val="00AB1DEC"/>
    <w:rsid w:val="00AB1E09"/>
    <w:rsid w:val="00AB28F0"/>
    <w:rsid w:val="00AB298C"/>
    <w:rsid w:val="00AB3DB7"/>
    <w:rsid w:val="00AB4B1B"/>
    <w:rsid w:val="00AB5330"/>
    <w:rsid w:val="00AB699A"/>
    <w:rsid w:val="00AB6C0B"/>
    <w:rsid w:val="00AB7747"/>
    <w:rsid w:val="00AC14CE"/>
    <w:rsid w:val="00AC2A56"/>
    <w:rsid w:val="00AC3258"/>
    <w:rsid w:val="00AC52B3"/>
    <w:rsid w:val="00AC666C"/>
    <w:rsid w:val="00AD055E"/>
    <w:rsid w:val="00AD1B6F"/>
    <w:rsid w:val="00AD1F3C"/>
    <w:rsid w:val="00AD47A7"/>
    <w:rsid w:val="00AD49E6"/>
    <w:rsid w:val="00AE3C75"/>
    <w:rsid w:val="00AE4C56"/>
    <w:rsid w:val="00AE4D6B"/>
    <w:rsid w:val="00AE4E02"/>
    <w:rsid w:val="00AE61F9"/>
    <w:rsid w:val="00AE650A"/>
    <w:rsid w:val="00AE68CA"/>
    <w:rsid w:val="00AE6C3B"/>
    <w:rsid w:val="00AE72BD"/>
    <w:rsid w:val="00AF026B"/>
    <w:rsid w:val="00AF0CBF"/>
    <w:rsid w:val="00AF1058"/>
    <w:rsid w:val="00AF257F"/>
    <w:rsid w:val="00AF33CF"/>
    <w:rsid w:val="00AF4D50"/>
    <w:rsid w:val="00AF6179"/>
    <w:rsid w:val="00AF764A"/>
    <w:rsid w:val="00AF7C6A"/>
    <w:rsid w:val="00B007AF"/>
    <w:rsid w:val="00B02FE6"/>
    <w:rsid w:val="00B056D0"/>
    <w:rsid w:val="00B12808"/>
    <w:rsid w:val="00B1295A"/>
    <w:rsid w:val="00B12FF2"/>
    <w:rsid w:val="00B17382"/>
    <w:rsid w:val="00B20653"/>
    <w:rsid w:val="00B20A45"/>
    <w:rsid w:val="00B20BEE"/>
    <w:rsid w:val="00B22977"/>
    <w:rsid w:val="00B22C5C"/>
    <w:rsid w:val="00B23F46"/>
    <w:rsid w:val="00B24F30"/>
    <w:rsid w:val="00B26179"/>
    <w:rsid w:val="00B2623B"/>
    <w:rsid w:val="00B2661C"/>
    <w:rsid w:val="00B30580"/>
    <w:rsid w:val="00B31ABF"/>
    <w:rsid w:val="00B31C4E"/>
    <w:rsid w:val="00B3225B"/>
    <w:rsid w:val="00B32A1E"/>
    <w:rsid w:val="00B33BE3"/>
    <w:rsid w:val="00B346B7"/>
    <w:rsid w:val="00B355FD"/>
    <w:rsid w:val="00B35DAA"/>
    <w:rsid w:val="00B37E6C"/>
    <w:rsid w:val="00B43FF3"/>
    <w:rsid w:val="00B50078"/>
    <w:rsid w:val="00B507BB"/>
    <w:rsid w:val="00B50E67"/>
    <w:rsid w:val="00B51969"/>
    <w:rsid w:val="00B53B5D"/>
    <w:rsid w:val="00B541C8"/>
    <w:rsid w:val="00B5495C"/>
    <w:rsid w:val="00B56AEA"/>
    <w:rsid w:val="00B57946"/>
    <w:rsid w:val="00B6055E"/>
    <w:rsid w:val="00B60858"/>
    <w:rsid w:val="00B60C59"/>
    <w:rsid w:val="00B60D24"/>
    <w:rsid w:val="00B61522"/>
    <w:rsid w:val="00B6207A"/>
    <w:rsid w:val="00B6317D"/>
    <w:rsid w:val="00B63D8F"/>
    <w:rsid w:val="00B65143"/>
    <w:rsid w:val="00B65E7B"/>
    <w:rsid w:val="00B7444A"/>
    <w:rsid w:val="00B76F4E"/>
    <w:rsid w:val="00B7723F"/>
    <w:rsid w:val="00B7763C"/>
    <w:rsid w:val="00B80534"/>
    <w:rsid w:val="00B81D08"/>
    <w:rsid w:val="00B82A1B"/>
    <w:rsid w:val="00B8433C"/>
    <w:rsid w:val="00B84B72"/>
    <w:rsid w:val="00B8574A"/>
    <w:rsid w:val="00B86C45"/>
    <w:rsid w:val="00B87213"/>
    <w:rsid w:val="00B87491"/>
    <w:rsid w:val="00B9167D"/>
    <w:rsid w:val="00B92F9A"/>
    <w:rsid w:val="00B93829"/>
    <w:rsid w:val="00B939C6"/>
    <w:rsid w:val="00BA0E46"/>
    <w:rsid w:val="00BA1311"/>
    <w:rsid w:val="00BA15B3"/>
    <w:rsid w:val="00BA29E9"/>
    <w:rsid w:val="00BA40F6"/>
    <w:rsid w:val="00BA4B76"/>
    <w:rsid w:val="00BA4D94"/>
    <w:rsid w:val="00BA54B0"/>
    <w:rsid w:val="00BA56F9"/>
    <w:rsid w:val="00BA7142"/>
    <w:rsid w:val="00BB106E"/>
    <w:rsid w:val="00BB1AC8"/>
    <w:rsid w:val="00BB237C"/>
    <w:rsid w:val="00BB2986"/>
    <w:rsid w:val="00BB3EA3"/>
    <w:rsid w:val="00BB41A3"/>
    <w:rsid w:val="00BB70D3"/>
    <w:rsid w:val="00BC062D"/>
    <w:rsid w:val="00BC0729"/>
    <w:rsid w:val="00BC0C97"/>
    <w:rsid w:val="00BC2DAF"/>
    <w:rsid w:val="00BC32DC"/>
    <w:rsid w:val="00BC33B2"/>
    <w:rsid w:val="00BC35B6"/>
    <w:rsid w:val="00BC4F9F"/>
    <w:rsid w:val="00BC5FFF"/>
    <w:rsid w:val="00BC64B5"/>
    <w:rsid w:val="00BC732B"/>
    <w:rsid w:val="00BC7AAA"/>
    <w:rsid w:val="00BD05F3"/>
    <w:rsid w:val="00BD1B51"/>
    <w:rsid w:val="00BD2854"/>
    <w:rsid w:val="00BD301D"/>
    <w:rsid w:val="00BD4596"/>
    <w:rsid w:val="00BD7BB1"/>
    <w:rsid w:val="00BD7BC4"/>
    <w:rsid w:val="00BE04BE"/>
    <w:rsid w:val="00BE1405"/>
    <w:rsid w:val="00BE30AB"/>
    <w:rsid w:val="00BE312D"/>
    <w:rsid w:val="00BE5E45"/>
    <w:rsid w:val="00BE669C"/>
    <w:rsid w:val="00BF1C20"/>
    <w:rsid w:val="00BF28A1"/>
    <w:rsid w:val="00BF29F2"/>
    <w:rsid w:val="00BF3081"/>
    <w:rsid w:val="00BF328C"/>
    <w:rsid w:val="00BF5749"/>
    <w:rsid w:val="00C0311A"/>
    <w:rsid w:val="00C06790"/>
    <w:rsid w:val="00C074F7"/>
    <w:rsid w:val="00C07C29"/>
    <w:rsid w:val="00C10578"/>
    <w:rsid w:val="00C12D00"/>
    <w:rsid w:val="00C135BC"/>
    <w:rsid w:val="00C1488C"/>
    <w:rsid w:val="00C15C95"/>
    <w:rsid w:val="00C173F9"/>
    <w:rsid w:val="00C20FA3"/>
    <w:rsid w:val="00C2183E"/>
    <w:rsid w:val="00C2278D"/>
    <w:rsid w:val="00C22E4F"/>
    <w:rsid w:val="00C22F88"/>
    <w:rsid w:val="00C24011"/>
    <w:rsid w:val="00C2596A"/>
    <w:rsid w:val="00C267C4"/>
    <w:rsid w:val="00C2684F"/>
    <w:rsid w:val="00C274B9"/>
    <w:rsid w:val="00C27537"/>
    <w:rsid w:val="00C30092"/>
    <w:rsid w:val="00C30F74"/>
    <w:rsid w:val="00C3197C"/>
    <w:rsid w:val="00C328FE"/>
    <w:rsid w:val="00C33507"/>
    <w:rsid w:val="00C33EA5"/>
    <w:rsid w:val="00C363F6"/>
    <w:rsid w:val="00C364A3"/>
    <w:rsid w:val="00C40253"/>
    <w:rsid w:val="00C43053"/>
    <w:rsid w:val="00C4409D"/>
    <w:rsid w:val="00C44BB9"/>
    <w:rsid w:val="00C44E72"/>
    <w:rsid w:val="00C45A06"/>
    <w:rsid w:val="00C45B6F"/>
    <w:rsid w:val="00C462A1"/>
    <w:rsid w:val="00C46EAA"/>
    <w:rsid w:val="00C47E5B"/>
    <w:rsid w:val="00C526AA"/>
    <w:rsid w:val="00C528A9"/>
    <w:rsid w:val="00C53971"/>
    <w:rsid w:val="00C56153"/>
    <w:rsid w:val="00C5631D"/>
    <w:rsid w:val="00C56879"/>
    <w:rsid w:val="00C57AB3"/>
    <w:rsid w:val="00C57C09"/>
    <w:rsid w:val="00C608AE"/>
    <w:rsid w:val="00C6095D"/>
    <w:rsid w:val="00C61432"/>
    <w:rsid w:val="00C61E4B"/>
    <w:rsid w:val="00C648CF"/>
    <w:rsid w:val="00C64BFF"/>
    <w:rsid w:val="00C67525"/>
    <w:rsid w:val="00C702CA"/>
    <w:rsid w:val="00C704E9"/>
    <w:rsid w:val="00C706E1"/>
    <w:rsid w:val="00C73499"/>
    <w:rsid w:val="00C7566C"/>
    <w:rsid w:val="00C756C6"/>
    <w:rsid w:val="00C76364"/>
    <w:rsid w:val="00C763C9"/>
    <w:rsid w:val="00C76B9E"/>
    <w:rsid w:val="00C7775B"/>
    <w:rsid w:val="00C80057"/>
    <w:rsid w:val="00C80539"/>
    <w:rsid w:val="00C82232"/>
    <w:rsid w:val="00C82913"/>
    <w:rsid w:val="00C8599C"/>
    <w:rsid w:val="00C8733D"/>
    <w:rsid w:val="00C90615"/>
    <w:rsid w:val="00C92A00"/>
    <w:rsid w:val="00C9462D"/>
    <w:rsid w:val="00C96813"/>
    <w:rsid w:val="00C9708C"/>
    <w:rsid w:val="00C972B1"/>
    <w:rsid w:val="00CA1AF3"/>
    <w:rsid w:val="00CA1D2D"/>
    <w:rsid w:val="00CA2CCE"/>
    <w:rsid w:val="00CA3155"/>
    <w:rsid w:val="00CA43FD"/>
    <w:rsid w:val="00CA4C03"/>
    <w:rsid w:val="00CA54EF"/>
    <w:rsid w:val="00CA7EF8"/>
    <w:rsid w:val="00CB3EE5"/>
    <w:rsid w:val="00CC059E"/>
    <w:rsid w:val="00CC34B1"/>
    <w:rsid w:val="00CC4025"/>
    <w:rsid w:val="00CC489B"/>
    <w:rsid w:val="00CD10A2"/>
    <w:rsid w:val="00CD182A"/>
    <w:rsid w:val="00CD2487"/>
    <w:rsid w:val="00CD2BCD"/>
    <w:rsid w:val="00CD3A4C"/>
    <w:rsid w:val="00CD5273"/>
    <w:rsid w:val="00CE10E9"/>
    <w:rsid w:val="00CE24AA"/>
    <w:rsid w:val="00CE2910"/>
    <w:rsid w:val="00CE2F6D"/>
    <w:rsid w:val="00CE4237"/>
    <w:rsid w:val="00CE5393"/>
    <w:rsid w:val="00CE59F9"/>
    <w:rsid w:val="00CE7703"/>
    <w:rsid w:val="00CE7D2B"/>
    <w:rsid w:val="00CE7D5B"/>
    <w:rsid w:val="00CF0AE1"/>
    <w:rsid w:val="00CF2891"/>
    <w:rsid w:val="00CF2BA2"/>
    <w:rsid w:val="00CF2DA7"/>
    <w:rsid w:val="00CF36BE"/>
    <w:rsid w:val="00CF40F7"/>
    <w:rsid w:val="00CF6000"/>
    <w:rsid w:val="00CF6547"/>
    <w:rsid w:val="00CF69C7"/>
    <w:rsid w:val="00CF73FD"/>
    <w:rsid w:val="00D0001A"/>
    <w:rsid w:val="00D003F3"/>
    <w:rsid w:val="00D029A3"/>
    <w:rsid w:val="00D0364F"/>
    <w:rsid w:val="00D0375D"/>
    <w:rsid w:val="00D04E53"/>
    <w:rsid w:val="00D06834"/>
    <w:rsid w:val="00D0704C"/>
    <w:rsid w:val="00D07C6E"/>
    <w:rsid w:val="00D07DA1"/>
    <w:rsid w:val="00D12217"/>
    <w:rsid w:val="00D12296"/>
    <w:rsid w:val="00D20A11"/>
    <w:rsid w:val="00D26578"/>
    <w:rsid w:val="00D308ED"/>
    <w:rsid w:val="00D30D73"/>
    <w:rsid w:val="00D31F85"/>
    <w:rsid w:val="00D32865"/>
    <w:rsid w:val="00D32A25"/>
    <w:rsid w:val="00D34457"/>
    <w:rsid w:val="00D36B71"/>
    <w:rsid w:val="00D36D86"/>
    <w:rsid w:val="00D40743"/>
    <w:rsid w:val="00D40D69"/>
    <w:rsid w:val="00D414DA"/>
    <w:rsid w:val="00D4196D"/>
    <w:rsid w:val="00D41AAC"/>
    <w:rsid w:val="00D428AA"/>
    <w:rsid w:val="00D42F67"/>
    <w:rsid w:val="00D43ACC"/>
    <w:rsid w:val="00D441F6"/>
    <w:rsid w:val="00D445F0"/>
    <w:rsid w:val="00D47CC3"/>
    <w:rsid w:val="00D50A34"/>
    <w:rsid w:val="00D53EFA"/>
    <w:rsid w:val="00D632DE"/>
    <w:rsid w:val="00D636BD"/>
    <w:rsid w:val="00D667EC"/>
    <w:rsid w:val="00D66EF5"/>
    <w:rsid w:val="00D7120F"/>
    <w:rsid w:val="00D72DF9"/>
    <w:rsid w:val="00D73C55"/>
    <w:rsid w:val="00D741F2"/>
    <w:rsid w:val="00D74DFA"/>
    <w:rsid w:val="00D81520"/>
    <w:rsid w:val="00D83C68"/>
    <w:rsid w:val="00D86CDE"/>
    <w:rsid w:val="00D86D5D"/>
    <w:rsid w:val="00D86E13"/>
    <w:rsid w:val="00D92467"/>
    <w:rsid w:val="00D93C66"/>
    <w:rsid w:val="00D93F90"/>
    <w:rsid w:val="00D94A7C"/>
    <w:rsid w:val="00D95896"/>
    <w:rsid w:val="00D96390"/>
    <w:rsid w:val="00DA2F7A"/>
    <w:rsid w:val="00DA31F9"/>
    <w:rsid w:val="00DB0CCA"/>
    <w:rsid w:val="00DB17B0"/>
    <w:rsid w:val="00DB234C"/>
    <w:rsid w:val="00DB2983"/>
    <w:rsid w:val="00DB2DD9"/>
    <w:rsid w:val="00DB33AE"/>
    <w:rsid w:val="00DB4341"/>
    <w:rsid w:val="00DB6230"/>
    <w:rsid w:val="00DB62A7"/>
    <w:rsid w:val="00DB6E5A"/>
    <w:rsid w:val="00DC1257"/>
    <w:rsid w:val="00DC1510"/>
    <w:rsid w:val="00DC2513"/>
    <w:rsid w:val="00DC2553"/>
    <w:rsid w:val="00DC2849"/>
    <w:rsid w:val="00DC2C21"/>
    <w:rsid w:val="00DC3761"/>
    <w:rsid w:val="00DC3AC8"/>
    <w:rsid w:val="00DC3DC0"/>
    <w:rsid w:val="00DC4CE3"/>
    <w:rsid w:val="00DC5B2B"/>
    <w:rsid w:val="00DC750F"/>
    <w:rsid w:val="00DD0EDE"/>
    <w:rsid w:val="00DD1E63"/>
    <w:rsid w:val="00DD25ED"/>
    <w:rsid w:val="00DD318D"/>
    <w:rsid w:val="00DD3193"/>
    <w:rsid w:val="00DD7042"/>
    <w:rsid w:val="00DD756D"/>
    <w:rsid w:val="00DD799A"/>
    <w:rsid w:val="00DE0C52"/>
    <w:rsid w:val="00DE0E79"/>
    <w:rsid w:val="00DE11CC"/>
    <w:rsid w:val="00DE3D30"/>
    <w:rsid w:val="00DE49E5"/>
    <w:rsid w:val="00DE7835"/>
    <w:rsid w:val="00DF0193"/>
    <w:rsid w:val="00DF145A"/>
    <w:rsid w:val="00DF29DB"/>
    <w:rsid w:val="00DF2E12"/>
    <w:rsid w:val="00DF2EBD"/>
    <w:rsid w:val="00DF2FBD"/>
    <w:rsid w:val="00DF4E2A"/>
    <w:rsid w:val="00DF514A"/>
    <w:rsid w:val="00DF5C04"/>
    <w:rsid w:val="00DF5CEC"/>
    <w:rsid w:val="00DF6690"/>
    <w:rsid w:val="00DF6804"/>
    <w:rsid w:val="00E0318C"/>
    <w:rsid w:val="00E0358D"/>
    <w:rsid w:val="00E04323"/>
    <w:rsid w:val="00E04664"/>
    <w:rsid w:val="00E05D90"/>
    <w:rsid w:val="00E070A2"/>
    <w:rsid w:val="00E14134"/>
    <w:rsid w:val="00E1451D"/>
    <w:rsid w:val="00E14AED"/>
    <w:rsid w:val="00E17343"/>
    <w:rsid w:val="00E2196C"/>
    <w:rsid w:val="00E21C44"/>
    <w:rsid w:val="00E2334D"/>
    <w:rsid w:val="00E254E1"/>
    <w:rsid w:val="00E2656A"/>
    <w:rsid w:val="00E32A35"/>
    <w:rsid w:val="00E351CE"/>
    <w:rsid w:val="00E366B3"/>
    <w:rsid w:val="00E37213"/>
    <w:rsid w:val="00E37293"/>
    <w:rsid w:val="00E372F3"/>
    <w:rsid w:val="00E412D0"/>
    <w:rsid w:val="00E41B7A"/>
    <w:rsid w:val="00E42C54"/>
    <w:rsid w:val="00E44795"/>
    <w:rsid w:val="00E50FA1"/>
    <w:rsid w:val="00E51607"/>
    <w:rsid w:val="00E536F9"/>
    <w:rsid w:val="00E54177"/>
    <w:rsid w:val="00E56322"/>
    <w:rsid w:val="00E60798"/>
    <w:rsid w:val="00E60982"/>
    <w:rsid w:val="00E626F4"/>
    <w:rsid w:val="00E62C62"/>
    <w:rsid w:val="00E62C65"/>
    <w:rsid w:val="00E6322E"/>
    <w:rsid w:val="00E649ED"/>
    <w:rsid w:val="00E6538E"/>
    <w:rsid w:val="00E654C1"/>
    <w:rsid w:val="00E65540"/>
    <w:rsid w:val="00E65D97"/>
    <w:rsid w:val="00E7005F"/>
    <w:rsid w:val="00E72702"/>
    <w:rsid w:val="00E728ED"/>
    <w:rsid w:val="00E72A5A"/>
    <w:rsid w:val="00E73354"/>
    <w:rsid w:val="00E7682D"/>
    <w:rsid w:val="00E82AC5"/>
    <w:rsid w:val="00E865C2"/>
    <w:rsid w:val="00E86642"/>
    <w:rsid w:val="00E87B99"/>
    <w:rsid w:val="00E91A11"/>
    <w:rsid w:val="00E9242D"/>
    <w:rsid w:val="00E93E06"/>
    <w:rsid w:val="00E9427F"/>
    <w:rsid w:val="00E96B35"/>
    <w:rsid w:val="00E97B13"/>
    <w:rsid w:val="00EA06CF"/>
    <w:rsid w:val="00EA3321"/>
    <w:rsid w:val="00EA4693"/>
    <w:rsid w:val="00EA4DA5"/>
    <w:rsid w:val="00EA504B"/>
    <w:rsid w:val="00EA7F49"/>
    <w:rsid w:val="00EB05D0"/>
    <w:rsid w:val="00EB0E40"/>
    <w:rsid w:val="00EB3886"/>
    <w:rsid w:val="00EB4116"/>
    <w:rsid w:val="00EB5071"/>
    <w:rsid w:val="00EB514E"/>
    <w:rsid w:val="00EB5255"/>
    <w:rsid w:val="00EB587E"/>
    <w:rsid w:val="00EB5C47"/>
    <w:rsid w:val="00EB62A8"/>
    <w:rsid w:val="00EB6BB6"/>
    <w:rsid w:val="00EC015C"/>
    <w:rsid w:val="00EC055D"/>
    <w:rsid w:val="00EC42D5"/>
    <w:rsid w:val="00EC615D"/>
    <w:rsid w:val="00ED0639"/>
    <w:rsid w:val="00ED32B5"/>
    <w:rsid w:val="00ED4274"/>
    <w:rsid w:val="00ED4D81"/>
    <w:rsid w:val="00ED5C9B"/>
    <w:rsid w:val="00EE3649"/>
    <w:rsid w:val="00EE4C4C"/>
    <w:rsid w:val="00EE7AA8"/>
    <w:rsid w:val="00EF0741"/>
    <w:rsid w:val="00EF16E1"/>
    <w:rsid w:val="00EF3530"/>
    <w:rsid w:val="00EF4755"/>
    <w:rsid w:val="00EF7135"/>
    <w:rsid w:val="00EF7895"/>
    <w:rsid w:val="00F019EE"/>
    <w:rsid w:val="00F027DB"/>
    <w:rsid w:val="00F03C26"/>
    <w:rsid w:val="00F10755"/>
    <w:rsid w:val="00F10B32"/>
    <w:rsid w:val="00F12B33"/>
    <w:rsid w:val="00F14A7A"/>
    <w:rsid w:val="00F16E2D"/>
    <w:rsid w:val="00F17241"/>
    <w:rsid w:val="00F20959"/>
    <w:rsid w:val="00F211C2"/>
    <w:rsid w:val="00F212AE"/>
    <w:rsid w:val="00F2165B"/>
    <w:rsid w:val="00F22985"/>
    <w:rsid w:val="00F24BEF"/>
    <w:rsid w:val="00F25CC3"/>
    <w:rsid w:val="00F25D41"/>
    <w:rsid w:val="00F27385"/>
    <w:rsid w:val="00F3249B"/>
    <w:rsid w:val="00F3383E"/>
    <w:rsid w:val="00F34064"/>
    <w:rsid w:val="00F348FC"/>
    <w:rsid w:val="00F41A91"/>
    <w:rsid w:val="00F446EA"/>
    <w:rsid w:val="00F4658D"/>
    <w:rsid w:val="00F465A7"/>
    <w:rsid w:val="00F46C06"/>
    <w:rsid w:val="00F46E2C"/>
    <w:rsid w:val="00F477AF"/>
    <w:rsid w:val="00F47D89"/>
    <w:rsid w:val="00F50B7C"/>
    <w:rsid w:val="00F5236C"/>
    <w:rsid w:val="00F536C4"/>
    <w:rsid w:val="00F53BA0"/>
    <w:rsid w:val="00F54D1F"/>
    <w:rsid w:val="00F550E6"/>
    <w:rsid w:val="00F551D5"/>
    <w:rsid w:val="00F61837"/>
    <w:rsid w:val="00F62083"/>
    <w:rsid w:val="00F6342A"/>
    <w:rsid w:val="00F63D7F"/>
    <w:rsid w:val="00F64892"/>
    <w:rsid w:val="00F64F03"/>
    <w:rsid w:val="00F66CEA"/>
    <w:rsid w:val="00F67024"/>
    <w:rsid w:val="00F67079"/>
    <w:rsid w:val="00F726C7"/>
    <w:rsid w:val="00F74345"/>
    <w:rsid w:val="00F74AF6"/>
    <w:rsid w:val="00F75FCD"/>
    <w:rsid w:val="00F7630A"/>
    <w:rsid w:val="00F8040B"/>
    <w:rsid w:val="00F80A0A"/>
    <w:rsid w:val="00F82B19"/>
    <w:rsid w:val="00F913AA"/>
    <w:rsid w:val="00F91987"/>
    <w:rsid w:val="00F9212D"/>
    <w:rsid w:val="00F92CC1"/>
    <w:rsid w:val="00F965DA"/>
    <w:rsid w:val="00F97830"/>
    <w:rsid w:val="00FA2556"/>
    <w:rsid w:val="00FA3347"/>
    <w:rsid w:val="00FA3AF8"/>
    <w:rsid w:val="00FA406A"/>
    <w:rsid w:val="00FA45B1"/>
    <w:rsid w:val="00FA58CD"/>
    <w:rsid w:val="00FA66C4"/>
    <w:rsid w:val="00FA72A8"/>
    <w:rsid w:val="00FA7939"/>
    <w:rsid w:val="00FB116C"/>
    <w:rsid w:val="00FB18B2"/>
    <w:rsid w:val="00FB1C91"/>
    <w:rsid w:val="00FB3D12"/>
    <w:rsid w:val="00FB503A"/>
    <w:rsid w:val="00FB516C"/>
    <w:rsid w:val="00FB6A2C"/>
    <w:rsid w:val="00FB78B4"/>
    <w:rsid w:val="00FC2FB4"/>
    <w:rsid w:val="00FC6365"/>
    <w:rsid w:val="00FC67A2"/>
    <w:rsid w:val="00FD0236"/>
    <w:rsid w:val="00FD18F4"/>
    <w:rsid w:val="00FD1B94"/>
    <w:rsid w:val="00FD4943"/>
    <w:rsid w:val="00FD54DB"/>
    <w:rsid w:val="00FD619F"/>
    <w:rsid w:val="00FD6221"/>
    <w:rsid w:val="00FD6443"/>
    <w:rsid w:val="00FD6D9B"/>
    <w:rsid w:val="00FD6FBB"/>
    <w:rsid w:val="00FD7EC1"/>
    <w:rsid w:val="00FE7214"/>
    <w:rsid w:val="00FE78BA"/>
    <w:rsid w:val="00FF0895"/>
    <w:rsid w:val="00FF209F"/>
    <w:rsid w:val="00FF7152"/>
    <w:rsid w:val="0111095B"/>
    <w:rsid w:val="01290F7E"/>
    <w:rsid w:val="013D387C"/>
    <w:rsid w:val="013D48D2"/>
    <w:rsid w:val="014F2882"/>
    <w:rsid w:val="014F6B82"/>
    <w:rsid w:val="01500271"/>
    <w:rsid w:val="015829A3"/>
    <w:rsid w:val="015D1E09"/>
    <w:rsid w:val="016C0B40"/>
    <w:rsid w:val="017D4945"/>
    <w:rsid w:val="018B34FF"/>
    <w:rsid w:val="01957E16"/>
    <w:rsid w:val="019F1377"/>
    <w:rsid w:val="01A07D88"/>
    <w:rsid w:val="01B22798"/>
    <w:rsid w:val="01B47A05"/>
    <w:rsid w:val="01C65812"/>
    <w:rsid w:val="01D360A7"/>
    <w:rsid w:val="01E0098B"/>
    <w:rsid w:val="01E81803"/>
    <w:rsid w:val="020F7DF3"/>
    <w:rsid w:val="021719ED"/>
    <w:rsid w:val="02247ACE"/>
    <w:rsid w:val="0235731E"/>
    <w:rsid w:val="025276AE"/>
    <w:rsid w:val="025A704C"/>
    <w:rsid w:val="025D1B2A"/>
    <w:rsid w:val="02697903"/>
    <w:rsid w:val="02847063"/>
    <w:rsid w:val="029D4B24"/>
    <w:rsid w:val="029D518A"/>
    <w:rsid w:val="02A72EF0"/>
    <w:rsid w:val="02B07894"/>
    <w:rsid w:val="02D151D2"/>
    <w:rsid w:val="02D362C7"/>
    <w:rsid w:val="02F96569"/>
    <w:rsid w:val="02FA44C7"/>
    <w:rsid w:val="033E6347"/>
    <w:rsid w:val="035148F2"/>
    <w:rsid w:val="036419D9"/>
    <w:rsid w:val="036D3A9A"/>
    <w:rsid w:val="03726617"/>
    <w:rsid w:val="037F7736"/>
    <w:rsid w:val="03AB0DDE"/>
    <w:rsid w:val="03B7672F"/>
    <w:rsid w:val="03C216AE"/>
    <w:rsid w:val="03D16B4F"/>
    <w:rsid w:val="03D7144C"/>
    <w:rsid w:val="03DA066B"/>
    <w:rsid w:val="03DC31EC"/>
    <w:rsid w:val="03E72B61"/>
    <w:rsid w:val="03EA7B21"/>
    <w:rsid w:val="03F85803"/>
    <w:rsid w:val="03FB072B"/>
    <w:rsid w:val="0456694D"/>
    <w:rsid w:val="04D60451"/>
    <w:rsid w:val="04DA76EC"/>
    <w:rsid w:val="050D769E"/>
    <w:rsid w:val="051A5E54"/>
    <w:rsid w:val="05444DBA"/>
    <w:rsid w:val="05676865"/>
    <w:rsid w:val="05CF7265"/>
    <w:rsid w:val="05D07FF1"/>
    <w:rsid w:val="05F83EAE"/>
    <w:rsid w:val="05FF1AA9"/>
    <w:rsid w:val="063E7D85"/>
    <w:rsid w:val="06867702"/>
    <w:rsid w:val="069977E3"/>
    <w:rsid w:val="06CC5D21"/>
    <w:rsid w:val="06F7130D"/>
    <w:rsid w:val="07047C54"/>
    <w:rsid w:val="070613DD"/>
    <w:rsid w:val="070F2E05"/>
    <w:rsid w:val="070F3A22"/>
    <w:rsid w:val="07102EBC"/>
    <w:rsid w:val="071135C4"/>
    <w:rsid w:val="072254ED"/>
    <w:rsid w:val="07274671"/>
    <w:rsid w:val="07293586"/>
    <w:rsid w:val="07295285"/>
    <w:rsid w:val="073E6D49"/>
    <w:rsid w:val="07410D67"/>
    <w:rsid w:val="07636392"/>
    <w:rsid w:val="076A5385"/>
    <w:rsid w:val="076D5A73"/>
    <w:rsid w:val="07770C56"/>
    <w:rsid w:val="07894711"/>
    <w:rsid w:val="078B1060"/>
    <w:rsid w:val="078E5428"/>
    <w:rsid w:val="07B131E0"/>
    <w:rsid w:val="080355A0"/>
    <w:rsid w:val="08050468"/>
    <w:rsid w:val="083F6A79"/>
    <w:rsid w:val="08616C8E"/>
    <w:rsid w:val="08A63687"/>
    <w:rsid w:val="08C73343"/>
    <w:rsid w:val="09024321"/>
    <w:rsid w:val="091A3FBE"/>
    <w:rsid w:val="092217DD"/>
    <w:rsid w:val="0923357E"/>
    <w:rsid w:val="092F675C"/>
    <w:rsid w:val="093A7294"/>
    <w:rsid w:val="094B3B92"/>
    <w:rsid w:val="095F6CE1"/>
    <w:rsid w:val="096C447E"/>
    <w:rsid w:val="0974559C"/>
    <w:rsid w:val="098E30EF"/>
    <w:rsid w:val="09A400BD"/>
    <w:rsid w:val="09E06BC8"/>
    <w:rsid w:val="09E85885"/>
    <w:rsid w:val="09F31B65"/>
    <w:rsid w:val="0A263993"/>
    <w:rsid w:val="0A2D3AC2"/>
    <w:rsid w:val="0A32503A"/>
    <w:rsid w:val="0A3E37D4"/>
    <w:rsid w:val="0A4039F8"/>
    <w:rsid w:val="0A426237"/>
    <w:rsid w:val="0A4C1267"/>
    <w:rsid w:val="0A6953BB"/>
    <w:rsid w:val="0A733AAF"/>
    <w:rsid w:val="0A8235E3"/>
    <w:rsid w:val="0A9F3CF6"/>
    <w:rsid w:val="0AA3177B"/>
    <w:rsid w:val="0AA755DF"/>
    <w:rsid w:val="0AC52104"/>
    <w:rsid w:val="0AC83F2F"/>
    <w:rsid w:val="0ADB07A1"/>
    <w:rsid w:val="0AEB3735"/>
    <w:rsid w:val="0B120D44"/>
    <w:rsid w:val="0B2B4DDC"/>
    <w:rsid w:val="0B3D277B"/>
    <w:rsid w:val="0B460135"/>
    <w:rsid w:val="0B466AAC"/>
    <w:rsid w:val="0B4D1503"/>
    <w:rsid w:val="0B5A03D8"/>
    <w:rsid w:val="0B6A4B81"/>
    <w:rsid w:val="0B8E6CC5"/>
    <w:rsid w:val="0BA5718D"/>
    <w:rsid w:val="0BA96977"/>
    <w:rsid w:val="0BB05FE5"/>
    <w:rsid w:val="0BD27BF6"/>
    <w:rsid w:val="0C1518B2"/>
    <w:rsid w:val="0C1E4963"/>
    <w:rsid w:val="0C321039"/>
    <w:rsid w:val="0C3B3C7D"/>
    <w:rsid w:val="0C4E7B4A"/>
    <w:rsid w:val="0C5B5749"/>
    <w:rsid w:val="0C6747A5"/>
    <w:rsid w:val="0C6B3972"/>
    <w:rsid w:val="0C882A07"/>
    <w:rsid w:val="0CAB2EAE"/>
    <w:rsid w:val="0CB832EC"/>
    <w:rsid w:val="0CBF24CF"/>
    <w:rsid w:val="0CC775A5"/>
    <w:rsid w:val="0CEC743A"/>
    <w:rsid w:val="0CEE4251"/>
    <w:rsid w:val="0D06651A"/>
    <w:rsid w:val="0D1E192C"/>
    <w:rsid w:val="0D2A3ABE"/>
    <w:rsid w:val="0D307327"/>
    <w:rsid w:val="0D3D5EE8"/>
    <w:rsid w:val="0D487493"/>
    <w:rsid w:val="0D4A6E5D"/>
    <w:rsid w:val="0D5D7ECB"/>
    <w:rsid w:val="0D5F6FBA"/>
    <w:rsid w:val="0D610EC0"/>
    <w:rsid w:val="0D621C7D"/>
    <w:rsid w:val="0D721F1E"/>
    <w:rsid w:val="0D8A677C"/>
    <w:rsid w:val="0D8C694D"/>
    <w:rsid w:val="0D930E00"/>
    <w:rsid w:val="0D9423AB"/>
    <w:rsid w:val="0DA95BD0"/>
    <w:rsid w:val="0DC20DE2"/>
    <w:rsid w:val="0DE12DC2"/>
    <w:rsid w:val="0DEE0F90"/>
    <w:rsid w:val="0DF1779C"/>
    <w:rsid w:val="0E0D3E8A"/>
    <w:rsid w:val="0E3E60BF"/>
    <w:rsid w:val="0E57274B"/>
    <w:rsid w:val="0E675CE2"/>
    <w:rsid w:val="0E73034D"/>
    <w:rsid w:val="0EB977F0"/>
    <w:rsid w:val="0ECA6ABA"/>
    <w:rsid w:val="0ED76D3A"/>
    <w:rsid w:val="0EDD34DE"/>
    <w:rsid w:val="0EEF5B8E"/>
    <w:rsid w:val="0F066268"/>
    <w:rsid w:val="0F13775A"/>
    <w:rsid w:val="0F3B3828"/>
    <w:rsid w:val="0F593627"/>
    <w:rsid w:val="0F5F45FE"/>
    <w:rsid w:val="0F720C34"/>
    <w:rsid w:val="0F7E161A"/>
    <w:rsid w:val="0F7F166C"/>
    <w:rsid w:val="0F9A112B"/>
    <w:rsid w:val="0FAA1AA5"/>
    <w:rsid w:val="0FCF30EA"/>
    <w:rsid w:val="0FDA2FF1"/>
    <w:rsid w:val="0FDB77C0"/>
    <w:rsid w:val="0FE2335A"/>
    <w:rsid w:val="100435FE"/>
    <w:rsid w:val="10067061"/>
    <w:rsid w:val="10174381"/>
    <w:rsid w:val="105511B8"/>
    <w:rsid w:val="10594229"/>
    <w:rsid w:val="106D2F64"/>
    <w:rsid w:val="10890075"/>
    <w:rsid w:val="10B63710"/>
    <w:rsid w:val="10C85AC8"/>
    <w:rsid w:val="10CB10D0"/>
    <w:rsid w:val="10D66437"/>
    <w:rsid w:val="10DE78FA"/>
    <w:rsid w:val="10EC6EAB"/>
    <w:rsid w:val="10F10820"/>
    <w:rsid w:val="111C2F7A"/>
    <w:rsid w:val="11580FC9"/>
    <w:rsid w:val="11665CA1"/>
    <w:rsid w:val="116C0B49"/>
    <w:rsid w:val="1174359B"/>
    <w:rsid w:val="119737E2"/>
    <w:rsid w:val="119F2078"/>
    <w:rsid w:val="11A77E16"/>
    <w:rsid w:val="11B65AE6"/>
    <w:rsid w:val="11C93240"/>
    <w:rsid w:val="11CB3AC2"/>
    <w:rsid w:val="11D26825"/>
    <w:rsid w:val="11E80B2A"/>
    <w:rsid w:val="12121331"/>
    <w:rsid w:val="1219022B"/>
    <w:rsid w:val="123667CC"/>
    <w:rsid w:val="125D2DB4"/>
    <w:rsid w:val="127A1E00"/>
    <w:rsid w:val="12D76496"/>
    <w:rsid w:val="12DB6353"/>
    <w:rsid w:val="12EC0787"/>
    <w:rsid w:val="12F43FA1"/>
    <w:rsid w:val="1308328B"/>
    <w:rsid w:val="131B6707"/>
    <w:rsid w:val="13285633"/>
    <w:rsid w:val="132C4994"/>
    <w:rsid w:val="13350CE7"/>
    <w:rsid w:val="134B3E5D"/>
    <w:rsid w:val="135F7696"/>
    <w:rsid w:val="13657252"/>
    <w:rsid w:val="13951726"/>
    <w:rsid w:val="13C3198D"/>
    <w:rsid w:val="13CF03BC"/>
    <w:rsid w:val="13D3544E"/>
    <w:rsid w:val="13D94699"/>
    <w:rsid w:val="13DA73DC"/>
    <w:rsid w:val="13EC5A74"/>
    <w:rsid w:val="13F15927"/>
    <w:rsid w:val="13F45AA0"/>
    <w:rsid w:val="13FA18B3"/>
    <w:rsid w:val="1403316F"/>
    <w:rsid w:val="141B7D67"/>
    <w:rsid w:val="141D375F"/>
    <w:rsid w:val="142930A6"/>
    <w:rsid w:val="14396509"/>
    <w:rsid w:val="143E521A"/>
    <w:rsid w:val="145110C2"/>
    <w:rsid w:val="14511223"/>
    <w:rsid w:val="145B7139"/>
    <w:rsid w:val="146E529E"/>
    <w:rsid w:val="147338B1"/>
    <w:rsid w:val="147E199D"/>
    <w:rsid w:val="14866954"/>
    <w:rsid w:val="14BB6147"/>
    <w:rsid w:val="14DD2C3C"/>
    <w:rsid w:val="15175DCA"/>
    <w:rsid w:val="15411738"/>
    <w:rsid w:val="15542020"/>
    <w:rsid w:val="155B3F51"/>
    <w:rsid w:val="15643559"/>
    <w:rsid w:val="15666092"/>
    <w:rsid w:val="15791EA6"/>
    <w:rsid w:val="1589777C"/>
    <w:rsid w:val="15997A33"/>
    <w:rsid w:val="15B86374"/>
    <w:rsid w:val="15E654B0"/>
    <w:rsid w:val="15F13D38"/>
    <w:rsid w:val="15FF2621"/>
    <w:rsid w:val="16087E1D"/>
    <w:rsid w:val="16370C3B"/>
    <w:rsid w:val="16561BC2"/>
    <w:rsid w:val="16691AFB"/>
    <w:rsid w:val="16696BA6"/>
    <w:rsid w:val="167A4769"/>
    <w:rsid w:val="167C26C3"/>
    <w:rsid w:val="169E7F11"/>
    <w:rsid w:val="16A341C7"/>
    <w:rsid w:val="16AF220F"/>
    <w:rsid w:val="16B70E3D"/>
    <w:rsid w:val="16BD2DDB"/>
    <w:rsid w:val="16E02282"/>
    <w:rsid w:val="16FF7D6A"/>
    <w:rsid w:val="170615C9"/>
    <w:rsid w:val="170B05FA"/>
    <w:rsid w:val="17365C30"/>
    <w:rsid w:val="17373D6B"/>
    <w:rsid w:val="1739796B"/>
    <w:rsid w:val="17670D6C"/>
    <w:rsid w:val="17701D14"/>
    <w:rsid w:val="177249E0"/>
    <w:rsid w:val="17735226"/>
    <w:rsid w:val="17B971BA"/>
    <w:rsid w:val="18022764"/>
    <w:rsid w:val="181C060A"/>
    <w:rsid w:val="182840FE"/>
    <w:rsid w:val="184175D6"/>
    <w:rsid w:val="18475E6C"/>
    <w:rsid w:val="1852421B"/>
    <w:rsid w:val="18700A83"/>
    <w:rsid w:val="1873016F"/>
    <w:rsid w:val="188D76AE"/>
    <w:rsid w:val="189D0D21"/>
    <w:rsid w:val="189E2BD1"/>
    <w:rsid w:val="189F624C"/>
    <w:rsid w:val="18B445B3"/>
    <w:rsid w:val="18BE1E53"/>
    <w:rsid w:val="18D61C41"/>
    <w:rsid w:val="18DB0531"/>
    <w:rsid w:val="19147587"/>
    <w:rsid w:val="193A6A13"/>
    <w:rsid w:val="19447D93"/>
    <w:rsid w:val="19481C95"/>
    <w:rsid w:val="1955488B"/>
    <w:rsid w:val="19646447"/>
    <w:rsid w:val="197E43E6"/>
    <w:rsid w:val="19D96F98"/>
    <w:rsid w:val="19EA6365"/>
    <w:rsid w:val="1A0618B2"/>
    <w:rsid w:val="1A0D3F0C"/>
    <w:rsid w:val="1A1C66C0"/>
    <w:rsid w:val="1A2D30FE"/>
    <w:rsid w:val="1A42393B"/>
    <w:rsid w:val="1A583B12"/>
    <w:rsid w:val="1A695BA8"/>
    <w:rsid w:val="1A6E556C"/>
    <w:rsid w:val="1A8C1901"/>
    <w:rsid w:val="1A97397A"/>
    <w:rsid w:val="1AAC0209"/>
    <w:rsid w:val="1AAD45DE"/>
    <w:rsid w:val="1AB515E0"/>
    <w:rsid w:val="1AC97FBE"/>
    <w:rsid w:val="1ACA49AA"/>
    <w:rsid w:val="1ADB780F"/>
    <w:rsid w:val="1AE94C48"/>
    <w:rsid w:val="1B046F80"/>
    <w:rsid w:val="1B127321"/>
    <w:rsid w:val="1B143D5E"/>
    <w:rsid w:val="1B2A62A5"/>
    <w:rsid w:val="1B3267B5"/>
    <w:rsid w:val="1B3A3EB9"/>
    <w:rsid w:val="1B3A5814"/>
    <w:rsid w:val="1B3C0540"/>
    <w:rsid w:val="1B40161D"/>
    <w:rsid w:val="1B4262A0"/>
    <w:rsid w:val="1B441859"/>
    <w:rsid w:val="1B593862"/>
    <w:rsid w:val="1B6606B1"/>
    <w:rsid w:val="1B7E211C"/>
    <w:rsid w:val="1B815AF1"/>
    <w:rsid w:val="1B9A6240"/>
    <w:rsid w:val="1BAA4748"/>
    <w:rsid w:val="1BBB6955"/>
    <w:rsid w:val="1BC407BC"/>
    <w:rsid w:val="1BCE5FC3"/>
    <w:rsid w:val="1BE96CA7"/>
    <w:rsid w:val="1C067117"/>
    <w:rsid w:val="1C312F53"/>
    <w:rsid w:val="1C5E7925"/>
    <w:rsid w:val="1C666E99"/>
    <w:rsid w:val="1CA84374"/>
    <w:rsid w:val="1CBC2696"/>
    <w:rsid w:val="1CC06FE6"/>
    <w:rsid w:val="1CEF0117"/>
    <w:rsid w:val="1CFA34AD"/>
    <w:rsid w:val="1CFA4097"/>
    <w:rsid w:val="1CFD070F"/>
    <w:rsid w:val="1D047906"/>
    <w:rsid w:val="1D0E0A0F"/>
    <w:rsid w:val="1D413B83"/>
    <w:rsid w:val="1D4B0CAE"/>
    <w:rsid w:val="1D580ABE"/>
    <w:rsid w:val="1D5F6196"/>
    <w:rsid w:val="1D6132A5"/>
    <w:rsid w:val="1D6F7019"/>
    <w:rsid w:val="1D721295"/>
    <w:rsid w:val="1D8A2A83"/>
    <w:rsid w:val="1D8E56D5"/>
    <w:rsid w:val="1DC649DB"/>
    <w:rsid w:val="1DD26DCC"/>
    <w:rsid w:val="1DDB41A4"/>
    <w:rsid w:val="1DED7E3D"/>
    <w:rsid w:val="1DEE1A60"/>
    <w:rsid w:val="1DF4614E"/>
    <w:rsid w:val="1E0A179C"/>
    <w:rsid w:val="1E1D080C"/>
    <w:rsid w:val="1E47689B"/>
    <w:rsid w:val="1E505DFB"/>
    <w:rsid w:val="1E686971"/>
    <w:rsid w:val="1E771F34"/>
    <w:rsid w:val="1E7A43DA"/>
    <w:rsid w:val="1EBB28CB"/>
    <w:rsid w:val="1ED2071A"/>
    <w:rsid w:val="1EEA12FF"/>
    <w:rsid w:val="1EEE23A9"/>
    <w:rsid w:val="1EFB0EFA"/>
    <w:rsid w:val="1EFD2C73"/>
    <w:rsid w:val="1F1F22F6"/>
    <w:rsid w:val="1F2D3E35"/>
    <w:rsid w:val="1F381476"/>
    <w:rsid w:val="1F4A6BF6"/>
    <w:rsid w:val="1F567656"/>
    <w:rsid w:val="1F5A5D7B"/>
    <w:rsid w:val="1F7B171D"/>
    <w:rsid w:val="1F7C5367"/>
    <w:rsid w:val="1F8104A7"/>
    <w:rsid w:val="1F8F2833"/>
    <w:rsid w:val="1FC97281"/>
    <w:rsid w:val="1FD13B85"/>
    <w:rsid w:val="1FD9384E"/>
    <w:rsid w:val="1FDC333E"/>
    <w:rsid w:val="1FE31903"/>
    <w:rsid w:val="1FE7539E"/>
    <w:rsid w:val="1FF8365A"/>
    <w:rsid w:val="200A3C48"/>
    <w:rsid w:val="203209F3"/>
    <w:rsid w:val="2044312E"/>
    <w:rsid w:val="20671BE0"/>
    <w:rsid w:val="208770B7"/>
    <w:rsid w:val="208F1ACA"/>
    <w:rsid w:val="209256B7"/>
    <w:rsid w:val="20963CB8"/>
    <w:rsid w:val="20A81A1B"/>
    <w:rsid w:val="20B07FB6"/>
    <w:rsid w:val="20B646FB"/>
    <w:rsid w:val="20EF5233"/>
    <w:rsid w:val="21043213"/>
    <w:rsid w:val="21191420"/>
    <w:rsid w:val="213B74B1"/>
    <w:rsid w:val="213D605E"/>
    <w:rsid w:val="21440F6B"/>
    <w:rsid w:val="21484331"/>
    <w:rsid w:val="2157471E"/>
    <w:rsid w:val="215A2310"/>
    <w:rsid w:val="21780E44"/>
    <w:rsid w:val="217A0FC7"/>
    <w:rsid w:val="217A4021"/>
    <w:rsid w:val="21D4251F"/>
    <w:rsid w:val="21DE318A"/>
    <w:rsid w:val="21E80C26"/>
    <w:rsid w:val="21EF5B80"/>
    <w:rsid w:val="21FD06F0"/>
    <w:rsid w:val="220267FC"/>
    <w:rsid w:val="22051920"/>
    <w:rsid w:val="22052CCD"/>
    <w:rsid w:val="22181225"/>
    <w:rsid w:val="2220125F"/>
    <w:rsid w:val="22206C77"/>
    <w:rsid w:val="222456C7"/>
    <w:rsid w:val="2226679D"/>
    <w:rsid w:val="22266AF2"/>
    <w:rsid w:val="223D1D8E"/>
    <w:rsid w:val="224F1BA5"/>
    <w:rsid w:val="22534901"/>
    <w:rsid w:val="22576990"/>
    <w:rsid w:val="226501E4"/>
    <w:rsid w:val="226F0499"/>
    <w:rsid w:val="227C4964"/>
    <w:rsid w:val="22BA2C18"/>
    <w:rsid w:val="22F47480"/>
    <w:rsid w:val="230014B8"/>
    <w:rsid w:val="236A159F"/>
    <w:rsid w:val="23A65AFD"/>
    <w:rsid w:val="23B532D8"/>
    <w:rsid w:val="23C50952"/>
    <w:rsid w:val="23CE2173"/>
    <w:rsid w:val="23D308A7"/>
    <w:rsid w:val="23D8556C"/>
    <w:rsid w:val="23DE1C48"/>
    <w:rsid w:val="23E13E0A"/>
    <w:rsid w:val="23F901B6"/>
    <w:rsid w:val="23FB410A"/>
    <w:rsid w:val="23FB594B"/>
    <w:rsid w:val="23FD5EEB"/>
    <w:rsid w:val="240210CD"/>
    <w:rsid w:val="2403533D"/>
    <w:rsid w:val="2419473C"/>
    <w:rsid w:val="245D53F6"/>
    <w:rsid w:val="246321BB"/>
    <w:rsid w:val="249A161C"/>
    <w:rsid w:val="24A21305"/>
    <w:rsid w:val="24B40775"/>
    <w:rsid w:val="24BF09F7"/>
    <w:rsid w:val="24C51543"/>
    <w:rsid w:val="24E44B16"/>
    <w:rsid w:val="24F842E1"/>
    <w:rsid w:val="250E364A"/>
    <w:rsid w:val="250F3A8F"/>
    <w:rsid w:val="252D53FE"/>
    <w:rsid w:val="253C3BE9"/>
    <w:rsid w:val="25565287"/>
    <w:rsid w:val="256A4F48"/>
    <w:rsid w:val="256B628E"/>
    <w:rsid w:val="2580476C"/>
    <w:rsid w:val="25842D78"/>
    <w:rsid w:val="25872D51"/>
    <w:rsid w:val="258B007B"/>
    <w:rsid w:val="25AE5C8C"/>
    <w:rsid w:val="25EC2D81"/>
    <w:rsid w:val="25F4285C"/>
    <w:rsid w:val="25FA3E7D"/>
    <w:rsid w:val="264E18B2"/>
    <w:rsid w:val="26571AF9"/>
    <w:rsid w:val="2671152A"/>
    <w:rsid w:val="26741610"/>
    <w:rsid w:val="26A44F80"/>
    <w:rsid w:val="26B10EEC"/>
    <w:rsid w:val="26DA3440"/>
    <w:rsid w:val="26E66850"/>
    <w:rsid w:val="271A0D0A"/>
    <w:rsid w:val="27352777"/>
    <w:rsid w:val="275829EF"/>
    <w:rsid w:val="275D6109"/>
    <w:rsid w:val="276516BA"/>
    <w:rsid w:val="276E2ACE"/>
    <w:rsid w:val="277057A2"/>
    <w:rsid w:val="27805CA5"/>
    <w:rsid w:val="279A397E"/>
    <w:rsid w:val="279F4233"/>
    <w:rsid w:val="27C967C7"/>
    <w:rsid w:val="27DC5836"/>
    <w:rsid w:val="27FA0805"/>
    <w:rsid w:val="28025D85"/>
    <w:rsid w:val="280479CF"/>
    <w:rsid w:val="282F7802"/>
    <w:rsid w:val="28374BF5"/>
    <w:rsid w:val="28534B99"/>
    <w:rsid w:val="289F4954"/>
    <w:rsid w:val="28AE16AE"/>
    <w:rsid w:val="28B86EE5"/>
    <w:rsid w:val="28C055AB"/>
    <w:rsid w:val="28CF089B"/>
    <w:rsid w:val="28E4537D"/>
    <w:rsid w:val="2900009D"/>
    <w:rsid w:val="29104156"/>
    <w:rsid w:val="29175044"/>
    <w:rsid w:val="29206EB8"/>
    <w:rsid w:val="293606A6"/>
    <w:rsid w:val="293952D6"/>
    <w:rsid w:val="295652B7"/>
    <w:rsid w:val="29595666"/>
    <w:rsid w:val="295D54F0"/>
    <w:rsid w:val="29611135"/>
    <w:rsid w:val="29643C88"/>
    <w:rsid w:val="29737D03"/>
    <w:rsid w:val="29874881"/>
    <w:rsid w:val="299B1325"/>
    <w:rsid w:val="29A51956"/>
    <w:rsid w:val="29A906CE"/>
    <w:rsid w:val="29E325E0"/>
    <w:rsid w:val="29E77998"/>
    <w:rsid w:val="2A1462AB"/>
    <w:rsid w:val="2A3E287E"/>
    <w:rsid w:val="2A452503"/>
    <w:rsid w:val="2A60604B"/>
    <w:rsid w:val="2A6C71FF"/>
    <w:rsid w:val="2A7725E1"/>
    <w:rsid w:val="2A8C4921"/>
    <w:rsid w:val="2A917EAC"/>
    <w:rsid w:val="2AA23486"/>
    <w:rsid w:val="2AA85113"/>
    <w:rsid w:val="2AA87EE2"/>
    <w:rsid w:val="2AB213F4"/>
    <w:rsid w:val="2AC16EB9"/>
    <w:rsid w:val="2ACB03FE"/>
    <w:rsid w:val="2AF70F54"/>
    <w:rsid w:val="2AFA4858"/>
    <w:rsid w:val="2B1A6461"/>
    <w:rsid w:val="2B284E68"/>
    <w:rsid w:val="2B333068"/>
    <w:rsid w:val="2B6203E5"/>
    <w:rsid w:val="2B895215"/>
    <w:rsid w:val="2B8A1EA0"/>
    <w:rsid w:val="2B8F48AC"/>
    <w:rsid w:val="2BA936A8"/>
    <w:rsid w:val="2BBE620B"/>
    <w:rsid w:val="2BC37160"/>
    <w:rsid w:val="2BD53FAD"/>
    <w:rsid w:val="2BF40297"/>
    <w:rsid w:val="2C2D6A2E"/>
    <w:rsid w:val="2C315A5A"/>
    <w:rsid w:val="2C335650"/>
    <w:rsid w:val="2C4B1C25"/>
    <w:rsid w:val="2C6823EA"/>
    <w:rsid w:val="2C6C4FE8"/>
    <w:rsid w:val="2C980584"/>
    <w:rsid w:val="2C9B4CBA"/>
    <w:rsid w:val="2CA062C2"/>
    <w:rsid w:val="2CBB6390"/>
    <w:rsid w:val="2CBD7D70"/>
    <w:rsid w:val="2CBF4323"/>
    <w:rsid w:val="2CD47877"/>
    <w:rsid w:val="2CE35144"/>
    <w:rsid w:val="2CEC7148"/>
    <w:rsid w:val="2CEF3DB5"/>
    <w:rsid w:val="2D1867F9"/>
    <w:rsid w:val="2D1C4D7A"/>
    <w:rsid w:val="2D1D2A67"/>
    <w:rsid w:val="2D552932"/>
    <w:rsid w:val="2D686211"/>
    <w:rsid w:val="2D787CFA"/>
    <w:rsid w:val="2D7B7CF2"/>
    <w:rsid w:val="2D7F0828"/>
    <w:rsid w:val="2D8169EE"/>
    <w:rsid w:val="2D9E56F5"/>
    <w:rsid w:val="2DA07759"/>
    <w:rsid w:val="2DD6761F"/>
    <w:rsid w:val="2DE57228"/>
    <w:rsid w:val="2DEB5795"/>
    <w:rsid w:val="2DF20D19"/>
    <w:rsid w:val="2DF51749"/>
    <w:rsid w:val="2E0252A2"/>
    <w:rsid w:val="2E110657"/>
    <w:rsid w:val="2E1D6FFC"/>
    <w:rsid w:val="2E47538C"/>
    <w:rsid w:val="2E5166E0"/>
    <w:rsid w:val="2E667F96"/>
    <w:rsid w:val="2E8226AB"/>
    <w:rsid w:val="2E90749A"/>
    <w:rsid w:val="2EA15E7F"/>
    <w:rsid w:val="2EF400F1"/>
    <w:rsid w:val="2F186878"/>
    <w:rsid w:val="2F36148B"/>
    <w:rsid w:val="2F4452AC"/>
    <w:rsid w:val="2F4F7689"/>
    <w:rsid w:val="2F655A59"/>
    <w:rsid w:val="2F6C2E8D"/>
    <w:rsid w:val="2F8D55A0"/>
    <w:rsid w:val="2F917CA1"/>
    <w:rsid w:val="2FAD1635"/>
    <w:rsid w:val="2FCF4325"/>
    <w:rsid w:val="2FD065E6"/>
    <w:rsid w:val="2FD96870"/>
    <w:rsid w:val="2FF27C67"/>
    <w:rsid w:val="30580BC9"/>
    <w:rsid w:val="305A62E5"/>
    <w:rsid w:val="306F6F8C"/>
    <w:rsid w:val="3077456E"/>
    <w:rsid w:val="308A649E"/>
    <w:rsid w:val="30A25119"/>
    <w:rsid w:val="30A66E62"/>
    <w:rsid w:val="30A7515F"/>
    <w:rsid w:val="30ED52A6"/>
    <w:rsid w:val="310224D9"/>
    <w:rsid w:val="311E2ED7"/>
    <w:rsid w:val="31424559"/>
    <w:rsid w:val="31430A0E"/>
    <w:rsid w:val="314944C6"/>
    <w:rsid w:val="314C671D"/>
    <w:rsid w:val="315619EE"/>
    <w:rsid w:val="315C449C"/>
    <w:rsid w:val="31812C72"/>
    <w:rsid w:val="319537AB"/>
    <w:rsid w:val="31A1350A"/>
    <w:rsid w:val="31B82709"/>
    <w:rsid w:val="31D05482"/>
    <w:rsid w:val="32400B34"/>
    <w:rsid w:val="329E6876"/>
    <w:rsid w:val="32A8181E"/>
    <w:rsid w:val="32CA68C1"/>
    <w:rsid w:val="32D7236B"/>
    <w:rsid w:val="32E1681B"/>
    <w:rsid w:val="32F1715C"/>
    <w:rsid w:val="33242BDA"/>
    <w:rsid w:val="33266952"/>
    <w:rsid w:val="333015F2"/>
    <w:rsid w:val="334B6320"/>
    <w:rsid w:val="336536D9"/>
    <w:rsid w:val="33902EAA"/>
    <w:rsid w:val="33AB3887"/>
    <w:rsid w:val="33CA09B4"/>
    <w:rsid w:val="33D030BD"/>
    <w:rsid w:val="33D934D4"/>
    <w:rsid w:val="33F7684E"/>
    <w:rsid w:val="33FC5905"/>
    <w:rsid w:val="33FE2F6A"/>
    <w:rsid w:val="340E07E5"/>
    <w:rsid w:val="34196541"/>
    <w:rsid w:val="341D39A9"/>
    <w:rsid w:val="34235BF7"/>
    <w:rsid w:val="34243D90"/>
    <w:rsid w:val="344C2F2A"/>
    <w:rsid w:val="348F1BAB"/>
    <w:rsid w:val="34C42BE7"/>
    <w:rsid w:val="34D11B0D"/>
    <w:rsid w:val="34ED47D1"/>
    <w:rsid w:val="34F86D2A"/>
    <w:rsid w:val="3500583B"/>
    <w:rsid w:val="350349A1"/>
    <w:rsid w:val="350D0D60"/>
    <w:rsid w:val="352A0FA3"/>
    <w:rsid w:val="35352D42"/>
    <w:rsid w:val="35582EA3"/>
    <w:rsid w:val="3561657A"/>
    <w:rsid w:val="3570577C"/>
    <w:rsid w:val="358C5FA8"/>
    <w:rsid w:val="35944047"/>
    <w:rsid w:val="35C15DF1"/>
    <w:rsid w:val="36074A7F"/>
    <w:rsid w:val="362872B0"/>
    <w:rsid w:val="36362FA6"/>
    <w:rsid w:val="3649364C"/>
    <w:rsid w:val="367F2AA6"/>
    <w:rsid w:val="368F56A4"/>
    <w:rsid w:val="36923549"/>
    <w:rsid w:val="36985976"/>
    <w:rsid w:val="36B75FBF"/>
    <w:rsid w:val="36BD0C45"/>
    <w:rsid w:val="36CB704A"/>
    <w:rsid w:val="36E57E7B"/>
    <w:rsid w:val="36EC7ADD"/>
    <w:rsid w:val="36F96663"/>
    <w:rsid w:val="37060F75"/>
    <w:rsid w:val="371A0673"/>
    <w:rsid w:val="37215DAE"/>
    <w:rsid w:val="373F6235"/>
    <w:rsid w:val="37457C14"/>
    <w:rsid w:val="3774515E"/>
    <w:rsid w:val="37750A17"/>
    <w:rsid w:val="37803C7B"/>
    <w:rsid w:val="37A147F9"/>
    <w:rsid w:val="37BA5A55"/>
    <w:rsid w:val="37E00298"/>
    <w:rsid w:val="37FB1B49"/>
    <w:rsid w:val="38055562"/>
    <w:rsid w:val="380C352A"/>
    <w:rsid w:val="38184370"/>
    <w:rsid w:val="381F2048"/>
    <w:rsid w:val="383438BF"/>
    <w:rsid w:val="384658BE"/>
    <w:rsid w:val="38465B25"/>
    <w:rsid w:val="3858397E"/>
    <w:rsid w:val="38B302F9"/>
    <w:rsid w:val="38BA3A3F"/>
    <w:rsid w:val="38C601B1"/>
    <w:rsid w:val="38E84A16"/>
    <w:rsid w:val="38F12CD3"/>
    <w:rsid w:val="38F82B3F"/>
    <w:rsid w:val="38F94775"/>
    <w:rsid w:val="3909692C"/>
    <w:rsid w:val="39115E03"/>
    <w:rsid w:val="391737F9"/>
    <w:rsid w:val="39180AEB"/>
    <w:rsid w:val="392971ED"/>
    <w:rsid w:val="39325651"/>
    <w:rsid w:val="3962620A"/>
    <w:rsid w:val="396948F7"/>
    <w:rsid w:val="398A4535"/>
    <w:rsid w:val="39930ABA"/>
    <w:rsid w:val="399E3981"/>
    <w:rsid w:val="39BC7214"/>
    <w:rsid w:val="39C173D5"/>
    <w:rsid w:val="39CA2246"/>
    <w:rsid w:val="39CE45AD"/>
    <w:rsid w:val="39EE420F"/>
    <w:rsid w:val="3A213691"/>
    <w:rsid w:val="3A265CD4"/>
    <w:rsid w:val="3A3A4072"/>
    <w:rsid w:val="3A423728"/>
    <w:rsid w:val="3A575643"/>
    <w:rsid w:val="3A622985"/>
    <w:rsid w:val="3A6519A7"/>
    <w:rsid w:val="3A67226D"/>
    <w:rsid w:val="3A686626"/>
    <w:rsid w:val="3A6B7341"/>
    <w:rsid w:val="3A872856"/>
    <w:rsid w:val="3A9E5B5A"/>
    <w:rsid w:val="3AB668EF"/>
    <w:rsid w:val="3ADE3FB6"/>
    <w:rsid w:val="3B3763D1"/>
    <w:rsid w:val="3B3D6F2B"/>
    <w:rsid w:val="3B4B53E0"/>
    <w:rsid w:val="3B82677C"/>
    <w:rsid w:val="3B9867A0"/>
    <w:rsid w:val="3BCD6432"/>
    <w:rsid w:val="3BDA477E"/>
    <w:rsid w:val="3BE41908"/>
    <w:rsid w:val="3C0667DF"/>
    <w:rsid w:val="3C1D1537"/>
    <w:rsid w:val="3C2F6E1E"/>
    <w:rsid w:val="3C306143"/>
    <w:rsid w:val="3C4534DE"/>
    <w:rsid w:val="3C4F0B56"/>
    <w:rsid w:val="3C4F64BA"/>
    <w:rsid w:val="3C575DCE"/>
    <w:rsid w:val="3C586D96"/>
    <w:rsid w:val="3C765A26"/>
    <w:rsid w:val="3CA530C0"/>
    <w:rsid w:val="3CDA245A"/>
    <w:rsid w:val="3CE41448"/>
    <w:rsid w:val="3CFE1F05"/>
    <w:rsid w:val="3D05582A"/>
    <w:rsid w:val="3D1E06B7"/>
    <w:rsid w:val="3D2C3366"/>
    <w:rsid w:val="3D536700"/>
    <w:rsid w:val="3D647001"/>
    <w:rsid w:val="3D651F8D"/>
    <w:rsid w:val="3D8273AA"/>
    <w:rsid w:val="3DB50C7D"/>
    <w:rsid w:val="3DB91C52"/>
    <w:rsid w:val="3E062FF0"/>
    <w:rsid w:val="3E171916"/>
    <w:rsid w:val="3E291970"/>
    <w:rsid w:val="3E30750E"/>
    <w:rsid w:val="3E4120EF"/>
    <w:rsid w:val="3E6C7416"/>
    <w:rsid w:val="3EA04905"/>
    <w:rsid w:val="3EB37219"/>
    <w:rsid w:val="3ECA6877"/>
    <w:rsid w:val="3EDA0523"/>
    <w:rsid w:val="3EDC7FFF"/>
    <w:rsid w:val="3EF91005"/>
    <w:rsid w:val="3EFF2482"/>
    <w:rsid w:val="3F484858"/>
    <w:rsid w:val="3F5063C1"/>
    <w:rsid w:val="3F5064C6"/>
    <w:rsid w:val="3F5B5BD6"/>
    <w:rsid w:val="3F683EEF"/>
    <w:rsid w:val="3F7160E6"/>
    <w:rsid w:val="3F9E031F"/>
    <w:rsid w:val="3FBC08C4"/>
    <w:rsid w:val="3FDA04E3"/>
    <w:rsid w:val="40111FC7"/>
    <w:rsid w:val="403666CC"/>
    <w:rsid w:val="404553BF"/>
    <w:rsid w:val="404A2170"/>
    <w:rsid w:val="407811C5"/>
    <w:rsid w:val="407A6407"/>
    <w:rsid w:val="407B3B56"/>
    <w:rsid w:val="40814698"/>
    <w:rsid w:val="40BD0726"/>
    <w:rsid w:val="40E146FF"/>
    <w:rsid w:val="40EB40A3"/>
    <w:rsid w:val="40FD59B3"/>
    <w:rsid w:val="40FF1B92"/>
    <w:rsid w:val="410D1E31"/>
    <w:rsid w:val="418255DD"/>
    <w:rsid w:val="418D4040"/>
    <w:rsid w:val="419169C1"/>
    <w:rsid w:val="41A6671D"/>
    <w:rsid w:val="41CD6283"/>
    <w:rsid w:val="41D54231"/>
    <w:rsid w:val="41D76E30"/>
    <w:rsid w:val="41EB0FD4"/>
    <w:rsid w:val="41FD7F7B"/>
    <w:rsid w:val="4200449D"/>
    <w:rsid w:val="42013FBA"/>
    <w:rsid w:val="420C4318"/>
    <w:rsid w:val="42113D36"/>
    <w:rsid w:val="42161530"/>
    <w:rsid w:val="421C67DD"/>
    <w:rsid w:val="42337B9E"/>
    <w:rsid w:val="423A3BCC"/>
    <w:rsid w:val="42412A20"/>
    <w:rsid w:val="424E57D2"/>
    <w:rsid w:val="42591B63"/>
    <w:rsid w:val="425C5F75"/>
    <w:rsid w:val="42893E43"/>
    <w:rsid w:val="42A40BD5"/>
    <w:rsid w:val="42A54FFD"/>
    <w:rsid w:val="42B26C49"/>
    <w:rsid w:val="42C865E4"/>
    <w:rsid w:val="42DF20B9"/>
    <w:rsid w:val="42F75385"/>
    <w:rsid w:val="430259E8"/>
    <w:rsid w:val="433A6FE6"/>
    <w:rsid w:val="433B7713"/>
    <w:rsid w:val="43480868"/>
    <w:rsid w:val="4350713C"/>
    <w:rsid w:val="436653E0"/>
    <w:rsid w:val="43AC3945"/>
    <w:rsid w:val="43AF4DCF"/>
    <w:rsid w:val="43BA0FEB"/>
    <w:rsid w:val="43C4431A"/>
    <w:rsid w:val="43CB32AB"/>
    <w:rsid w:val="43DB5537"/>
    <w:rsid w:val="43DB78BF"/>
    <w:rsid w:val="43E334E8"/>
    <w:rsid w:val="43E41829"/>
    <w:rsid w:val="43EF1D7C"/>
    <w:rsid w:val="44075570"/>
    <w:rsid w:val="440E7CEE"/>
    <w:rsid w:val="44263EE5"/>
    <w:rsid w:val="444F3E8F"/>
    <w:rsid w:val="44517690"/>
    <w:rsid w:val="44591230"/>
    <w:rsid w:val="44894F93"/>
    <w:rsid w:val="449434EA"/>
    <w:rsid w:val="44B16DF1"/>
    <w:rsid w:val="44B951CC"/>
    <w:rsid w:val="44CC6B4A"/>
    <w:rsid w:val="44CD14E0"/>
    <w:rsid w:val="44D67B06"/>
    <w:rsid w:val="44DF671E"/>
    <w:rsid w:val="44E00217"/>
    <w:rsid w:val="44F20B0B"/>
    <w:rsid w:val="44F3278D"/>
    <w:rsid w:val="44F77472"/>
    <w:rsid w:val="4504250E"/>
    <w:rsid w:val="45066001"/>
    <w:rsid w:val="45123A8E"/>
    <w:rsid w:val="45236877"/>
    <w:rsid w:val="452E5F4C"/>
    <w:rsid w:val="45612018"/>
    <w:rsid w:val="4570582E"/>
    <w:rsid w:val="457438B5"/>
    <w:rsid w:val="458946E9"/>
    <w:rsid w:val="45951F98"/>
    <w:rsid w:val="45A47C0E"/>
    <w:rsid w:val="45CC7B0C"/>
    <w:rsid w:val="45DB181E"/>
    <w:rsid w:val="46011182"/>
    <w:rsid w:val="46083505"/>
    <w:rsid w:val="460B3E2B"/>
    <w:rsid w:val="46130617"/>
    <w:rsid w:val="462516B1"/>
    <w:rsid w:val="462E4599"/>
    <w:rsid w:val="46577FD6"/>
    <w:rsid w:val="466435C2"/>
    <w:rsid w:val="467C2457"/>
    <w:rsid w:val="467D77E2"/>
    <w:rsid w:val="46821C9A"/>
    <w:rsid w:val="468A4AA4"/>
    <w:rsid w:val="469F145E"/>
    <w:rsid w:val="46A47F0F"/>
    <w:rsid w:val="46B01D70"/>
    <w:rsid w:val="46C74A81"/>
    <w:rsid w:val="46D955A7"/>
    <w:rsid w:val="46F96400"/>
    <w:rsid w:val="47133957"/>
    <w:rsid w:val="471B6894"/>
    <w:rsid w:val="476B29F1"/>
    <w:rsid w:val="477E4E55"/>
    <w:rsid w:val="478E7B89"/>
    <w:rsid w:val="479E6261"/>
    <w:rsid w:val="47A0351F"/>
    <w:rsid w:val="47A07E0C"/>
    <w:rsid w:val="47BA2F70"/>
    <w:rsid w:val="47C10D60"/>
    <w:rsid w:val="47D6372C"/>
    <w:rsid w:val="47DD6645"/>
    <w:rsid w:val="483C2B44"/>
    <w:rsid w:val="483F42E6"/>
    <w:rsid w:val="486626A5"/>
    <w:rsid w:val="4870272E"/>
    <w:rsid w:val="48A106DB"/>
    <w:rsid w:val="48B25BB4"/>
    <w:rsid w:val="48F63902"/>
    <w:rsid w:val="49142F9E"/>
    <w:rsid w:val="491A1C40"/>
    <w:rsid w:val="49233677"/>
    <w:rsid w:val="492D4AC3"/>
    <w:rsid w:val="492F1B8F"/>
    <w:rsid w:val="49361A49"/>
    <w:rsid w:val="494871B8"/>
    <w:rsid w:val="49703A35"/>
    <w:rsid w:val="49774F25"/>
    <w:rsid w:val="49B91E05"/>
    <w:rsid w:val="49DC7715"/>
    <w:rsid w:val="49F81A34"/>
    <w:rsid w:val="4A023139"/>
    <w:rsid w:val="4A3E0BCF"/>
    <w:rsid w:val="4A4B4871"/>
    <w:rsid w:val="4A69159B"/>
    <w:rsid w:val="4A7A7858"/>
    <w:rsid w:val="4A7B576F"/>
    <w:rsid w:val="4AA91977"/>
    <w:rsid w:val="4AB33700"/>
    <w:rsid w:val="4AB40325"/>
    <w:rsid w:val="4ACA00C7"/>
    <w:rsid w:val="4AEB40DA"/>
    <w:rsid w:val="4AF32053"/>
    <w:rsid w:val="4AF561A9"/>
    <w:rsid w:val="4B094738"/>
    <w:rsid w:val="4B27757C"/>
    <w:rsid w:val="4B3030B9"/>
    <w:rsid w:val="4B3F4121"/>
    <w:rsid w:val="4B4426B4"/>
    <w:rsid w:val="4B4E24F2"/>
    <w:rsid w:val="4B7B67B5"/>
    <w:rsid w:val="4B82422B"/>
    <w:rsid w:val="4B8253FD"/>
    <w:rsid w:val="4B92420A"/>
    <w:rsid w:val="4BA25F22"/>
    <w:rsid w:val="4BB200E0"/>
    <w:rsid w:val="4BBA1751"/>
    <w:rsid w:val="4C4A0649"/>
    <w:rsid w:val="4C726275"/>
    <w:rsid w:val="4C797183"/>
    <w:rsid w:val="4C7E5ECA"/>
    <w:rsid w:val="4C876AA5"/>
    <w:rsid w:val="4C9444D5"/>
    <w:rsid w:val="4CA00602"/>
    <w:rsid w:val="4CA40570"/>
    <w:rsid w:val="4CA52315"/>
    <w:rsid w:val="4CC113C7"/>
    <w:rsid w:val="4CC636E8"/>
    <w:rsid w:val="4D0E00FB"/>
    <w:rsid w:val="4D176606"/>
    <w:rsid w:val="4D2E205F"/>
    <w:rsid w:val="4D3063ED"/>
    <w:rsid w:val="4D4B0D48"/>
    <w:rsid w:val="4D7A4960"/>
    <w:rsid w:val="4D8A2FA3"/>
    <w:rsid w:val="4D9F4D19"/>
    <w:rsid w:val="4DAB41CC"/>
    <w:rsid w:val="4DB841F3"/>
    <w:rsid w:val="4DEC4FB0"/>
    <w:rsid w:val="4E075D8A"/>
    <w:rsid w:val="4E137BB4"/>
    <w:rsid w:val="4E4D0DDF"/>
    <w:rsid w:val="4E611019"/>
    <w:rsid w:val="4E6C6DDD"/>
    <w:rsid w:val="4E7B3BF3"/>
    <w:rsid w:val="4E7F1645"/>
    <w:rsid w:val="4EA77724"/>
    <w:rsid w:val="4EAC7C4E"/>
    <w:rsid w:val="4EC00FAD"/>
    <w:rsid w:val="4EEA4880"/>
    <w:rsid w:val="4F064042"/>
    <w:rsid w:val="4F1A568E"/>
    <w:rsid w:val="4F305FA2"/>
    <w:rsid w:val="4F694420"/>
    <w:rsid w:val="4F6B301C"/>
    <w:rsid w:val="4F81020B"/>
    <w:rsid w:val="4F823F9A"/>
    <w:rsid w:val="4F9843DC"/>
    <w:rsid w:val="4F9E6DBB"/>
    <w:rsid w:val="4FA66C3E"/>
    <w:rsid w:val="4FAA21C0"/>
    <w:rsid w:val="4FB136B4"/>
    <w:rsid w:val="4FC62A8C"/>
    <w:rsid w:val="4FC7103B"/>
    <w:rsid w:val="4FE20F0D"/>
    <w:rsid w:val="4FE51552"/>
    <w:rsid w:val="4FE60D3C"/>
    <w:rsid w:val="4FE82904"/>
    <w:rsid w:val="4FEC2F05"/>
    <w:rsid w:val="502F71FA"/>
    <w:rsid w:val="5038161B"/>
    <w:rsid w:val="50407EF7"/>
    <w:rsid w:val="5043352C"/>
    <w:rsid w:val="50461F8A"/>
    <w:rsid w:val="5048436E"/>
    <w:rsid w:val="50504C4B"/>
    <w:rsid w:val="505C050A"/>
    <w:rsid w:val="50864945"/>
    <w:rsid w:val="509C6E7C"/>
    <w:rsid w:val="509E5E17"/>
    <w:rsid w:val="50B4557C"/>
    <w:rsid w:val="50CB7BA7"/>
    <w:rsid w:val="50E95737"/>
    <w:rsid w:val="50F44968"/>
    <w:rsid w:val="51295B34"/>
    <w:rsid w:val="5130538C"/>
    <w:rsid w:val="5138123E"/>
    <w:rsid w:val="51402E7D"/>
    <w:rsid w:val="51586FAB"/>
    <w:rsid w:val="5162104E"/>
    <w:rsid w:val="516528E4"/>
    <w:rsid w:val="517326A8"/>
    <w:rsid w:val="517343E4"/>
    <w:rsid w:val="517878F5"/>
    <w:rsid w:val="51A835E1"/>
    <w:rsid w:val="51F31B2B"/>
    <w:rsid w:val="52284DA4"/>
    <w:rsid w:val="522A76E8"/>
    <w:rsid w:val="522B1438"/>
    <w:rsid w:val="52392D6D"/>
    <w:rsid w:val="5240460E"/>
    <w:rsid w:val="524336B6"/>
    <w:rsid w:val="525F00BA"/>
    <w:rsid w:val="526F7FFA"/>
    <w:rsid w:val="52AC0229"/>
    <w:rsid w:val="52D72FC9"/>
    <w:rsid w:val="52DC7B8F"/>
    <w:rsid w:val="53367F96"/>
    <w:rsid w:val="533B35B3"/>
    <w:rsid w:val="533D7674"/>
    <w:rsid w:val="534701E3"/>
    <w:rsid w:val="537D5CFD"/>
    <w:rsid w:val="53897853"/>
    <w:rsid w:val="53903481"/>
    <w:rsid w:val="539310D6"/>
    <w:rsid w:val="539D6365"/>
    <w:rsid w:val="539D66B5"/>
    <w:rsid w:val="53A039CC"/>
    <w:rsid w:val="53A11B1D"/>
    <w:rsid w:val="53A1505A"/>
    <w:rsid w:val="53AB6CD4"/>
    <w:rsid w:val="53AF5C84"/>
    <w:rsid w:val="53DF072C"/>
    <w:rsid w:val="53DF766E"/>
    <w:rsid w:val="53E91DFC"/>
    <w:rsid w:val="53F45025"/>
    <w:rsid w:val="54063E08"/>
    <w:rsid w:val="5412156B"/>
    <w:rsid w:val="541F26DF"/>
    <w:rsid w:val="54211799"/>
    <w:rsid w:val="54260108"/>
    <w:rsid w:val="5432641A"/>
    <w:rsid w:val="543437E8"/>
    <w:rsid w:val="54620D3C"/>
    <w:rsid w:val="54702659"/>
    <w:rsid w:val="547F7CFD"/>
    <w:rsid w:val="54B003AC"/>
    <w:rsid w:val="54B2360E"/>
    <w:rsid w:val="54D6501D"/>
    <w:rsid w:val="54F73313"/>
    <w:rsid w:val="54F80955"/>
    <w:rsid w:val="54FA3343"/>
    <w:rsid w:val="54FB1595"/>
    <w:rsid w:val="55042C63"/>
    <w:rsid w:val="55105CF6"/>
    <w:rsid w:val="551E34D6"/>
    <w:rsid w:val="553F27F1"/>
    <w:rsid w:val="554263FF"/>
    <w:rsid w:val="5547226E"/>
    <w:rsid w:val="554C1057"/>
    <w:rsid w:val="555170A7"/>
    <w:rsid w:val="5587536D"/>
    <w:rsid w:val="55932EFD"/>
    <w:rsid w:val="559B174B"/>
    <w:rsid w:val="559D7884"/>
    <w:rsid w:val="55BF0E08"/>
    <w:rsid w:val="55C407C7"/>
    <w:rsid w:val="55CE0CF4"/>
    <w:rsid w:val="55E37B29"/>
    <w:rsid w:val="55EC1538"/>
    <w:rsid w:val="55ED202D"/>
    <w:rsid w:val="55ED3CDE"/>
    <w:rsid w:val="55F02CA8"/>
    <w:rsid w:val="55F43916"/>
    <w:rsid w:val="55F53310"/>
    <w:rsid w:val="561D0827"/>
    <w:rsid w:val="564F2FF2"/>
    <w:rsid w:val="565D7BD2"/>
    <w:rsid w:val="5660369E"/>
    <w:rsid w:val="56932CC0"/>
    <w:rsid w:val="569769C7"/>
    <w:rsid w:val="56A83DD4"/>
    <w:rsid w:val="56B22A9C"/>
    <w:rsid w:val="56D52F08"/>
    <w:rsid w:val="57181396"/>
    <w:rsid w:val="571D0794"/>
    <w:rsid w:val="571F6410"/>
    <w:rsid w:val="57720D7B"/>
    <w:rsid w:val="57814CAB"/>
    <w:rsid w:val="579E06E1"/>
    <w:rsid w:val="57AF5740"/>
    <w:rsid w:val="57B320EC"/>
    <w:rsid w:val="57B72A76"/>
    <w:rsid w:val="57C3426C"/>
    <w:rsid w:val="57CE1F93"/>
    <w:rsid w:val="57D02733"/>
    <w:rsid w:val="57DB534C"/>
    <w:rsid w:val="57DC217A"/>
    <w:rsid w:val="57FE34A5"/>
    <w:rsid w:val="58527E08"/>
    <w:rsid w:val="5855349C"/>
    <w:rsid w:val="585C2031"/>
    <w:rsid w:val="588743D1"/>
    <w:rsid w:val="5887701A"/>
    <w:rsid w:val="58880DC9"/>
    <w:rsid w:val="588F1DAB"/>
    <w:rsid w:val="58AE04D7"/>
    <w:rsid w:val="58DB723A"/>
    <w:rsid w:val="58DC661B"/>
    <w:rsid w:val="58DD5C43"/>
    <w:rsid w:val="58E11CEA"/>
    <w:rsid w:val="58F63174"/>
    <w:rsid w:val="59126C92"/>
    <w:rsid w:val="591B269F"/>
    <w:rsid w:val="592A4065"/>
    <w:rsid w:val="5939399D"/>
    <w:rsid w:val="594B651A"/>
    <w:rsid w:val="5953245A"/>
    <w:rsid w:val="59640656"/>
    <w:rsid w:val="5966279E"/>
    <w:rsid w:val="59784340"/>
    <w:rsid w:val="597C6362"/>
    <w:rsid w:val="599E2E37"/>
    <w:rsid w:val="59A47E34"/>
    <w:rsid w:val="59AB1E8B"/>
    <w:rsid w:val="59B368E2"/>
    <w:rsid w:val="59C0439F"/>
    <w:rsid w:val="59D817EB"/>
    <w:rsid w:val="59DA32C6"/>
    <w:rsid w:val="59FD190B"/>
    <w:rsid w:val="5A0A61CB"/>
    <w:rsid w:val="5A205971"/>
    <w:rsid w:val="5A432AB6"/>
    <w:rsid w:val="5A493F08"/>
    <w:rsid w:val="5A4C4EFB"/>
    <w:rsid w:val="5A544F03"/>
    <w:rsid w:val="5A75157E"/>
    <w:rsid w:val="5A867086"/>
    <w:rsid w:val="5A8D4B36"/>
    <w:rsid w:val="5A8E6A80"/>
    <w:rsid w:val="5A9E5247"/>
    <w:rsid w:val="5AB47504"/>
    <w:rsid w:val="5ABE2233"/>
    <w:rsid w:val="5ABF12B7"/>
    <w:rsid w:val="5AC11246"/>
    <w:rsid w:val="5ADF1011"/>
    <w:rsid w:val="5AE61462"/>
    <w:rsid w:val="5AEF63BB"/>
    <w:rsid w:val="5AF04F6B"/>
    <w:rsid w:val="5AF579E2"/>
    <w:rsid w:val="5AF65F40"/>
    <w:rsid w:val="5AF70A51"/>
    <w:rsid w:val="5B186903"/>
    <w:rsid w:val="5B334273"/>
    <w:rsid w:val="5B3E0678"/>
    <w:rsid w:val="5B435D4D"/>
    <w:rsid w:val="5B6F05CC"/>
    <w:rsid w:val="5B8A21B9"/>
    <w:rsid w:val="5BB255AD"/>
    <w:rsid w:val="5BD47016"/>
    <w:rsid w:val="5BDF5D95"/>
    <w:rsid w:val="5BE0111F"/>
    <w:rsid w:val="5BFC5BF3"/>
    <w:rsid w:val="5BFE7528"/>
    <w:rsid w:val="5C02743D"/>
    <w:rsid w:val="5C153F4A"/>
    <w:rsid w:val="5C693413"/>
    <w:rsid w:val="5C89283A"/>
    <w:rsid w:val="5C907F87"/>
    <w:rsid w:val="5CA2679A"/>
    <w:rsid w:val="5CA96851"/>
    <w:rsid w:val="5CBB1FBD"/>
    <w:rsid w:val="5CCA55F9"/>
    <w:rsid w:val="5CD24660"/>
    <w:rsid w:val="5CDC3310"/>
    <w:rsid w:val="5CE96E66"/>
    <w:rsid w:val="5D027332"/>
    <w:rsid w:val="5D334D1B"/>
    <w:rsid w:val="5D730178"/>
    <w:rsid w:val="5D852CA5"/>
    <w:rsid w:val="5D9B366E"/>
    <w:rsid w:val="5D9F1141"/>
    <w:rsid w:val="5DA0180B"/>
    <w:rsid w:val="5DA11F02"/>
    <w:rsid w:val="5DAA12BF"/>
    <w:rsid w:val="5DAD0042"/>
    <w:rsid w:val="5DB66769"/>
    <w:rsid w:val="5DC7415F"/>
    <w:rsid w:val="5DCE6540"/>
    <w:rsid w:val="5DF01ACA"/>
    <w:rsid w:val="5E055233"/>
    <w:rsid w:val="5E0A2849"/>
    <w:rsid w:val="5E0D40E7"/>
    <w:rsid w:val="5E14306C"/>
    <w:rsid w:val="5E1A21F8"/>
    <w:rsid w:val="5E2045F7"/>
    <w:rsid w:val="5E210995"/>
    <w:rsid w:val="5E2467F1"/>
    <w:rsid w:val="5E28658A"/>
    <w:rsid w:val="5E4129D5"/>
    <w:rsid w:val="5E4F48FF"/>
    <w:rsid w:val="5E655CD1"/>
    <w:rsid w:val="5E6F48BD"/>
    <w:rsid w:val="5E71113F"/>
    <w:rsid w:val="5E721F29"/>
    <w:rsid w:val="5E7B72A3"/>
    <w:rsid w:val="5E964DBA"/>
    <w:rsid w:val="5E980438"/>
    <w:rsid w:val="5E9C0B40"/>
    <w:rsid w:val="5EBA02F4"/>
    <w:rsid w:val="5ED510A9"/>
    <w:rsid w:val="5F041715"/>
    <w:rsid w:val="5F13397F"/>
    <w:rsid w:val="5F1514A5"/>
    <w:rsid w:val="5F1A2B43"/>
    <w:rsid w:val="5F485A7E"/>
    <w:rsid w:val="5F78079E"/>
    <w:rsid w:val="5F8C56A5"/>
    <w:rsid w:val="5F915828"/>
    <w:rsid w:val="5F9314D4"/>
    <w:rsid w:val="5F9523FA"/>
    <w:rsid w:val="5FAB3BB8"/>
    <w:rsid w:val="5FB837BB"/>
    <w:rsid w:val="5FDA4BB5"/>
    <w:rsid w:val="5FE20E5E"/>
    <w:rsid w:val="5FEC0186"/>
    <w:rsid w:val="5FF6265A"/>
    <w:rsid w:val="5FFB7B6F"/>
    <w:rsid w:val="603C7E28"/>
    <w:rsid w:val="60805044"/>
    <w:rsid w:val="60840779"/>
    <w:rsid w:val="608C76DF"/>
    <w:rsid w:val="60991FE7"/>
    <w:rsid w:val="60CC405A"/>
    <w:rsid w:val="60F60FAB"/>
    <w:rsid w:val="61023CAB"/>
    <w:rsid w:val="61161505"/>
    <w:rsid w:val="611A3729"/>
    <w:rsid w:val="611F6124"/>
    <w:rsid w:val="612F312D"/>
    <w:rsid w:val="614B71EB"/>
    <w:rsid w:val="61920D27"/>
    <w:rsid w:val="61994561"/>
    <w:rsid w:val="61D50ADE"/>
    <w:rsid w:val="61E215D8"/>
    <w:rsid w:val="61E77036"/>
    <w:rsid w:val="620F0919"/>
    <w:rsid w:val="621238EC"/>
    <w:rsid w:val="621B3775"/>
    <w:rsid w:val="62364782"/>
    <w:rsid w:val="62446E87"/>
    <w:rsid w:val="6250365E"/>
    <w:rsid w:val="628506F0"/>
    <w:rsid w:val="62D8352B"/>
    <w:rsid w:val="62F506B2"/>
    <w:rsid w:val="63133F00"/>
    <w:rsid w:val="634712A0"/>
    <w:rsid w:val="635001A6"/>
    <w:rsid w:val="63584923"/>
    <w:rsid w:val="637709A8"/>
    <w:rsid w:val="6385237C"/>
    <w:rsid w:val="6394356A"/>
    <w:rsid w:val="63C61B2C"/>
    <w:rsid w:val="63D40BE9"/>
    <w:rsid w:val="63E475AE"/>
    <w:rsid w:val="64075148"/>
    <w:rsid w:val="64102431"/>
    <w:rsid w:val="64134D50"/>
    <w:rsid w:val="641866CB"/>
    <w:rsid w:val="641D2D74"/>
    <w:rsid w:val="642503DD"/>
    <w:rsid w:val="645D3F46"/>
    <w:rsid w:val="647E579F"/>
    <w:rsid w:val="647F02F2"/>
    <w:rsid w:val="64A137C1"/>
    <w:rsid w:val="64A5243A"/>
    <w:rsid w:val="64A758B4"/>
    <w:rsid w:val="64AB24F3"/>
    <w:rsid w:val="64E973DF"/>
    <w:rsid w:val="64EC4A56"/>
    <w:rsid w:val="64F531DE"/>
    <w:rsid w:val="651D2067"/>
    <w:rsid w:val="653054C5"/>
    <w:rsid w:val="65373578"/>
    <w:rsid w:val="65454019"/>
    <w:rsid w:val="654D5B0F"/>
    <w:rsid w:val="654E5711"/>
    <w:rsid w:val="65811E12"/>
    <w:rsid w:val="65820C86"/>
    <w:rsid w:val="65AA3E26"/>
    <w:rsid w:val="65C06E21"/>
    <w:rsid w:val="65DA30DA"/>
    <w:rsid w:val="65E16737"/>
    <w:rsid w:val="66475931"/>
    <w:rsid w:val="664F0548"/>
    <w:rsid w:val="6659436D"/>
    <w:rsid w:val="6659611C"/>
    <w:rsid w:val="66611474"/>
    <w:rsid w:val="667A7578"/>
    <w:rsid w:val="6691502B"/>
    <w:rsid w:val="66985CFA"/>
    <w:rsid w:val="66A81EE2"/>
    <w:rsid w:val="66C4797B"/>
    <w:rsid w:val="67084450"/>
    <w:rsid w:val="67127E33"/>
    <w:rsid w:val="67145FC6"/>
    <w:rsid w:val="671F124A"/>
    <w:rsid w:val="671F3E5F"/>
    <w:rsid w:val="675B2367"/>
    <w:rsid w:val="67683DC9"/>
    <w:rsid w:val="67735620"/>
    <w:rsid w:val="677A33C6"/>
    <w:rsid w:val="67867287"/>
    <w:rsid w:val="678E158A"/>
    <w:rsid w:val="67906FC6"/>
    <w:rsid w:val="67935473"/>
    <w:rsid w:val="67A1547F"/>
    <w:rsid w:val="67BD6B7E"/>
    <w:rsid w:val="67CC0533"/>
    <w:rsid w:val="67D560FF"/>
    <w:rsid w:val="68061991"/>
    <w:rsid w:val="6807204E"/>
    <w:rsid w:val="680C7AC2"/>
    <w:rsid w:val="68182006"/>
    <w:rsid w:val="681C5286"/>
    <w:rsid w:val="681F6961"/>
    <w:rsid w:val="6826361A"/>
    <w:rsid w:val="68610A2F"/>
    <w:rsid w:val="68617A54"/>
    <w:rsid w:val="687429D4"/>
    <w:rsid w:val="68805514"/>
    <w:rsid w:val="688158AD"/>
    <w:rsid w:val="688D4692"/>
    <w:rsid w:val="68F75D3C"/>
    <w:rsid w:val="690352D9"/>
    <w:rsid w:val="691357B2"/>
    <w:rsid w:val="691D5B26"/>
    <w:rsid w:val="692D3F2D"/>
    <w:rsid w:val="69316E2F"/>
    <w:rsid w:val="69340792"/>
    <w:rsid w:val="69390486"/>
    <w:rsid w:val="694E2071"/>
    <w:rsid w:val="69766163"/>
    <w:rsid w:val="697A3B33"/>
    <w:rsid w:val="698A3700"/>
    <w:rsid w:val="69981651"/>
    <w:rsid w:val="69A91D3B"/>
    <w:rsid w:val="69B875FD"/>
    <w:rsid w:val="69D15F38"/>
    <w:rsid w:val="69D44760"/>
    <w:rsid w:val="69F43BA4"/>
    <w:rsid w:val="69F745C9"/>
    <w:rsid w:val="6A45515E"/>
    <w:rsid w:val="6A520EC7"/>
    <w:rsid w:val="6A6034B6"/>
    <w:rsid w:val="6A6634FD"/>
    <w:rsid w:val="6A6F2A29"/>
    <w:rsid w:val="6A7D43A3"/>
    <w:rsid w:val="6A862403"/>
    <w:rsid w:val="6A8D628F"/>
    <w:rsid w:val="6A955B90"/>
    <w:rsid w:val="6AB64036"/>
    <w:rsid w:val="6AC40077"/>
    <w:rsid w:val="6AC56FB1"/>
    <w:rsid w:val="6AC660AB"/>
    <w:rsid w:val="6AD84A4A"/>
    <w:rsid w:val="6AF87E20"/>
    <w:rsid w:val="6B2819C6"/>
    <w:rsid w:val="6B322639"/>
    <w:rsid w:val="6B403D4E"/>
    <w:rsid w:val="6B5E0188"/>
    <w:rsid w:val="6B70013B"/>
    <w:rsid w:val="6B8668A6"/>
    <w:rsid w:val="6B8A192B"/>
    <w:rsid w:val="6BAD0683"/>
    <w:rsid w:val="6BB6252F"/>
    <w:rsid w:val="6BC47ABE"/>
    <w:rsid w:val="6BD1001A"/>
    <w:rsid w:val="6BD97AE4"/>
    <w:rsid w:val="6BEA4241"/>
    <w:rsid w:val="6C00528B"/>
    <w:rsid w:val="6C1A51A2"/>
    <w:rsid w:val="6C40368A"/>
    <w:rsid w:val="6C537924"/>
    <w:rsid w:val="6C5F7F8E"/>
    <w:rsid w:val="6C6232D4"/>
    <w:rsid w:val="6C636C38"/>
    <w:rsid w:val="6C7B393A"/>
    <w:rsid w:val="6C7E63B6"/>
    <w:rsid w:val="6C937EAD"/>
    <w:rsid w:val="6CB34307"/>
    <w:rsid w:val="6CE63547"/>
    <w:rsid w:val="6D10346F"/>
    <w:rsid w:val="6D31366C"/>
    <w:rsid w:val="6D5B48E3"/>
    <w:rsid w:val="6D8A1C99"/>
    <w:rsid w:val="6D8B15ED"/>
    <w:rsid w:val="6D93646B"/>
    <w:rsid w:val="6D981C1F"/>
    <w:rsid w:val="6D9D0321"/>
    <w:rsid w:val="6D9D38A5"/>
    <w:rsid w:val="6DAC72B5"/>
    <w:rsid w:val="6DB34098"/>
    <w:rsid w:val="6DB545B6"/>
    <w:rsid w:val="6DB60126"/>
    <w:rsid w:val="6DC14958"/>
    <w:rsid w:val="6DC3704C"/>
    <w:rsid w:val="6DD531CE"/>
    <w:rsid w:val="6DD90FC1"/>
    <w:rsid w:val="6DE02FB4"/>
    <w:rsid w:val="6DE36AC3"/>
    <w:rsid w:val="6DF852A3"/>
    <w:rsid w:val="6E126D75"/>
    <w:rsid w:val="6E136E30"/>
    <w:rsid w:val="6E250FD9"/>
    <w:rsid w:val="6E39034B"/>
    <w:rsid w:val="6E514CED"/>
    <w:rsid w:val="6E596084"/>
    <w:rsid w:val="6E724890"/>
    <w:rsid w:val="6E752016"/>
    <w:rsid w:val="6E9311B2"/>
    <w:rsid w:val="6E9A4E41"/>
    <w:rsid w:val="6EB563D5"/>
    <w:rsid w:val="6ED11C3D"/>
    <w:rsid w:val="6ED92677"/>
    <w:rsid w:val="6F045092"/>
    <w:rsid w:val="6F1132B5"/>
    <w:rsid w:val="6F1B2119"/>
    <w:rsid w:val="6F2179F2"/>
    <w:rsid w:val="6F225983"/>
    <w:rsid w:val="6F2F61FD"/>
    <w:rsid w:val="6F3B4F58"/>
    <w:rsid w:val="6F45571E"/>
    <w:rsid w:val="6F5B58B5"/>
    <w:rsid w:val="6F68308A"/>
    <w:rsid w:val="6F6D61C6"/>
    <w:rsid w:val="6F784200"/>
    <w:rsid w:val="6F7C2E7B"/>
    <w:rsid w:val="6FA81EC2"/>
    <w:rsid w:val="6FA93C28"/>
    <w:rsid w:val="6FB85652"/>
    <w:rsid w:val="6FB97C2B"/>
    <w:rsid w:val="6FDC1B6B"/>
    <w:rsid w:val="6FDE52A9"/>
    <w:rsid w:val="6FE9030F"/>
    <w:rsid w:val="6FED2AFA"/>
    <w:rsid w:val="6FF07739"/>
    <w:rsid w:val="6FFC5590"/>
    <w:rsid w:val="70207CAA"/>
    <w:rsid w:val="706214D3"/>
    <w:rsid w:val="706D1DD0"/>
    <w:rsid w:val="706F4C46"/>
    <w:rsid w:val="70757FF6"/>
    <w:rsid w:val="70826B8C"/>
    <w:rsid w:val="70856B87"/>
    <w:rsid w:val="70864D37"/>
    <w:rsid w:val="70A24F3E"/>
    <w:rsid w:val="70C24BB0"/>
    <w:rsid w:val="70D527EE"/>
    <w:rsid w:val="70DE6973"/>
    <w:rsid w:val="70F52EE5"/>
    <w:rsid w:val="70FF76B2"/>
    <w:rsid w:val="711029EB"/>
    <w:rsid w:val="711A0AC7"/>
    <w:rsid w:val="712874E2"/>
    <w:rsid w:val="712A3F12"/>
    <w:rsid w:val="7135788B"/>
    <w:rsid w:val="71442F99"/>
    <w:rsid w:val="714479C8"/>
    <w:rsid w:val="714574A0"/>
    <w:rsid w:val="715B5300"/>
    <w:rsid w:val="71732CF9"/>
    <w:rsid w:val="717C3193"/>
    <w:rsid w:val="718370EB"/>
    <w:rsid w:val="718A4604"/>
    <w:rsid w:val="71936915"/>
    <w:rsid w:val="71A63611"/>
    <w:rsid w:val="71C01745"/>
    <w:rsid w:val="71CE2310"/>
    <w:rsid w:val="71CE42FD"/>
    <w:rsid w:val="71D27F8A"/>
    <w:rsid w:val="71D86FA8"/>
    <w:rsid w:val="71DA4E8B"/>
    <w:rsid w:val="71DD0CA3"/>
    <w:rsid w:val="72153577"/>
    <w:rsid w:val="72163B21"/>
    <w:rsid w:val="723B3045"/>
    <w:rsid w:val="72553024"/>
    <w:rsid w:val="725F4753"/>
    <w:rsid w:val="727A15DA"/>
    <w:rsid w:val="72C918AE"/>
    <w:rsid w:val="72CC236B"/>
    <w:rsid w:val="72DC01FB"/>
    <w:rsid w:val="73122968"/>
    <w:rsid w:val="731F5D5E"/>
    <w:rsid w:val="733F6699"/>
    <w:rsid w:val="73571C35"/>
    <w:rsid w:val="735859AD"/>
    <w:rsid w:val="736501C5"/>
    <w:rsid w:val="73C51AD5"/>
    <w:rsid w:val="73DD7DF4"/>
    <w:rsid w:val="741E793C"/>
    <w:rsid w:val="74240465"/>
    <w:rsid w:val="742E27B5"/>
    <w:rsid w:val="745E3944"/>
    <w:rsid w:val="746F4817"/>
    <w:rsid w:val="74756407"/>
    <w:rsid w:val="7490315E"/>
    <w:rsid w:val="74966556"/>
    <w:rsid w:val="7499002B"/>
    <w:rsid w:val="74AB2A37"/>
    <w:rsid w:val="74AF731B"/>
    <w:rsid w:val="74D4487E"/>
    <w:rsid w:val="74EA13B5"/>
    <w:rsid w:val="74FA0FBF"/>
    <w:rsid w:val="74FC2CC7"/>
    <w:rsid w:val="75196BF6"/>
    <w:rsid w:val="751B2757"/>
    <w:rsid w:val="751C6519"/>
    <w:rsid w:val="75202B6D"/>
    <w:rsid w:val="7550665A"/>
    <w:rsid w:val="755C03B9"/>
    <w:rsid w:val="757758AD"/>
    <w:rsid w:val="75AC2A3B"/>
    <w:rsid w:val="75AE701B"/>
    <w:rsid w:val="75DD0525"/>
    <w:rsid w:val="75E0377F"/>
    <w:rsid w:val="75E339E0"/>
    <w:rsid w:val="75F60C4B"/>
    <w:rsid w:val="761E6A3A"/>
    <w:rsid w:val="7635099D"/>
    <w:rsid w:val="76397289"/>
    <w:rsid w:val="766A7ED1"/>
    <w:rsid w:val="767A5F36"/>
    <w:rsid w:val="76893730"/>
    <w:rsid w:val="76D31E5C"/>
    <w:rsid w:val="76DB1E0C"/>
    <w:rsid w:val="76E07A90"/>
    <w:rsid w:val="76E2388D"/>
    <w:rsid w:val="76EB0356"/>
    <w:rsid w:val="76FA08CB"/>
    <w:rsid w:val="76FF0666"/>
    <w:rsid w:val="77175869"/>
    <w:rsid w:val="77240543"/>
    <w:rsid w:val="77364FA2"/>
    <w:rsid w:val="77687F1D"/>
    <w:rsid w:val="77762421"/>
    <w:rsid w:val="7798145D"/>
    <w:rsid w:val="779B469D"/>
    <w:rsid w:val="77B56B1F"/>
    <w:rsid w:val="77BF424C"/>
    <w:rsid w:val="77CA6442"/>
    <w:rsid w:val="77D16CD8"/>
    <w:rsid w:val="780F09F4"/>
    <w:rsid w:val="782E46D9"/>
    <w:rsid w:val="78301AF2"/>
    <w:rsid w:val="785F0F2B"/>
    <w:rsid w:val="78706966"/>
    <w:rsid w:val="78753E35"/>
    <w:rsid w:val="787948D1"/>
    <w:rsid w:val="789631FF"/>
    <w:rsid w:val="78A90480"/>
    <w:rsid w:val="78B70967"/>
    <w:rsid w:val="78B81351"/>
    <w:rsid w:val="78C449F8"/>
    <w:rsid w:val="78E04F4E"/>
    <w:rsid w:val="790B5A5D"/>
    <w:rsid w:val="790D4137"/>
    <w:rsid w:val="790E0FE8"/>
    <w:rsid w:val="790E586E"/>
    <w:rsid w:val="79164CAC"/>
    <w:rsid w:val="79176A2C"/>
    <w:rsid w:val="79283907"/>
    <w:rsid w:val="79477270"/>
    <w:rsid w:val="794F2371"/>
    <w:rsid w:val="794F57E8"/>
    <w:rsid w:val="796055BB"/>
    <w:rsid w:val="79946D25"/>
    <w:rsid w:val="79A25F2F"/>
    <w:rsid w:val="79A66AE2"/>
    <w:rsid w:val="79C55C79"/>
    <w:rsid w:val="79C67BEE"/>
    <w:rsid w:val="79FC1682"/>
    <w:rsid w:val="79FF3CDB"/>
    <w:rsid w:val="7A036672"/>
    <w:rsid w:val="7A345961"/>
    <w:rsid w:val="7A364017"/>
    <w:rsid w:val="7A4A7830"/>
    <w:rsid w:val="7A5E792A"/>
    <w:rsid w:val="7A634837"/>
    <w:rsid w:val="7A645FC3"/>
    <w:rsid w:val="7A6C368A"/>
    <w:rsid w:val="7A7E2234"/>
    <w:rsid w:val="7A8265E1"/>
    <w:rsid w:val="7A951153"/>
    <w:rsid w:val="7AA3096F"/>
    <w:rsid w:val="7AA5507E"/>
    <w:rsid w:val="7ADF72B5"/>
    <w:rsid w:val="7AE336A7"/>
    <w:rsid w:val="7AEB0FA6"/>
    <w:rsid w:val="7AF406B1"/>
    <w:rsid w:val="7AF71424"/>
    <w:rsid w:val="7B151B5A"/>
    <w:rsid w:val="7B3D6F00"/>
    <w:rsid w:val="7B59386F"/>
    <w:rsid w:val="7B673916"/>
    <w:rsid w:val="7B6770D5"/>
    <w:rsid w:val="7B686D42"/>
    <w:rsid w:val="7B763B5B"/>
    <w:rsid w:val="7B7E7A95"/>
    <w:rsid w:val="7B841746"/>
    <w:rsid w:val="7B8A12A7"/>
    <w:rsid w:val="7BAB4B29"/>
    <w:rsid w:val="7BC1746B"/>
    <w:rsid w:val="7BC26868"/>
    <w:rsid w:val="7BE5241D"/>
    <w:rsid w:val="7C111D6F"/>
    <w:rsid w:val="7C192F83"/>
    <w:rsid w:val="7C2343EF"/>
    <w:rsid w:val="7C352D2F"/>
    <w:rsid w:val="7C3A6E39"/>
    <w:rsid w:val="7C3C5E6C"/>
    <w:rsid w:val="7C422C4F"/>
    <w:rsid w:val="7C476B1D"/>
    <w:rsid w:val="7C5469F2"/>
    <w:rsid w:val="7C6A5D5E"/>
    <w:rsid w:val="7C6C5AC7"/>
    <w:rsid w:val="7C6E5AA6"/>
    <w:rsid w:val="7C905A31"/>
    <w:rsid w:val="7CA314C8"/>
    <w:rsid w:val="7CC6544B"/>
    <w:rsid w:val="7CCD7C23"/>
    <w:rsid w:val="7D0239FF"/>
    <w:rsid w:val="7D2772C6"/>
    <w:rsid w:val="7D282076"/>
    <w:rsid w:val="7D2B06E1"/>
    <w:rsid w:val="7D2B3E8E"/>
    <w:rsid w:val="7D3C4C35"/>
    <w:rsid w:val="7D43504A"/>
    <w:rsid w:val="7D45433F"/>
    <w:rsid w:val="7D5E40CD"/>
    <w:rsid w:val="7D6F1DE6"/>
    <w:rsid w:val="7D760F0D"/>
    <w:rsid w:val="7D7B0301"/>
    <w:rsid w:val="7DA30669"/>
    <w:rsid w:val="7DC4436B"/>
    <w:rsid w:val="7DCC4105"/>
    <w:rsid w:val="7DCD56F2"/>
    <w:rsid w:val="7DEC318F"/>
    <w:rsid w:val="7E1B57EC"/>
    <w:rsid w:val="7E3C3957"/>
    <w:rsid w:val="7E421843"/>
    <w:rsid w:val="7E624705"/>
    <w:rsid w:val="7E7D26F4"/>
    <w:rsid w:val="7E9E7106"/>
    <w:rsid w:val="7EAF0910"/>
    <w:rsid w:val="7EDA6821"/>
    <w:rsid w:val="7EEF0511"/>
    <w:rsid w:val="7EF44487"/>
    <w:rsid w:val="7F001CE7"/>
    <w:rsid w:val="7F0D7E4E"/>
    <w:rsid w:val="7F0E192E"/>
    <w:rsid w:val="7F2C0419"/>
    <w:rsid w:val="7F4B7FF1"/>
    <w:rsid w:val="7F754FBF"/>
    <w:rsid w:val="7F9B559F"/>
    <w:rsid w:val="7FAA39F5"/>
    <w:rsid w:val="7FC05006"/>
    <w:rsid w:val="7FC751FA"/>
    <w:rsid w:val="7FD665D7"/>
    <w:rsid w:val="7FD85552"/>
    <w:rsid w:val="7FDB5BD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nhideWhenUsed="0" w:uiPriority="0" w:semiHidden="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qFormat="1" w:unhideWhenUsed="0" w:uiPriority="39"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qFormat="1"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4"/>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72"/>
    <w:qFormat/>
    <w:locked/>
    <w:uiPriority w:val="0"/>
    <w:pPr>
      <w:keepNext/>
      <w:keepLines/>
      <w:spacing w:before="260" w:beforeLines="0" w:after="260" w:afterLines="0" w:line="416" w:lineRule="auto"/>
      <w:outlineLvl w:val="1"/>
    </w:pPr>
    <w:rPr>
      <w:rFonts w:ascii="Arial" w:hAnsi="Arial" w:eastAsia="黑体"/>
      <w:b/>
      <w:bCs/>
      <w:sz w:val="32"/>
      <w:szCs w:val="32"/>
    </w:rPr>
  </w:style>
  <w:style w:type="paragraph" w:styleId="6">
    <w:name w:val="heading 3"/>
    <w:basedOn w:val="1"/>
    <w:next w:val="1"/>
    <w:link w:val="63"/>
    <w:qFormat/>
    <w:locked/>
    <w:uiPriority w:val="0"/>
    <w:pPr>
      <w:keepNext/>
      <w:keepLines/>
      <w:spacing w:before="260" w:after="260" w:line="416" w:lineRule="auto"/>
      <w:outlineLvl w:val="2"/>
    </w:pPr>
    <w:rPr>
      <w:b/>
      <w:bCs/>
      <w:sz w:val="32"/>
      <w:szCs w:val="32"/>
    </w:rPr>
  </w:style>
  <w:style w:type="paragraph" w:styleId="7">
    <w:name w:val="heading 4"/>
    <w:basedOn w:val="1"/>
    <w:next w:val="1"/>
    <w:link w:val="73"/>
    <w:qFormat/>
    <w:locked/>
    <w:uiPriority w:val="0"/>
    <w:pPr>
      <w:keepNext/>
      <w:spacing w:line="500" w:lineRule="atLeast"/>
      <w:outlineLvl w:val="3"/>
    </w:pPr>
    <w:rPr>
      <w:rFonts w:ascii="Calibri" w:hAnsi="Calibri"/>
      <w:sz w:val="28"/>
      <w:szCs w:val="20"/>
    </w:rPr>
  </w:style>
  <w:style w:type="paragraph" w:styleId="8">
    <w:name w:val="heading 5"/>
    <w:basedOn w:val="1"/>
    <w:next w:val="1"/>
    <w:qFormat/>
    <w:locked/>
    <w:uiPriority w:val="0"/>
    <w:pPr>
      <w:keepNext/>
      <w:keepLines/>
      <w:autoSpaceDE w:val="0"/>
      <w:autoSpaceDN w:val="0"/>
      <w:adjustRightInd w:val="0"/>
      <w:spacing w:line="288" w:lineRule="auto"/>
      <w:jc w:val="left"/>
      <w:textAlignment w:val="baseline"/>
      <w:outlineLvl w:val="4"/>
    </w:pPr>
    <w:rPr>
      <w:b/>
      <w:kern w:val="0"/>
      <w:sz w:val="24"/>
      <w:szCs w:val="20"/>
    </w:rPr>
  </w:style>
  <w:style w:type="paragraph" w:styleId="9">
    <w:name w:val="heading 8"/>
    <w:basedOn w:val="1"/>
    <w:next w:val="1"/>
    <w:qFormat/>
    <w:locked/>
    <w:uiPriority w:val="0"/>
    <w:pPr>
      <w:keepNext/>
      <w:keepLines/>
      <w:tabs>
        <w:tab w:val="left" w:pos="1440"/>
      </w:tabs>
      <w:spacing w:before="50" w:beforeLines="50" w:line="240" w:lineRule="auto"/>
      <w:ind w:left="0" w:firstLine="0" w:firstLineChars="0"/>
      <w:jc w:val="center"/>
      <w:outlineLvl w:val="7"/>
    </w:pPr>
    <w:rPr>
      <w:rFonts w:ascii="Times New Roman" w:hAnsi="Times New Roman"/>
      <w:b/>
      <w:kern w:val="0"/>
      <w:sz w:val="24"/>
      <w:szCs w:val="20"/>
    </w:rPr>
  </w:style>
  <w:style w:type="character" w:default="1" w:styleId="50">
    <w:name w:val="Default Paragraph Font"/>
    <w:semiHidden/>
    <w:qFormat/>
    <w:uiPriority w:val="0"/>
  </w:style>
  <w:style w:type="table" w:default="1" w:styleId="48">
    <w:name w:val="Normal Table"/>
    <w:semiHidden/>
    <w:qFormat/>
    <w:uiPriority w:val="0"/>
    <w:tblPr>
      <w:tblCellMar>
        <w:top w:w="0" w:type="dxa"/>
        <w:left w:w="108" w:type="dxa"/>
        <w:bottom w:w="0" w:type="dxa"/>
        <w:right w:w="108" w:type="dxa"/>
      </w:tblCellMar>
    </w:tblPr>
  </w:style>
  <w:style w:type="paragraph" w:customStyle="1" w:styleId="2">
    <w:name w:val="正文1"/>
    <w:basedOn w:val="3"/>
    <w:next w:val="1"/>
    <w:qFormat/>
    <w:uiPriority w:val="0"/>
    <w:pPr>
      <w:adjustRightInd w:val="0"/>
      <w:snapToGrid w:val="0"/>
      <w:spacing w:line="500" w:lineRule="atLeast"/>
      <w:ind w:firstLine="567"/>
    </w:pPr>
    <w:rPr>
      <w:sz w:val="28"/>
    </w:rPr>
  </w:style>
  <w:style w:type="paragraph" w:styleId="3">
    <w:name w:val="Normal Indent"/>
    <w:basedOn w:val="1"/>
    <w:next w:val="1"/>
    <w:link w:val="74"/>
    <w:qFormat/>
    <w:locked/>
    <w:uiPriority w:val="0"/>
    <w:pPr>
      <w:ind w:firstLine="420"/>
    </w:pPr>
    <w:rPr>
      <w:rFonts w:ascii="Calibri" w:hAnsi="Calibri"/>
      <w:sz w:val="24"/>
      <w:szCs w:val="20"/>
    </w:rPr>
  </w:style>
  <w:style w:type="paragraph" w:styleId="10">
    <w:name w:val="toc 7"/>
    <w:basedOn w:val="1"/>
    <w:next w:val="1"/>
    <w:qFormat/>
    <w:locked/>
    <w:uiPriority w:val="0"/>
    <w:pPr>
      <w:ind w:left="1260"/>
      <w:jc w:val="left"/>
    </w:pPr>
    <w:rPr>
      <w:rFonts w:ascii="Calibri" w:hAnsi="Calibri"/>
      <w:sz w:val="18"/>
      <w:szCs w:val="18"/>
    </w:rPr>
  </w:style>
  <w:style w:type="paragraph" w:styleId="11">
    <w:name w:val="caption"/>
    <w:basedOn w:val="1"/>
    <w:next w:val="1"/>
    <w:link w:val="75"/>
    <w:qFormat/>
    <w:locked/>
    <w:uiPriority w:val="0"/>
    <w:rPr>
      <w:rFonts w:ascii="Arial" w:hAnsi="Arial" w:eastAsia="黑体"/>
      <w:sz w:val="20"/>
      <w:szCs w:val="20"/>
    </w:rPr>
  </w:style>
  <w:style w:type="paragraph" w:styleId="12">
    <w:name w:val="Document Map"/>
    <w:basedOn w:val="1"/>
    <w:link w:val="76"/>
    <w:qFormat/>
    <w:locked/>
    <w:uiPriority w:val="0"/>
    <w:pPr>
      <w:shd w:val="clear" w:color="auto" w:fill="000080"/>
    </w:pPr>
  </w:style>
  <w:style w:type="paragraph" w:styleId="13">
    <w:name w:val="annotation text"/>
    <w:basedOn w:val="1"/>
    <w:link w:val="77"/>
    <w:qFormat/>
    <w:uiPriority w:val="0"/>
    <w:pPr>
      <w:jc w:val="left"/>
    </w:pPr>
    <w:rPr>
      <w:kern w:val="0"/>
      <w:sz w:val="24"/>
      <w:szCs w:val="20"/>
    </w:rPr>
  </w:style>
  <w:style w:type="paragraph" w:styleId="14">
    <w:name w:val="Body Text 3"/>
    <w:basedOn w:val="1"/>
    <w:link w:val="78"/>
    <w:qFormat/>
    <w:locked/>
    <w:uiPriority w:val="0"/>
    <w:pPr>
      <w:spacing w:line="500" w:lineRule="atLeast"/>
    </w:pPr>
    <w:rPr>
      <w:rFonts w:ascii="Calibri" w:hAnsi="Calibri"/>
      <w:sz w:val="24"/>
      <w:szCs w:val="20"/>
    </w:rPr>
  </w:style>
  <w:style w:type="paragraph" w:styleId="15">
    <w:name w:val="Body Text"/>
    <w:basedOn w:val="1"/>
    <w:next w:val="16"/>
    <w:link w:val="69"/>
    <w:qFormat/>
    <w:uiPriority w:val="0"/>
    <w:pPr>
      <w:widowControl/>
      <w:snapToGrid w:val="0"/>
      <w:spacing w:before="60" w:after="160" w:line="259" w:lineRule="auto"/>
      <w:ind w:right="113"/>
    </w:pPr>
    <w:rPr>
      <w:kern w:val="0"/>
      <w:sz w:val="18"/>
      <w:szCs w:val="20"/>
    </w:rPr>
  </w:style>
  <w:style w:type="paragraph" w:customStyle="1" w:styleId="16">
    <w:name w:val="Default"/>
    <w:basedOn w:val="17"/>
    <w:next w:val="1"/>
    <w:link w:val="70"/>
    <w:qFormat/>
    <w:uiPriority w:val="0"/>
    <w:pPr>
      <w:widowControl w:val="0"/>
      <w:autoSpaceDE w:val="0"/>
      <w:autoSpaceDN w:val="0"/>
      <w:adjustRightInd w:val="0"/>
    </w:pPr>
    <w:rPr>
      <w:rFonts w:ascii="方正姚体" w:eastAsia="方正姚体"/>
      <w:sz w:val="24"/>
      <w:szCs w:val="24"/>
    </w:rPr>
  </w:style>
  <w:style w:type="paragraph" w:customStyle="1" w:styleId="17">
    <w:name w:val="1 表头"/>
    <w:basedOn w:val="1"/>
    <w:qFormat/>
    <w:uiPriority w:val="0"/>
    <w:pPr>
      <w:adjustRightInd w:val="0"/>
      <w:snapToGrid w:val="0"/>
      <w:spacing w:line="240" w:lineRule="auto"/>
      <w:ind w:firstLine="0" w:firstLineChars="0"/>
      <w:jc w:val="center"/>
    </w:pPr>
    <w:rPr>
      <w:b/>
      <w:color w:val="000000"/>
      <w:sz w:val="21"/>
      <w:szCs w:val="21"/>
    </w:rPr>
  </w:style>
  <w:style w:type="paragraph" w:styleId="18">
    <w:name w:val="Body Text Indent"/>
    <w:basedOn w:val="1"/>
    <w:link w:val="79"/>
    <w:qFormat/>
    <w:uiPriority w:val="0"/>
    <w:pPr>
      <w:spacing w:after="120"/>
      <w:ind w:left="420" w:leftChars="200"/>
    </w:pPr>
    <w:rPr>
      <w:kern w:val="0"/>
      <w:sz w:val="24"/>
      <w:szCs w:val="20"/>
    </w:rPr>
  </w:style>
  <w:style w:type="paragraph" w:styleId="19">
    <w:name w:val="Block Text"/>
    <w:basedOn w:val="1"/>
    <w:qFormat/>
    <w:locked/>
    <w:uiPriority w:val="0"/>
    <w:pPr>
      <w:tabs>
        <w:tab w:val="left" w:pos="492"/>
      </w:tabs>
      <w:spacing w:line="480" w:lineRule="exact"/>
      <w:ind w:left="-31" w:leftChars="-15" w:right="-113" w:firstLine="560" w:firstLineChars="200"/>
    </w:pPr>
    <w:rPr>
      <w:rFonts w:ascii="Calibri" w:hAnsi="Calibri"/>
      <w:sz w:val="28"/>
      <w:szCs w:val="20"/>
    </w:rPr>
  </w:style>
  <w:style w:type="paragraph" w:styleId="20">
    <w:name w:val="toc 5"/>
    <w:basedOn w:val="1"/>
    <w:next w:val="1"/>
    <w:qFormat/>
    <w:locked/>
    <w:uiPriority w:val="0"/>
    <w:pPr>
      <w:ind w:left="840"/>
      <w:jc w:val="left"/>
    </w:pPr>
    <w:rPr>
      <w:rFonts w:ascii="Calibri" w:hAnsi="Calibri"/>
      <w:sz w:val="18"/>
      <w:szCs w:val="18"/>
    </w:rPr>
  </w:style>
  <w:style w:type="paragraph" w:styleId="21">
    <w:name w:val="toc 3"/>
    <w:basedOn w:val="1"/>
    <w:next w:val="1"/>
    <w:qFormat/>
    <w:locked/>
    <w:uiPriority w:val="39"/>
    <w:pPr>
      <w:ind w:left="420"/>
      <w:jc w:val="left"/>
    </w:pPr>
    <w:rPr>
      <w:rFonts w:ascii="Calibri" w:hAnsi="Calibri"/>
      <w:i/>
      <w:iCs/>
      <w:sz w:val="20"/>
      <w:szCs w:val="20"/>
    </w:rPr>
  </w:style>
  <w:style w:type="paragraph" w:styleId="22">
    <w:name w:val="Plain Text"/>
    <w:basedOn w:val="1"/>
    <w:next w:val="1"/>
    <w:link w:val="80"/>
    <w:qFormat/>
    <w:locked/>
    <w:uiPriority w:val="0"/>
    <w:rPr>
      <w:rFonts w:ascii="宋体" w:hAnsi="Courier New"/>
      <w:szCs w:val="20"/>
    </w:rPr>
  </w:style>
  <w:style w:type="paragraph" w:styleId="23">
    <w:name w:val="List Bullet 5"/>
    <w:basedOn w:val="1"/>
    <w:qFormat/>
    <w:locked/>
    <w:uiPriority w:val="0"/>
    <w:pPr>
      <w:numPr>
        <w:ilvl w:val="0"/>
        <w:numId w:val="1"/>
      </w:numPr>
    </w:pPr>
  </w:style>
  <w:style w:type="paragraph" w:styleId="24">
    <w:name w:val="toc 8"/>
    <w:basedOn w:val="1"/>
    <w:next w:val="1"/>
    <w:qFormat/>
    <w:locked/>
    <w:uiPriority w:val="0"/>
    <w:pPr>
      <w:ind w:left="1470"/>
      <w:jc w:val="left"/>
    </w:pPr>
    <w:rPr>
      <w:rFonts w:ascii="Calibri" w:hAnsi="Calibri"/>
      <w:sz w:val="18"/>
      <w:szCs w:val="18"/>
    </w:rPr>
  </w:style>
  <w:style w:type="paragraph" w:styleId="25">
    <w:name w:val="Date"/>
    <w:basedOn w:val="1"/>
    <w:next w:val="1"/>
    <w:link w:val="81"/>
    <w:qFormat/>
    <w:uiPriority w:val="0"/>
    <w:pPr>
      <w:ind w:left="100" w:leftChars="2500"/>
    </w:pPr>
    <w:rPr>
      <w:kern w:val="0"/>
      <w:sz w:val="24"/>
      <w:szCs w:val="20"/>
    </w:rPr>
  </w:style>
  <w:style w:type="paragraph" w:styleId="26">
    <w:name w:val="Body Text Indent 2"/>
    <w:basedOn w:val="1"/>
    <w:link w:val="82"/>
    <w:qFormat/>
    <w:locked/>
    <w:uiPriority w:val="0"/>
    <w:pPr>
      <w:spacing w:after="120" w:line="480" w:lineRule="auto"/>
      <w:ind w:left="420" w:leftChars="200"/>
    </w:pPr>
  </w:style>
  <w:style w:type="paragraph" w:styleId="27">
    <w:name w:val="Balloon Text"/>
    <w:basedOn w:val="1"/>
    <w:link w:val="83"/>
    <w:qFormat/>
    <w:uiPriority w:val="0"/>
    <w:rPr>
      <w:kern w:val="0"/>
      <w:sz w:val="18"/>
      <w:szCs w:val="20"/>
    </w:rPr>
  </w:style>
  <w:style w:type="paragraph" w:styleId="28">
    <w:name w:val="footer"/>
    <w:basedOn w:val="1"/>
    <w:link w:val="84"/>
    <w:qFormat/>
    <w:uiPriority w:val="0"/>
    <w:pPr>
      <w:tabs>
        <w:tab w:val="center" w:pos="4153"/>
        <w:tab w:val="right" w:pos="8306"/>
      </w:tabs>
      <w:snapToGrid w:val="0"/>
      <w:jc w:val="left"/>
    </w:pPr>
    <w:rPr>
      <w:kern w:val="0"/>
      <w:sz w:val="18"/>
      <w:szCs w:val="20"/>
    </w:rPr>
  </w:style>
  <w:style w:type="paragraph" w:styleId="29">
    <w:name w:val="header"/>
    <w:basedOn w:val="1"/>
    <w:link w:val="85"/>
    <w:qFormat/>
    <w:uiPriority w:val="0"/>
    <w:pPr>
      <w:pBdr>
        <w:bottom w:val="single" w:color="auto" w:sz="6" w:space="1"/>
      </w:pBdr>
      <w:tabs>
        <w:tab w:val="center" w:pos="4153"/>
        <w:tab w:val="right" w:pos="8306"/>
      </w:tabs>
      <w:snapToGrid w:val="0"/>
      <w:jc w:val="center"/>
    </w:pPr>
    <w:rPr>
      <w:kern w:val="0"/>
      <w:sz w:val="18"/>
      <w:szCs w:val="20"/>
    </w:rPr>
  </w:style>
  <w:style w:type="paragraph" w:styleId="30">
    <w:name w:val="toc 1"/>
    <w:basedOn w:val="1"/>
    <w:next w:val="1"/>
    <w:qFormat/>
    <w:locked/>
    <w:uiPriority w:val="39"/>
    <w:pPr>
      <w:spacing w:before="120" w:after="120"/>
      <w:jc w:val="left"/>
    </w:pPr>
    <w:rPr>
      <w:rFonts w:ascii="Calibri" w:hAnsi="Calibri"/>
      <w:b/>
      <w:bCs/>
      <w:caps/>
      <w:sz w:val="20"/>
      <w:szCs w:val="20"/>
    </w:rPr>
  </w:style>
  <w:style w:type="paragraph" w:styleId="31">
    <w:name w:val="toc 4"/>
    <w:basedOn w:val="1"/>
    <w:next w:val="1"/>
    <w:qFormat/>
    <w:locked/>
    <w:uiPriority w:val="0"/>
    <w:pPr>
      <w:ind w:left="630"/>
      <w:jc w:val="left"/>
    </w:pPr>
    <w:rPr>
      <w:rFonts w:ascii="Calibri" w:hAnsi="Calibri"/>
      <w:sz w:val="18"/>
      <w:szCs w:val="18"/>
    </w:rPr>
  </w:style>
  <w:style w:type="paragraph" w:styleId="32">
    <w:name w:val="index heading"/>
    <w:basedOn w:val="1"/>
    <w:next w:val="33"/>
    <w:unhideWhenUsed/>
    <w:qFormat/>
    <w:locked/>
    <w:uiPriority w:val="0"/>
    <w:rPr>
      <w:rFonts w:ascii="Cambria" w:hAnsi="Cambria" w:eastAsia="宋体" w:cs="Times New Roman"/>
      <w:b/>
      <w:bCs/>
      <w:sz w:val="21"/>
      <w:szCs w:val="22"/>
    </w:rPr>
  </w:style>
  <w:style w:type="paragraph" w:styleId="33">
    <w:name w:val="index 1"/>
    <w:basedOn w:val="1"/>
    <w:next w:val="1"/>
    <w:qFormat/>
    <w:locked/>
    <w:uiPriority w:val="0"/>
  </w:style>
  <w:style w:type="paragraph" w:styleId="34">
    <w:name w:val="Subtitle"/>
    <w:basedOn w:val="1"/>
    <w:next w:val="1"/>
    <w:link w:val="86"/>
    <w:qFormat/>
    <w:locked/>
    <w:uiPriority w:val="0"/>
    <w:pPr>
      <w:spacing w:line="480" w:lineRule="exact"/>
      <w:ind w:firstLine="200" w:firstLineChars="200"/>
      <w:outlineLvl w:val="1"/>
    </w:pPr>
    <w:rPr>
      <w:rFonts w:ascii="宋体" w:hAnsi="宋体"/>
      <w:bCs/>
      <w:kern w:val="28"/>
      <w:sz w:val="24"/>
      <w:szCs w:val="32"/>
    </w:rPr>
  </w:style>
  <w:style w:type="paragraph" w:styleId="35">
    <w:name w:val="List"/>
    <w:basedOn w:val="1"/>
    <w:next w:val="1"/>
    <w:qFormat/>
    <w:locked/>
    <w:uiPriority w:val="0"/>
    <w:pPr>
      <w:ind w:left="200" w:hanging="200" w:hangingChars="200"/>
    </w:pPr>
  </w:style>
  <w:style w:type="paragraph" w:styleId="36">
    <w:name w:val="toc 6"/>
    <w:basedOn w:val="1"/>
    <w:next w:val="1"/>
    <w:qFormat/>
    <w:locked/>
    <w:uiPriority w:val="0"/>
    <w:pPr>
      <w:ind w:left="1050"/>
      <w:jc w:val="left"/>
    </w:pPr>
    <w:rPr>
      <w:rFonts w:ascii="Calibri" w:hAnsi="Calibri"/>
      <w:sz w:val="18"/>
      <w:szCs w:val="18"/>
    </w:rPr>
  </w:style>
  <w:style w:type="paragraph" w:styleId="37">
    <w:name w:val="Body Text Indent 3"/>
    <w:basedOn w:val="1"/>
    <w:link w:val="87"/>
    <w:qFormat/>
    <w:locked/>
    <w:uiPriority w:val="0"/>
    <w:pPr>
      <w:spacing w:line="500" w:lineRule="atLeast"/>
      <w:ind w:left="-105" w:firstLine="585"/>
    </w:pPr>
    <w:rPr>
      <w:rFonts w:ascii="宋体" w:hAnsi="Calibri"/>
      <w:sz w:val="24"/>
      <w:szCs w:val="20"/>
    </w:rPr>
  </w:style>
  <w:style w:type="paragraph" w:styleId="38">
    <w:name w:val="table of figures"/>
    <w:basedOn w:val="1"/>
    <w:next w:val="1"/>
    <w:unhideWhenUsed/>
    <w:qFormat/>
    <w:locked/>
    <w:uiPriority w:val="99"/>
    <w:pPr>
      <w:jc w:val="center"/>
    </w:pPr>
    <w:rPr>
      <w:sz w:val="24"/>
    </w:rPr>
  </w:style>
  <w:style w:type="paragraph" w:styleId="39">
    <w:name w:val="toc 2"/>
    <w:basedOn w:val="1"/>
    <w:next w:val="1"/>
    <w:qFormat/>
    <w:locked/>
    <w:uiPriority w:val="0"/>
    <w:pPr>
      <w:ind w:left="210"/>
      <w:jc w:val="left"/>
    </w:pPr>
    <w:rPr>
      <w:rFonts w:ascii="Calibri" w:hAnsi="Calibri"/>
      <w:smallCaps/>
      <w:sz w:val="20"/>
      <w:szCs w:val="20"/>
    </w:rPr>
  </w:style>
  <w:style w:type="paragraph" w:styleId="40">
    <w:name w:val="toc 9"/>
    <w:basedOn w:val="1"/>
    <w:next w:val="1"/>
    <w:qFormat/>
    <w:locked/>
    <w:uiPriority w:val="0"/>
    <w:pPr>
      <w:ind w:left="1680"/>
      <w:jc w:val="left"/>
    </w:pPr>
    <w:rPr>
      <w:rFonts w:ascii="Calibri" w:hAnsi="Calibri"/>
      <w:sz w:val="18"/>
      <w:szCs w:val="18"/>
    </w:rPr>
  </w:style>
  <w:style w:type="paragraph" w:styleId="41">
    <w:name w:val="Body Text 2"/>
    <w:basedOn w:val="1"/>
    <w:link w:val="88"/>
    <w:qFormat/>
    <w:locked/>
    <w:uiPriority w:val="0"/>
    <w:pPr>
      <w:spacing w:line="500" w:lineRule="atLeast"/>
      <w:jc w:val="center"/>
    </w:pPr>
    <w:rPr>
      <w:rFonts w:ascii="Calibri" w:hAnsi="Calibri"/>
      <w:sz w:val="30"/>
      <w:szCs w:val="20"/>
    </w:rPr>
  </w:style>
  <w:style w:type="paragraph" w:styleId="42">
    <w:name w:val="HTML Preformatted"/>
    <w:basedOn w:val="1"/>
    <w:link w:val="89"/>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link w:val="90"/>
    <w:qFormat/>
    <w:uiPriority w:val="0"/>
    <w:pPr>
      <w:widowControl/>
      <w:spacing w:before="100" w:beforeAutospacing="1" w:after="100" w:afterAutospacing="1"/>
      <w:jc w:val="left"/>
    </w:pPr>
    <w:rPr>
      <w:rFonts w:ascii="宋体" w:hAnsi="宋体"/>
      <w:kern w:val="0"/>
      <w:sz w:val="24"/>
      <w:szCs w:val="20"/>
    </w:rPr>
  </w:style>
  <w:style w:type="paragraph" w:styleId="44">
    <w:name w:val="Title"/>
    <w:basedOn w:val="1"/>
    <w:link w:val="91"/>
    <w:qFormat/>
    <w:locked/>
    <w:uiPriority w:val="0"/>
    <w:pPr>
      <w:spacing w:before="240" w:after="60"/>
      <w:jc w:val="center"/>
      <w:outlineLvl w:val="0"/>
    </w:pPr>
    <w:rPr>
      <w:rFonts w:ascii="Arial" w:hAnsi="Arial"/>
      <w:b/>
      <w:bCs/>
      <w:sz w:val="32"/>
      <w:szCs w:val="32"/>
    </w:rPr>
  </w:style>
  <w:style w:type="paragraph" w:styleId="45">
    <w:name w:val="annotation subject"/>
    <w:basedOn w:val="13"/>
    <w:next w:val="13"/>
    <w:link w:val="92"/>
    <w:qFormat/>
    <w:uiPriority w:val="0"/>
    <w:rPr>
      <w:b/>
      <w:kern w:val="2"/>
    </w:rPr>
  </w:style>
  <w:style w:type="paragraph" w:styleId="46">
    <w:name w:val="Body Text First Indent"/>
    <w:basedOn w:val="15"/>
    <w:link w:val="71"/>
    <w:qFormat/>
    <w:locked/>
    <w:uiPriority w:val="0"/>
    <w:pPr>
      <w:widowControl w:val="0"/>
      <w:snapToGrid/>
      <w:spacing w:before="20" w:after="120" w:line="240" w:lineRule="auto"/>
      <w:ind w:right="0" w:firstLine="420" w:firstLineChars="100"/>
      <w:jc w:val="center"/>
    </w:pPr>
    <w:rPr>
      <w:rFonts w:hAnsi="Calibri"/>
      <w:kern w:val="2"/>
      <w:sz w:val="21"/>
    </w:rPr>
  </w:style>
  <w:style w:type="paragraph" w:styleId="47">
    <w:name w:val="Body Text First Indent 2"/>
    <w:basedOn w:val="18"/>
    <w:next w:val="1"/>
    <w:link w:val="93"/>
    <w:qFormat/>
    <w:locked/>
    <w:uiPriority w:val="0"/>
    <w:pPr>
      <w:ind w:firstLine="420" w:firstLineChars="200"/>
    </w:pPr>
    <w:rPr>
      <w:kern w:val="2"/>
    </w:rPr>
  </w:style>
  <w:style w:type="table" w:styleId="49">
    <w:name w:val="Table Grid"/>
    <w:basedOn w:val="4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basedOn w:val="50"/>
    <w:qFormat/>
    <w:locked/>
    <w:uiPriority w:val="0"/>
    <w:rPr>
      <w:b/>
      <w:bCs/>
    </w:rPr>
  </w:style>
  <w:style w:type="character" w:styleId="52">
    <w:name w:val="page number"/>
    <w:qFormat/>
    <w:locked/>
    <w:uiPriority w:val="0"/>
  </w:style>
  <w:style w:type="character" w:styleId="53">
    <w:name w:val="FollowedHyperlink"/>
    <w:qFormat/>
    <w:locked/>
    <w:uiPriority w:val="99"/>
    <w:rPr>
      <w:color w:val="338DE6"/>
      <w:u w:val="none"/>
    </w:rPr>
  </w:style>
  <w:style w:type="character" w:styleId="54">
    <w:name w:val="Emphasis"/>
    <w:qFormat/>
    <w:locked/>
    <w:uiPriority w:val="0"/>
  </w:style>
  <w:style w:type="character" w:styleId="55">
    <w:name w:val="HTML Definition"/>
    <w:qFormat/>
    <w:locked/>
    <w:uiPriority w:val="0"/>
  </w:style>
  <w:style w:type="character" w:styleId="56">
    <w:name w:val="HTML Variable"/>
    <w:qFormat/>
    <w:locked/>
    <w:uiPriority w:val="0"/>
  </w:style>
  <w:style w:type="character" w:styleId="57">
    <w:name w:val="Hyperlink"/>
    <w:basedOn w:val="50"/>
    <w:qFormat/>
    <w:locked/>
    <w:uiPriority w:val="99"/>
    <w:rPr>
      <w:color w:val="136EC2"/>
      <w:u w:val="single"/>
    </w:rPr>
  </w:style>
  <w:style w:type="character" w:styleId="58">
    <w:name w:val="HTML Code"/>
    <w:qFormat/>
    <w:locked/>
    <w:uiPriority w:val="0"/>
    <w:rPr>
      <w:rFonts w:hint="default" w:ascii="monospace" w:hAnsi="monospace" w:eastAsia="monospace" w:cs="monospace"/>
      <w:sz w:val="21"/>
      <w:szCs w:val="21"/>
    </w:rPr>
  </w:style>
  <w:style w:type="character" w:styleId="59">
    <w:name w:val="annotation reference"/>
    <w:qFormat/>
    <w:uiPriority w:val="0"/>
    <w:rPr>
      <w:sz w:val="21"/>
    </w:rPr>
  </w:style>
  <w:style w:type="character" w:styleId="60">
    <w:name w:val="HTML Cite"/>
    <w:qFormat/>
    <w:locked/>
    <w:uiPriority w:val="0"/>
    <w:rPr>
      <w:rFonts w:hint="default" w:ascii="baikeFont_css" w:hAnsi="baikeFont_css" w:eastAsia="baikeFont_css" w:cs="baikeFont_css"/>
    </w:rPr>
  </w:style>
  <w:style w:type="character" w:styleId="61">
    <w:name w:val="HTML Keyboard"/>
    <w:qFormat/>
    <w:locked/>
    <w:uiPriority w:val="0"/>
    <w:rPr>
      <w:rFonts w:hint="default" w:ascii="monospace" w:hAnsi="monospace" w:eastAsia="monospace" w:cs="monospace"/>
      <w:sz w:val="21"/>
      <w:szCs w:val="21"/>
    </w:rPr>
  </w:style>
  <w:style w:type="character" w:styleId="62">
    <w:name w:val="HTML Sample"/>
    <w:qFormat/>
    <w:locked/>
    <w:uiPriority w:val="0"/>
    <w:rPr>
      <w:rFonts w:ascii="monospace" w:hAnsi="monospace" w:eastAsia="monospace" w:cs="monospace"/>
      <w:sz w:val="21"/>
      <w:szCs w:val="21"/>
    </w:rPr>
  </w:style>
  <w:style w:type="character" w:customStyle="1" w:styleId="63">
    <w:name w:val="标题 3 Char"/>
    <w:link w:val="6"/>
    <w:qFormat/>
    <w:uiPriority w:val="0"/>
    <w:rPr>
      <w:b/>
      <w:bCs/>
      <w:kern w:val="2"/>
      <w:sz w:val="32"/>
      <w:szCs w:val="32"/>
    </w:rPr>
  </w:style>
  <w:style w:type="character" w:customStyle="1" w:styleId="64">
    <w:name w:val="标题 1 Char"/>
    <w:link w:val="4"/>
    <w:qFormat/>
    <w:uiPriority w:val="0"/>
    <w:rPr>
      <w:rFonts w:eastAsia="黑体"/>
      <w:b/>
      <w:bCs/>
      <w:color w:val="000000"/>
      <w:kern w:val="44"/>
      <w:sz w:val="30"/>
      <w:szCs w:val="30"/>
    </w:rPr>
  </w:style>
  <w:style w:type="paragraph" w:customStyle="1" w:styleId="65">
    <w:name w:val="表格文字"/>
    <w:basedOn w:val="46"/>
    <w:next w:val="15"/>
    <w:qFormat/>
    <w:uiPriority w:val="0"/>
    <w:pPr>
      <w:adjustRightInd/>
      <w:snapToGrid/>
      <w:spacing w:line="320" w:lineRule="exact"/>
      <w:jc w:val="center"/>
    </w:pPr>
    <w:rPr>
      <w:sz w:val="21"/>
      <w:szCs w:val="24"/>
    </w:rPr>
  </w:style>
  <w:style w:type="paragraph" w:customStyle="1" w:styleId="66">
    <w:name w:val="默认段落"/>
    <w:basedOn w:val="1"/>
    <w:qFormat/>
    <w:uiPriority w:val="0"/>
  </w:style>
  <w:style w:type="paragraph" w:customStyle="1" w:styleId="67">
    <w:name w:val="Char Char Char Char Char Char Char Char Char1 Char"/>
    <w:basedOn w:val="1"/>
    <w:next w:val="68"/>
    <w:qFormat/>
    <w:uiPriority w:val="0"/>
    <w:pPr>
      <w:spacing w:line="360" w:lineRule="auto"/>
      <w:ind w:firstLine="200" w:firstLineChars="200"/>
    </w:pPr>
    <w:rPr>
      <w:rFonts w:hAnsi="宋体" w:cs="宋体"/>
      <w:spacing w:val="0"/>
      <w:sz w:val="24"/>
      <w:szCs w:val="24"/>
    </w:rPr>
  </w:style>
  <w:style w:type="paragraph" w:customStyle="1" w:styleId="68">
    <w:name w:val="Body Text First Indent"/>
    <w:basedOn w:val="15"/>
    <w:next w:val="1"/>
    <w:qFormat/>
    <w:uiPriority w:val="0"/>
    <w:pPr>
      <w:ind w:firstLine="420" w:firstLineChars="100"/>
    </w:pPr>
    <w:rPr>
      <w:kern w:val="0"/>
      <w:sz w:val="24"/>
      <w:szCs w:val="20"/>
    </w:rPr>
  </w:style>
  <w:style w:type="character" w:customStyle="1" w:styleId="69">
    <w:name w:val="正文文本 Char"/>
    <w:link w:val="15"/>
    <w:qFormat/>
    <w:locked/>
    <w:uiPriority w:val="0"/>
    <w:rPr>
      <w:sz w:val="18"/>
    </w:rPr>
  </w:style>
  <w:style w:type="character" w:customStyle="1" w:styleId="70">
    <w:name w:val="Default Char Char"/>
    <w:link w:val="16"/>
    <w:qFormat/>
    <w:uiPriority w:val="0"/>
    <w:rPr>
      <w:rFonts w:ascii="方正姚体" w:eastAsia="方正姚体" w:cs="方正姚体"/>
      <w:b/>
      <w:color w:val="000000"/>
      <w:kern w:val="2"/>
      <w:sz w:val="24"/>
      <w:szCs w:val="24"/>
    </w:rPr>
  </w:style>
  <w:style w:type="character" w:customStyle="1" w:styleId="71">
    <w:name w:val="正文首行缩进 Char"/>
    <w:link w:val="46"/>
    <w:qFormat/>
    <w:uiPriority w:val="0"/>
    <w:rPr>
      <w:rFonts w:hAnsi="Calibri"/>
      <w:kern w:val="2"/>
      <w:sz w:val="21"/>
    </w:rPr>
  </w:style>
  <w:style w:type="character" w:customStyle="1" w:styleId="72">
    <w:name w:val="标题 2 Char"/>
    <w:link w:val="5"/>
    <w:qFormat/>
    <w:uiPriority w:val="0"/>
    <w:rPr>
      <w:rFonts w:ascii="Arial" w:hAnsi="Arial" w:eastAsia="黑体"/>
      <w:b/>
      <w:bCs/>
      <w:kern w:val="2"/>
      <w:sz w:val="32"/>
      <w:szCs w:val="32"/>
    </w:rPr>
  </w:style>
  <w:style w:type="character" w:customStyle="1" w:styleId="73">
    <w:name w:val="标题 4 Char"/>
    <w:link w:val="7"/>
    <w:qFormat/>
    <w:uiPriority w:val="0"/>
    <w:rPr>
      <w:rFonts w:ascii="Calibri" w:hAnsi="Calibri"/>
      <w:kern w:val="2"/>
      <w:sz w:val="28"/>
    </w:rPr>
  </w:style>
  <w:style w:type="character" w:customStyle="1" w:styleId="74">
    <w:name w:val="正文缩进 Char"/>
    <w:link w:val="3"/>
    <w:qFormat/>
    <w:uiPriority w:val="0"/>
    <w:rPr>
      <w:rFonts w:ascii="Calibri" w:hAnsi="Calibri"/>
      <w:kern w:val="2"/>
      <w:sz w:val="24"/>
    </w:rPr>
  </w:style>
  <w:style w:type="character" w:customStyle="1" w:styleId="75">
    <w:name w:val="题注 Char"/>
    <w:link w:val="11"/>
    <w:qFormat/>
    <w:uiPriority w:val="0"/>
    <w:rPr>
      <w:rFonts w:ascii="Arial" w:hAnsi="Arial" w:eastAsia="黑体" w:cs="Arial"/>
      <w:kern w:val="2"/>
    </w:rPr>
  </w:style>
  <w:style w:type="character" w:customStyle="1" w:styleId="76">
    <w:name w:val="文档结构图 Char"/>
    <w:link w:val="12"/>
    <w:qFormat/>
    <w:uiPriority w:val="0"/>
    <w:rPr>
      <w:kern w:val="2"/>
      <w:sz w:val="21"/>
      <w:szCs w:val="24"/>
      <w:shd w:val="clear" w:color="auto" w:fill="000080"/>
    </w:rPr>
  </w:style>
  <w:style w:type="character" w:customStyle="1" w:styleId="77">
    <w:name w:val="批注文字 Char"/>
    <w:link w:val="13"/>
    <w:qFormat/>
    <w:locked/>
    <w:uiPriority w:val="0"/>
    <w:rPr>
      <w:rFonts w:ascii="Times New Roman" w:hAnsi="Times New Roman" w:eastAsia="宋体"/>
      <w:sz w:val="24"/>
    </w:rPr>
  </w:style>
  <w:style w:type="character" w:customStyle="1" w:styleId="78">
    <w:name w:val="正文文本 3 Char"/>
    <w:link w:val="14"/>
    <w:qFormat/>
    <w:uiPriority w:val="0"/>
    <w:rPr>
      <w:rFonts w:ascii="Calibri" w:hAnsi="Calibri"/>
      <w:kern w:val="2"/>
      <w:sz w:val="24"/>
    </w:rPr>
  </w:style>
  <w:style w:type="character" w:customStyle="1" w:styleId="79">
    <w:name w:val="正文文本缩进 Char"/>
    <w:link w:val="18"/>
    <w:qFormat/>
    <w:locked/>
    <w:uiPriority w:val="0"/>
    <w:rPr>
      <w:rFonts w:ascii="Times New Roman" w:hAnsi="Times New Roman" w:eastAsia="宋体"/>
      <w:sz w:val="24"/>
    </w:rPr>
  </w:style>
  <w:style w:type="character" w:customStyle="1" w:styleId="80">
    <w:name w:val="纯文本 Char"/>
    <w:link w:val="22"/>
    <w:qFormat/>
    <w:uiPriority w:val="0"/>
    <w:rPr>
      <w:rFonts w:ascii="宋体" w:hAnsi="Courier New"/>
      <w:kern w:val="2"/>
      <w:sz w:val="21"/>
    </w:rPr>
  </w:style>
  <w:style w:type="character" w:customStyle="1" w:styleId="81">
    <w:name w:val="日期 Char"/>
    <w:link w:val="25"/>
    <w:qFormat/>
    <w:locked/>
    <w:uiPriority w:val="0"/>
    <w:rPr>
      <w:rFonts w:ascii="Times New Roman" w:hAnsi="Times New Roman" w:eastAsia="宋体"/>
      <w:sz w:val="24"/>
    </w:rPr>
  </w:style>
  <w:style w:type="character" w:customStyle="1" w:styleId="82">
    <w:name w:val="正文文本缩进 2 Char"/>
    <w:link w:val="26"/>
    <w:qFormat/>
    <w:uiPriority w:val="0"/>
    <w:rPr>
      <w:kern w:val="2"/>
      <w:sz w:val="21"/>
      <w:szCs w:val="24"/>
    </w:rPr>
  </w:style>
  <w:style w:type="character" w:customStyle="1" w:styleId="83">
    <w:name w:val="批注框文本 Char"/>
    <w:link w:val="27"/>
    <w:qFormat/>
    <w:locked/>
    <w:uiPriority w:val="0"/>
    <w:rPr>
      <w:rFonts w:ascii="Times New Roman" w:hAnsi="Times New Roman" w:eastAsia="宋体"/>
      <w:sz w:val="18"/>
    </w:rPr>
  </w:style>
  <w:style w:type="character" w:customStyle="1" w:styleId="84">
    <w:name w:val="页脚 Char"/>
    <w:link w:val="28"/>
    <w:qFormat/>
    <w:locked/>
    <w:uiPriority w:val="0"/>
    <w:rPr>
      <w:sz w:val="18"/>
    </w:rPr>
  </w:style>
  <w:style w:type="character" w:customStyle="1" w:styleId="85">
    <w:name w:val="页眉 Char"/>
    <w:link w:val="29"/>
    <w:qFormat/>
    <w:locked/>
    <w:uiPriority w:val="0"/>
    <w:rPr>
      <w:sz w:val="18"/>
    </w:rPr>
  </w:style>
  <w:style w:type="character" w:customStyle="1" w:styleId="86">
    <w:name w:val="副标题 Char"/>
    <w:link w:val="34"/>
    <w:qFormat/>
    <w:uiPriority w:val="0"/>
    <w:rPr>
      <w:rFonts w:ascii="宋体" w:hAnsi="宋体"/>
      <w:bCs/>
      <w:kern w:val="28"/>
      <w:sz w:val="24"/>
      <w:szCs w:val="32"/>
    </w:rPr>
  </w:style>
  <w:style w:type="character" w:customStyle="1" w:styleId="87">
    <w:name w:val="正文文本缩进 3 Char"/>
    <w:link w:val="37"/>
    <w:qFormat/>
    <w:uiPriority w:val="0"/>
    <w:rPr>
      <w:rFonts w:ascii="宋体" w:hAnsi="Calibri"/>
      <w:kern w:val="2"/>
      <w:sz w:val="24"/>
    </w:rPr>
  </w:style>
  <w:style w:type="character" w:customStyle="1" w:styleId="88">
    <w:name w:val="正文文本 2 Char"/>
    <w:link w:val="41"/>
    <w:qFormat/>
    <w:uiPriority w:val="0"/>
    <w:rPr>
      <w:rFonts w:ascii="Calibri" w:hAnsi="Calibri"/>
      <w:kern w:val="2"/>
      <w:sz w:val="30"/>
    </w:rPr>
  </w:style>
  <w:style w:type="character" w:customStyle="1" w:styleId="89">
    <w:name w:val="HTML 预设格式 Char"/>
    <w:link w:val="42"/>
    <w:qFormat/>
    <w:uiPriority w:val="0"/>
    <w:rPr>
      <w:rFonts w:ascii="宋体" w:hAnsi="宋体" w:cs="宋体"/>
      <w:sz w:val="24"/>
      <w:szCs w:val="24"/>
    </w:rPr>
  </w:style>
  <w:style w:type="character" w:customStyle="1" w:styleId="90">
    <w:name w:val="普通(网站) Char"/>
    <w:link w:val="43"/>
    <w:qFormat/>
    <w:locked/>
    <w:uiPriority w:val="0"/>
    <w:rPr>
      <w:rFonts w:ascii="宋体" w:hAnsi="宋体" w:eastAsia="宋体"/>
      <w:sz w:val="24"/>
    </w:rPr>
  </w:style>
  <w:style w:type="character" w:customStyle="1" w:styleId="91">
    <w:name w:val="标题 Char"/>
    <w:link w:val="44"/>
    <w:qFormat/>
    <w:uiPriority w:val="0"/>
    <w:rPr>
      <w:rFonts w:ascii="Arial" w:hAnsi="Arial" w:cs="Arial"/>
      <w:b/>
      <w:bCs/>
      <w:kern w:val="2"/>
      <w:sz w:val="32"/>
      <w:szCs w:val="32"/>
    </w:rPr>
  </w:style>
  <w:style w:type="character" w:customStyle="1" w:styleId="92">
    <w:name w:val="批注主题 Char"/>
    <w:link w:val="45"/>
    <w:qFormat/>
    <w:locked/>
    <w:uiPriority w:val="0"/>
    <w:rPr>
      <w:rFonts w:ascii="Times New Roman" w:hAnsi="Times New Roman" w:eastAsia="宋体"/>
      <w:b/>
      <w:kern w:val="2"/>
      <w:sz w:val="24"/>
    </w:rPr>
  </w:style>
  <w:style w:type="character" w:customStyle="1" w:styleId="93">
    <w:name w:val="正文首行缩进 2 Char"/>
    <w:link w:val="47"/>
    <w:qFormat/>
    <w:uiPriority w:val="0"/>
    <w:rPr>
      <w:rFonts w:ascii="Times New Roman" w:hAnsi="Times New Roman" w:eastAsia="宋体"/>
      <w:kern w:val="2"/>
      <w:sz w:val="24"/>
    </w:rPr>
  </w:style>
  <w:style w:type="paragraph" w:customStyle="1" w:styleId="94">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95">
    <w:name w:val="样式 正文文本缩进 + 行距: 1.5 倍行距"/>
    <w:basedOn w:val="18"/>
    <w:qFormat/>
    <w:uiPriority w:val="0"/>
    <w:pPr>
      <w:spacing w:line="360" w:lineRule="auto"/>
      <w:ind w:firstLine="560"/>
    </w:pPr>
    <w:rPr>
      <w:rFonts w:cs="宋体"/>
      <w:sz w:val="28"/>
    </w:rPr>
  </w:style>
  <w:style w:type="paragraph" w:customStyle="1" w:styleId="96">
    <w:name w:val="A-表格文字"/>
    <w:basedOn w:val="1"/>
    <w:next w:val="1"/>
    <w:qFormat/>
    <w:uiPriority w:val="0"/>
    <w:pPr>
      <w:autoSpaceDE w:val="0"/>
      <w:autoSpaceDN w:val="0"/>
      <w:adjustRightInd w:val="0"/>
      <w:jc w:val="center"/>
      <w:textAlignment w:val="center"/>
    </w:pPr>
    <w:rPr>
      <w:rFonts w:ascii="Times New Roman" w:hAnsi="Times New Roman"/>
      <w:kern w:val="0"/>
      <w:szCs w:val="21"/>
    </w:rPr>
  </w:style>
  <w:style w:type="paragraph" w:customStyle="1" w:styleId="97">
    <w:name w:val="表头"/>
    <w:basedOn w:val="3"/>
    <w:next w:val="1"/>
    <w:link w:val="98"/>
    <w:qFormat/>
    <w:uiPriority w:val="0"/>
    <w:pPr>
      <w:ind w:firstLine="0"/>
    </w:pPr>
    <w:rPr>
      <w:rFonts w:ascii="黑体" w:hAnsi="宋体" w:eastAsia="黑体"/>
      <w:position w:val="10"/>
      <w:sz w:val="21"/>
      <w:szCs w:val="28"/>
    </w:rPr>
  </w:style>
  <w:style w:type="character" w:customStyle="1" w:styleId="98">
    <w:name w:val="表头 Char2"/>
    <w:link w:val="97"/>
    <w:qFormat/>
    <w:locked/>
    <w:uiPriority w:val="0"/>
    <w:rPr>
      <w:rFonts w:ascii="黑体" w:hAnsi="宋体" w:eastAsia="黑体"/>
      <w:kern w:val="2"/>
      <w:position w:val="10"/>
      <w:sz w:val="21"/>
      <w:szCs w:val="28"/>
    </w:rPr>
  </w:style>
  <w:style w:type="paragraph" w:customStyle="1" w:styleId="99">
    <w:name w:val="表格-0.3"/>
    <w:qFormat/>
    <w:uiPriority w:val="0"/>
    <w:pPr>
      <w:adjustRightInd w:val="0"/>
      <w:snapToGrid w:val="0"/>
      <w:spacing w:line="240" w:lineRule="auto"/>
      <w:ind w:left="-72" w:leftChars="-30" w:right="-72" w:rightChars="-30" w:firstLine="0" w:firstLineChars="0"/>
      <w:jc w:val="center"/>
      <w:textAlignment w:val="baseline"/>
    </w:pPr>
    <w:rPr>
      <w:rFonts w:ascii="Times New Roman" w:hAnsi="Times New Roman" w:eastAsia="宋体" w:cs="Times New Roman"/>
      <w:color w:val="000000"/>
      <w:sz w:val="21"/>
      <w:szCs w:val="18"/>
    </w:rPr>
  </w:style>
  <w:style w:type="paragraph" w:customStyle="1" w:styleId="100">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101">
    <w:name w:val="纯文本1"/>
    <w:basedOn w:val="1"/>
    <w:qFormat/>
    <w:uiPriority w:val="0"/>
    <w:pPr>
      <w:widowControl/>
      <w:adjustRightInd w:val="0"/>
      <w:jc w:val="center"/>
      <w:textAlignment w:val="baseline"/>
    </w:pPr>
    <w:rPr>
      <w:rFonts w:ascii="宋体" w:hAnsi="Courier New" w:cs="宋体"/>
      <w:kern w:val="0"/>
      <w:sz w:val="24"/>
      <w:szCs w:val="24"/>
    </w:rPr>
  </w:style>
  <w:style w:type="paragraph" w:customStyle="1" w:styleId="102">
    <w:name w:val="样式 首行缩进:  2 字符1"/>
    <w:basedOn w:val="1"/>
    <w:qFormat/>
    <w:uiPriority w:val="0"/>
    <w:pPr>
      <w:adjustRightInd w:val="0"/>
      <w:snapToGrid w:val="0"/>
      <w:spacing w:line="360" w:lineRule="auto"/>
      <w:ind w:firstLine="480" w:firstLineChars="200"/>
    </w:pPr>
    <w:rPr>
      <w:rFonts w:cs="宋体"/>
      <w:sz w:val="24"/>
    </w:rPr>
  </w:style>
  <w:style w:type="paragraph" w:customStyle="1" w:styleId="103">
    <w:name w:val="表格内"/>
    <w:basedOn w:val="1"/>
    <w:qFormat/>
    <w:uiPriority w:val="0"/>
    <w:pPr>
      <w:adjustRightInd w:val="0"/>
      <w:snapToGrid w:val="0"/>
      <w:spacing w:line="360" w:lineRule="exact"/>
      <w:jc w:val="center"/>
    </w:pPr>
    <w:rPr>
      <w:rFonts w:eastAsia="Times New Roman"/>
      <w:snapToGrid w:val="0"/>
      <w:kern w:val="0"/>
      <w:sz w:val="21"/>
      <w:szCs w:val="21"/>
      <w:lang w:val="zh-CN" w:eastAsia="zh-CN"/>
    </w:rPr>
  </w:style>
  <w:style w:type="character" w:customStyle="1" w:styleId="104">
    <w:name w:val="页脚 字符"/>
    <w:qFormat/>
    <w:uiPriority w:val="99"/>
  </w:style>
  <w:style w:type="character" w:customStyle="1" w:styleId="105">
    <w:name w:val="正文文本 字符1"/>
    <w:semiHidden/>
    <w:qFormat/>
    <w:uiPriority w:val="0"/>
    <w:rPr>
      <w:rFonts w:ascii="Times New Roman" w:hAnsi="Times New Roman" w:eastAsia="宋体"/>
      <w:sz w:val="24"/>
    </w:rPr>
  </w:style>
  <w:style w:type="character" w:customStyle="1" w:styleId="106">
    <w:name w:val="表格 Char"/>
    <w:link w:val="107"/>
    <w:qFormat/>
    <w:locked/>
    <w:uiPriority w:val="0"/>
    <w:rPr>
      <w:rFonts w:ascii="宋体"/>
      <w:sz w:val="21"/>
    </w:rPr>
  </w:style>
  <w:style w:type="paragraph" w:customStyle="1" w:styleId="107">
    <w:name w:val="表格"/>
    <w:basedOn w:val="35"/>
    <w:next w:val="1"/>
    <w:link w:val="106"/>
    <w:qFormat/>
    <w:uiPriority w:val="0"/>
    <w:pPr>
      <w:adjustRightInd w:val="0"/>
      <w:snapToGrid w:val="0"/>
      <w:spacing w:beforeLines="10" w:afterLines="10" w:line="259" w:lineRule="auto"/>
      <w:jc w:val="center"/>
    </w:pPr>
    <w:rPr>
      <w:rFonts w:ascii="宋体"/>
      <w:kern w:val="0"/>
      <w:szCs w:val="20"/>
    </w:rPr>
  </w:style>
  <w:style w:type="character" w:customStyle="1" w:styleId="108">
    <w:name w:val="日期 字符"/>
    <w:semiHidden/>
    <w:qFormat/>
    <w:uiPriority w:val="0"/>
    <w:rPr>
      <w:rFonts w:ascii="Times New Roman" w:hAnsi="Times New Roman" w:eastAsia="宋体"/>
      <w:sz w:val="24"/>
    </w:rPr>
  </w:style>
  <w:style w:type="character" w:customStyle="1" w:styleId="109">
    <w:name w:val="批注文字 字符1"/>
    <w:semiHidden/>
    <w:qFormat/>
    <w:uiPriority w:val="0"/>
    <w:rPr>
      <w:rFonts w:ascii="Times New Roman" w:hAnsi="Times New Roman" w:eastAsia="宋体"/>
      <w:sz w:val="24"/>
    </w:rPr>
  </w:style>
  <w:style w:type="paragraph" w:customStyle="1" w:styleId="11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12">
    <w:name w:val="样式6"/>
    <w:basedOn w:val="1"/>
    <w:qFormat/>
    <w:uiPriority w:val="0"/>
    <w:pPr>
      <w:jc w:val="center"/>
    </w:pPr>
  </w:style>
  <w:style w:type="character" w:customStyle="1" w:styleId="113">
    <w:name w:val="fontstyle21"/>
    <w:qFormat/>
    <w:uiPriority w:val="0"/>
    <w:rPr>
      <w:rFonts w:hint="eastAsia" w:ascii="宋体" w:hAnsi="宋体" w:eastAsia="宋体"/>
      <w:color w:val="000000"/>
      <w:sz w:val="24"/>
      <w:szCs w:val="24"/>
    </w:rPr>
  </w:style>
  <w:style w:type="paragraph" w:customStyle="1" w:styleId="114">
    <w:name w:val="正文(首行缩进)"/>
    <w:basedOn w:val="1"/>
    <w:next w:val="5"/>
    <w:link w:val="116"/>
    <w:qFormat/>
    <w:uiPriority w:val="0"/>
    <w:pPr>
      <w:spacing w:line="360" w:lineRule="auto"/>
      <w:ind w:firstLine="540" w:firstLineChars="225"/>
    </w:pPr>
    <w:rPr>
      <w:snapToGrid w:val="0"/>
      <w:color w:val="000000"/>
      <w:kern w:val="0"/>
      <w:sz w:val="24"/>
      <w:lang w:val="zh-CN"/>
    </w:rPr>
  </w:style>
  <w:style w:type="character" w:customStyle="1" w:styleId="115">
    <w:name w:val="正文(首行缩进) Char"/>
    <w:link w:val="114"/>
    <w:qFormat/>
    <w:locked/>
    <w:uiPriority w:val="0"/>
    <w:rPr>
      <w:snapToGrid w:val="0"/>
      <w:color w:val="000000"/>
      <w:sz w:val="24"/>
      <w:szCs w:val="24"/>
    </w:rPr>
  </w:style>
  <w:style w:type="character" w:customStyle="1" w:styleId="116">
    <w:name w:val="正文(首行缩进) Char Char"/>
    <w:link w:val="114"/>
    <w:qFormat/>
    <w:uiPriority w:val="0"/>
    <w:rPr>
      <w:snapToGrid w:val="0"/>
      <w:color w:val="000000"/>
      <w:sz w:val="24"/>
      <w:szCs w:val="24"/>
      <w:lang w:val="zh-CN"/>
    </w:rPr>
  </w:style>
  <w:style w:type="paragraph" w:customStyle="1" w:styleId="117">
    <w:name w:val="Char"/>
    <w:qFormat/>
    <w:uiPriority w:val="0"/>
    <w:pPr>
      <w:widowControl w:val="0"/>
      <w:overflowPunct w:val="0"/>
      <w:snapToGrid w:val="0"/>
      <w:spacing w:line="360" w:lineRule="auto"/>
      <w:ind w:firstLine="480" w:firstLineChars="200"/>
    </w:pPr>
    <w:rPr>
      <w:rFonts w:ascii="仿宋_GB2312" w:hAnsi="宋体" w:eastAsia="仿宋_GB2312" w:cs="Times New Roman"/>
      <w:snapToGrid w:val="0"/>
      <w:sz w:val="24"/>
      <w:szCs w:val="24"/>
      <w:lang w:val="en-US" w:eastAsia="zh-CN" w:bidi="ar-SA"/>
    </w:rPr>
  </w:style>
  <w:style w:type="paragraph" w:customStyle="1" w:styleId="118">
    <w:name w:val="Table Paragraph"/>
    <w:basedOn w:val="1"/>
    <w:qFormat/>
    <w:uiPriority w:val="1"/>
    <w:pPr>
      <w:jc w:val="left"/>
    </w:pPr>
    <w:rPr>
      <w:rFonts w:ascii="Calibri" w:hAnsi="Calibri" w:eastAsia="宋体"/>
      <w:kern w:val="0"/>
      <w:sz w:val="22"/>
      <w:szCs w:val="22"/>
      <w:lang w:eastAsia="en-US"/>
    </w:rPr>
  </w:style>
  <w:style w:type="paragraph" w:customStyle="1" w:styleId="119">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120">
    <w:name w:val="样式 1正文段落 + 黑色1"/>
    <w:basedOn w:val="1"/>
    <w:qFormat/>
    <w:uiPriority w:val="0"/>
    <w:pPr>
      <w:widowControl/>
      <w:spacing w:before="100" w:beforeAutospacing="1" w:after="200" w:line="540" w:lineRule="exact"/>
      <w:ind w:firstLine="200" w:firstLineChars="200"/>
      <w:jc w:val="left"/>
    </w:pPr>
    <w:rPr>
      <w:rFonts w:ascii="宋体" w:hAnsi="宋体" w:eastAsia="华文中宋"/>
      <w:color w:val="000000"/>
      <w:spacing w:val="2"/>
      <w:kern w:val="0"/>
      <w:sz w:val="24"/>
    </w:rPr>
  </w:style>
  <w:style w:type="paragraph" w:customStyle="1" w:styleId="121">
    <w:name w:val="文本"/>
    <w:basedOn w:val="1"/>
    <w:qFormat/>
    <w:uiPriority w:val="0"/>
    <w:pPr>
      <w:adjustRightInd w:val="0"/>
      <w:snapToGrid w:val="0"/>
      <w:spacing w:line="440" w:lineRule="exact"/>
      <w:ind w:firstLine="480" w:firstLineChars="200"/>
    </w:pPr>
    <w:rPr>
      <w:rFonts w:ascii="宋体" w:hAnsi="宋体"/>
      <w:sz w:val="24"/>
    </w:rPr>
  </w:style>
  <w:style w:type="paragraph" w:customStyle="1" w:styleId="122">
    <w:name w:val="表格内文字"/>
    <w:basedOn w:val="1"/>
    <w:next w:val="1"/>
    <w:qFormat/>
    <w:uiPriority w:val="0"/>
    <w:pPr>
      <w:tabs>
        <w:tab w:val="left" w:pos="0"/>
      </w:tabs>
      <w:adjustRightInd w:val="0"/>
      <w:snapToGrid w:val="0"/>
      <w:jc w:val="center"/>
    </w:pPr>
    <w:rPr>
      <w:rFonts w:ascii="宋体" w:hAnsi="宋体"/>
      <w:szCs w:val="21"/>
    </w:rPr>
  </w:style>
  <w:style w:type="paragraph" w:customStyle="1" w:styleId="123">
    <w:name w:val="1正文段落"/>
    <w:basedOn w:val="1"/>
    <w:qFormat/>
    <w:uiPriority w:val="0"/>
    <w:pPr>
      <w:spacing w:line="360" w:lineRule="auto"/>
      <w:ind w:firstLine="480" w:firstLineChars="200"/>
      <w:jc w:val="left"/>
    </w:pPr>
    <w:rPr>
      <w:snapToGrid w:val="0"/>
      <w:kern w:val="0"/>
      <w:sz w:val="24"/>
    </w:rPr>
  </w:style>
  <w:style w:type="paragraph" w:customStyle="1" w:styleId="124">
    <w:name w:val="环正文"/>
    <w:basedOn w:val="1"/>
    <w:qFormat/>
    <w:uiPriority w:val="0"/>
    <w:pPr>
      <w:widowControl/>
      <w:tabs>
        <w:tab w:val="left" w:pos="5094"/>
      </w:tabs>
      <w:adjustRightInd w:val="0"/>
      <w:spacing w:line="312" w:lineRule="atLeast"/>
      <w:ind w:firstLine="637" w:firstLineChars="232"/>
      <w:textAlignment w:val="baseline"/>
    </w:pPr>
    <w:rPr>
      <w:rFonts w:ascii="宋体" w:hAnsi="宋体"/>
      <w:kern w:val="0"/>
      <w:sz w:val="24"/>
    </w:rPr>
  </w:style>
  <w:style w:type="paragraph" w:customStyle="1" w:styleId="125">
    <w:name w:val="表格内容"/>
    <w:basedOn w:val="1"/>
    <w:qFormat/>
    <w:uiPriority w:val="0"/>
    <w:pPr>
      <w:adjustRightInd w:val="0"/>
      <w:snapToGrid w:val="0"/>
      <w:spacing w:line="240" w:lineRule="auto"/>
      <w:ind w:left="-31" w:leftChars="-15" w:right="-31" w:rightChars="-15" w:firstLine="0" w:firstLineChars="0"/>
      <w:jc w:val="center"/>
      <w:textAlignment w:val="baseline"/>
    </w:pPr>
    <w:rPr>
      <w:rFonts w:ascii="Times New Roman" w:hAnsi="Times New Roman" w:eastAsia="宋体"/>
      <w:color w:val="000000"/>
      <w:sz w:val="21"/>
      <w:szCs w:val="18"/>
    </w:rPr>
  </w:style>
  <w:style w:type="character" w:customStyle="1" w:styleId="126">
    <w:name w:val="font21"/>
    <w:basedOn w:val="50"/>
    <w:qFormat/>
    <w:uiPriority w:val="0"/>
    <w:rPr>
      <w:rFonts w:hint="default" w:ascii="Times New Roman" w:hAnsi="Times New Roman" w:cs="Times New Roman"/>
      <w:color w:val="000000"/>
      <w:sz w:val="21"/>
      <w:szCs w:val="21"/>
      <w:u w:val="none"/>
      <w:vertAlign w:val="subscript"/>
    </w:rPr>
  </w:style>
  <w:style w:type="paragraph" w:customStyle="1" w:styleId="127">
    <w:name w:val=" Char Char Char Char Char Char Char Char Char Char Char Char Char Char Char Char Char"/>
    <w:basedOn w:val="1"/>
    <w:qFormat/>
    <w:uiPriority w:val="0"/>
    <w:rPr>
      <w:sz w:val="24"/>
    </w:rPr>
  </w:style>
  <w:style w:type="character" w:customStyle="1" w:styleId="128">
    <w:name w:val="3级标题 Char"/>
    <w:link w:val="129"/>
    <w:qFormat/>
    <w:uiPriority w:val="0"/>
    <w:rPr>
      <w:b/>
      <w:kern w:val="2"/>
      <w:sz w:val="24"/>
      <w:szCs w:val="32"/>
    </w:rPr>
  </w:style>
  <w:style w:type="paragraph" w:customStyle="1" w:styleId="129">
    <w:name w:val="3级标题"/>
    <w:basedOn w:val="6"/>
    <w:link w:val="128"/>
    <w:qFormat/>
    <w:uiPriority w:val="0"/>
    <w:pPr>
      <w:spacing w:before="0" w:after="0" w:line="360" w:lineRule="auto"/>
    </w:pPr>
    <w:rPr>
      <w:bCs w:val="0"/>
      <w:sz w:val="24"/>
    </w:rPr>
  </w:style>
  <w:style w:type="paragraph" w:styleId="130">
    <w:name w:val="No Spacing"/>
    <w:basedOn w:val="1"/>
    <w:link w:val="131"/>
    <w:qFormat/>
    <w:uiPriority w:val="0"/>
    <w:rPr>
      <w:szCs w:val="21"/>
    </w:rPr>
  </w:style>
  <w:style w:type="character" w:customStyle="1" w:styleId="131">
    <w:name w:val="无间隔 Char"/>
    <w:link w:val="130"/>
    <w:qFormat/>
    <w:uiPriority w:val="0"/>
    <w:rPr>
      <w:kern w:val="2"/>
      <w:sz w:val="21"/>
      <w:szCs w:val="21"/>
    </w:rPr>
  </w:style>
  <w:style w:type="character" w:customStyle="1" w:styleId="132">
    <w:name w:val="_Style 4"/>
    <w:qFormat/>
    <w:uiPriority w:val="0"/>
    <w:rPr>
      <w:b/>
      <w:smallCaps/>
      <w:spacing w:val="5"/>
    </w:rPr>
  </w:style>
  <w:style w:type="character" w:customStyle="1" w:styleId="133">
    <w:name w:val="报告书正文 Char Char"/>
    <w:link w:val="134"/>
    <w:qFormat/>
    <w:uiPriority w:val="0"/>
    <w:rPr>
      <w:rFonts w:ascii="Tahoma" w:hAnsi="Tahoma" w:cs="Tahoma"/>
      <w:sz w:val="24"/>
      <w:szCs w:val="24"/>
    </w:rPr>
  </w:style>
  <w:style w:type="paragraph" w:customStyle="1" w:styleId="134">
    <w:name w:val="报告书正文"/>
    <w:basedOn w:val="1"/>
    <w:link w:val="133"/>
    <w:qFormat/>
    <w:uiPriority w:val="0"/>
    <w:pPr>
      <w:overflowPunct w:val="0"/>
      <w:adjustRightInd w:val="0"/>
      <w:snapToGrid w:val="0"/>
      <w:spacing w:line="360" w:lineRule="auto"/>
      <w:ind w:firstLine="480" w:firstLineChars="200"/>
    </w:pPr>
    <w:rPr>
      <w:rFonts w:ascii="Tahoma" w:hAnsi="Tahoma"/>
      <w:kern w:val="0"/>
      <w:sz w:val="24"/>
    </w:rPr>
  </w:style>
  <w:style w:type="character" w:customStyle="1" w:styleId="135">
    <w:name w:val=" Char Char3"/>
    <w:qFormat/>
    <w:uiPriority w:val="0"/>
    <w:rPr>
      <w:rFonts w:eastAsia="宋体"/>
      <w:kern w:val="2"/>
      <w:sz w:val="24"/>
      <w:lang w:val="en-US" w:eastAsia="zh-CN" w:bidi="ar-SA"/>
    </w:rPr>
  </w:style>
  <w:style w:type="character" w:customStyle="1" w:styleId="136">
    <w:name w:val="ft161"/>
    <w:qFormat/>
    <w:uiPriority w:val="0"/>
    <w:rPr>
      <w:rFonts w:hint="default" w:ascii="Times" w:hAnsi="Times"/>
      <w:color w:val="000000"/>
      <w:spacing w:val="14"/>
      <w:sz w:val="24"/>
      <w:szCs w:val="24"/>
    </w:rPr>
  </w:style>
  <w:style w:type="character" w:customStyle="1" w:styleId="137">
    <w:name w:val="fontborder"/>
    <w:qFormat/>
    <w:uiPriority w:val="0"/>
    <w:rPr>
      <w:bdr w:val="single" w:color="000000" w:sz="6" w:space="0"/>
    </w:rPr>
  </w:style>
  <w:style w:type="character" w:customStyle="1" w:styleId="138">
    <w:name w:val="报告表正文 Char Char"/>
    <w:link w:val="139"/>
    <w:qFormat/>
    <w:uiPriority w:val="0"/>
    <w:rPr>
      <w:rFonts w:ascii="宋体" w:hAnsi="宋体"/>
      <w:color w:val="000000"/>
      <w:sz w:val="24"/>
    </w:rPr>
  </w:style>
  <w:style w:type="paragraph" w:customStyle="1" w:styleId="139">
    <w:name w:val="报告表正文"/>
    <w:basedOn w:val="1"/>
    <w:link w:val="138"/>
    <w:qFormat/>
    <w:uiPriority w:val="0"/>
    <w:pPr>
      <w:adjustRightInd w:val="0"/>
      <w:spacing w:line="312" w:lineRule="auto"/>
      <w:ind w:left="113" w:right="113" w:firstLine="482"/>
      <w:jc w:val="left"/>
      <w:textAlignment w:val="baseline"/>
    </w:pPr>
    <w:rPr>
      <w:rFonts w:ascii="宋体" w:hAnsi="宋体"/>
      <w:color w:val="000000"/>
      <w:kern w:val="0"/>
      <w:sz w:val="24"/>
      <w:szCs w:val="20"/>
    </w:rPr>
  </w:style>
  <w:style w:type="character" w:customStyle="1" w:styleId="140">
    <w:name w:val="textbig1"/>
    <w:qFormat/>
    <w:uiPriority w:val="0"/>
    <w:rPr>
      <w:sz w:val="18"/>
      <w:szCs w:val="18"/>
    </w:rPr>
  </w:style>
  <w:style w:type="character" w:customStyle="1" w:styleId="141">
    <w:name w:val="+正文 Char Char"/>
    <w:link w:val="142"/>
    <w:qFormat/>
    <w:uiPriority w:val="0"/>
    <w:rPr>
      <w:kern w:val="2"/>
      <w:sz w:val="28"/>
      <w:szCs w:val="28"/>
    </w:rPr>
  </w:style>
  <w:style w:type="paragraph" w:customStyle="1" w:styleId="142">
    <w:name w:val="+正文"/>
    <w:basedOn w:val="1"/>
    <w:link w:val="141"/>
    <w:qFormat/>
    <w:uiPriority w:val="0"/>
    <w:pPr>
      <w:spacing w:line="360" w:lineRule="auto"/>
      <w:ind w:firstLine="200" w:firstLineChars="200"/>
    </w:pPr>
    <w:rPr>
      <w:sz w:val="28"/>
      <w:szCs w:val="28"/>
    </w:rPr>
  </w:style>
  <w:style w:type="character" w:customStyle="1" w:styleId="143">
    <w:name w:val="正文样式2 Char Char"/>
    <w:link w:val="144"/>
    <w:qFormat/>
    <w:uiPriority w:val="0"/>
    <w:rPr>
      <w:kern w:val="2"/>
      <w:sz w:val="28"/>
    </w:rPr>
  </w:style>
  <w:style w:type="paragraph" w:customStyle="1" w:styleId="144">
    <w:name w:val="正文样式2"/>
    <w:basedOn w:val="1"/>
    <w:link w:val="143"/>
    <w:qFormat/>
    <w:uiPriority w:val="0"/>
    <w:pPr>
      <w:spacing w:line="560" w:lineRule="exact"/>
      <w:ind w:firstLine="601"/>
    </w:pPr>
    <w:rPr>
      <w:sz w:val="28"/>
      <w:szCs w:val="20"/>
    </w:rPr>
  </w:style>
  <w:style w:type="character" w:customStyle="1" w:styleId="145">
    <w:name w:val="ft141"/>
    <w:qFormat/>
    <w:uiPriority w:val="0"/>
    <w:rPr>
      <w:rFonts w:hint="default" w:ascii="Times" w:hAnsi="Times"/>
      <w:color w:val="000000"/>
      <w:spacing w:val="14"/>
      <w:sz w:val="24"/>
      <w:szCs w:val="24"/>
    </w:rPr>
  </w:style>
  <w:style w:type="character" w:customStyle="1" w:styleId="146">
    <w:name w:val="农贸市场正文 Char"/>
    <w:link w:val="147"/>
    <w:qFormat/>
    <w:uiPriority w:val="0"/>
    <w:rPr>
      <w:snapToGrid w:val="0"/>
      <w:color w:val="000000"/>
      <w:sz w:val="24"/>
      <w:szCs w:val="24"/>
    </w:rPr>
  </w:style>
  <w:style w:type="paragraph" w:customStyle="1" w:styleId="147">
    <w:name w:val="农贸市场正文"/>
    <w:basedOn w:val="148"/>
    <w:link w:val="146"/>
    <w:qFormat/>
    <w:uiPriority w:val="0"/>
    <w:pPr>
      <w:spacing w:before="0" w:beforeLines="0" w:after="0" w:afterLines="0"/>
      <w:ind w:firstLine="200" w:firstLineChars="200"/>
      <w:outlineLvl w:val="9"/>
    </w:pPr>
    <w:rPr>
      <w:rFonts w:ascii="Times New Roman" w:hAnsi="Times New Roman"/>
      <w:b w:val="0"/>
      <w:snapToGrid w:val="0"/>
      <w:color w:val="000000"/>
      <w:kern w:val="0"/>
      <w:sz w:val="24"/>
    </w:rPr>
  </w:style>
  <w:style w:type="paragraph" w:customStyle="1" w:styleId="148">
    <w:name w:val="农贸市场一级标题"/>
    <w:basedOn w:val="1"/>
    <w:qFormat/>
    <w:uiPriority w:val="0"/>
    <w:pPr>
      <w:spacing w:before="360" w:beforeLines="150" w:after="360" w:afterLines="150" w:line="360" w:lineRule="auto"/>
      <w:jc w:val="left"/>
      <w:outlineLvl w:val="0"/>
    </w:pPr>
    <w:rPr>
      <w:rFonts w:ascii="Calibri" w:hAnsi="Calibri"/>
      <w:b/>
      <w:sz w:val="32"/>
    </w:rPr>
  </w:style>
  <w:style w:type="character" w:customStyle="1" w:styleId="149">
    <w:name w:val="ft241"/>
    <w:qFormat/>
    <w:uiPriority w:val="0"/>
    <w:rPr>
      <w:rFonts w:hint="default" w:ascii="Times" w:hAnsi="Times"/>
      <w:color w:val="000000"/>
      <w:spacing w:val="14"/>
      <w:sz w:val="24"/>
      <w:szCs w:val="24"/>
    </w:rPr>
  </w:style>
  <w:style w:type="character" w:customStyle="1" w:styleId="150">
    <w:name w:val="ft310"/>
    <w:qFormat/>
    <w:uiPriority w:val="0"/>
    <w:rPr>
      <w:rFonts w:hint="default" w:ascii="Times" w:hAnsi="Times"/>
      <w:color w:val="000000"/>
      <w:spacing w:val="0"/>
      <w:sz w:val="24"/>
      <w:szCs w:val="24"/>
    </w:rPr>
  </w:style>
  <w:style w:type="character" w:customStyle="1" w:styleId="151">
    <w:name w:val="fontstrikethrough"/>
    <w:qFormat/>
    <w:uiPriority w:val="0"/>
    <w:rPr>
      <w:strike/>
    </w:rPr>
  </w:style>
  <w:style w:type="character" w:customStyle="1" w:styleId="152">
    <w:name w:val="正文 楷体 Char"/>
    <w:link w:val="153"/>
    <w:qFormat/>
    <w:uiPriority w:val="0"/>
    <w:rPr>
      <w:rFonts w:ascii="楷体_GB2312" w:hAnsi="楷体_GB2312" w:eastAsia="楷体_GB2312" w:cs="宋体"/>
      <w:sz w:val="24"/>
      <w:szCs w:val="24"/>
    </w:rPr>
  </w:style>
  <w:style w:type="paragraph" w:customStyle="1" w:styleId="153">
    <w:name w:val="正文 楷体"/>
    <w:basedOn w:val="1"/>
    <w:link w:val="152"/>
    <w:qFormat/>
    <w:uiPriority w:val="0"/>
    <w:pPr>
      <w:spacing w:line="500" w:lineRule="exact"/>
      <w:ind w:firstLine="200" w:firstLineChars="200"/>
    </w:pPr>
    <w:rPr>
      <w:rFonts w:ascii="楷体_GB2312" w:hAnsi="楷体_GB2312" w:eastAsia="楷体_GB2312"/>
      <w:kern w:val="0"/>
      <w:sz w:val="24"/>
    </w:rPr>
  </w:style>
  <w:style w:type="character" w:customStyle="1" w:styleId="154">
    <w:name w:val="apple-converted-space"/>
    <w:qFormat/>
    <w:uiPriority w:val="0"/>
  </w:style>
  <w:style w:type="character" w:customStyle="1" w:styleId="155">
    <w:name w:val="title"/>
    <w:qFormat/>
    <w:uiPriority w:val="0"/>
  </w:style>
  <w:style w:type="character" w:customStyle="1" w:styleId="156">
    <w:name w:val="ft510"/>
    <w:qFormat/>
    <w:uiPriority w:val="0"/>
    <w:rPr>
      <w:rFonts w:hint="default" w:ascii="Times" w:hAnsi="Times"/>
      <w:color w:val="000000"/>
      <w:spacing w:val="0"/>
      <w:sz w:val="20"/>
      <w:szCs w:val="20"/>
    </w:rPr>
  </w:style>
  <w:style w:type="character" w:customStyle="1" w:styleId="157">
    <w:name w:val="正文(首行缩进) Char1"/>
    <w:qFormat/>
    <w:uiPriority w:val="0"/>
    <w:rPr>
      <w:rFonts w:ascii="Calibri" w:hAnsi="Calibri" w:eastAsia="宋体"/>
      <w:snapToGrid w:val="0"/>
      <w:color w:val="000000"/>
      <w:kern w:val="2"/>
      <w:sz w:val="24"/>
      <w:szCs w:val="24"/>
      <w:lang w:val="en-US" w:eastAsia="zh-CN" w:bidi="ar-SA"/>
    </w:rPr>
  </w:style>
  <w:style w:type="character" w:customStyle="1" w:styleId="158">
    <w:name w:val="ft121"/>
    <w:qFormat/>
    <w:uiPriority w:val="0"/>
    <w:rPr>
      <w:rFonts w:hint="default" w:ascii="Times" w:hAnsi="Times"/>
      <w:color w:val="000000"/>
      <w:spacing w:val="26"/>
      <w:sz w:val="20"/>
      <w:szCs w:val="20"/>
    </w:rPr>
  </w:style>
  <w:style w:type="character" w:customStyle="1" w:styleId="159">
    <w:name w:val="ft131"/>
    <w:qFormat/>
    <w:uiPriority w:val="0"/>
    <w:rPr>
      <w:rFonts w:hint="default" w:ascii="Times" w:hAnsi="Times"/>
      <w:color w:val="000000"/>
      <w:spacing w:val="14"/>
      <w:sz w:val="24"/>
      <w:szCs w:val="24"/>
    </w:rPr>
  </w:style>
  <w:style w:type="character" w:customStyle="1" w:styleId="160">
    <w:name w:val="style31"/>
    <w:qFormat/>
    <w:uiPriority w:val="0"/>
    <w:rPr>
      <w:color w:val="387272"/>
    </w:rPr>
  </w:style>
  <w:style w:type="character" w:customStyle="1" w:styleId="161">
    <w:name w:val="grame"/>
    <w:qFormat/>
    <w:uiPriority w:val="0"/>
  </w:style>
  <w:style w:type="character" w:customStyle="1" w:styleId="162">
    <w:name w:val="缩进 Char Char"/>
    <w:link w:val="163"/>
    <w:qFormat/>
    <w:uiPriority w:val="0"/>
    <w:rPr>
      <w:kern w:val="2"/>
      <w:sz w:val="24"/>
      <w:szCs w:val="24"/>
    </w:rPr>
  </w:style>
  <w:style w:type="paragraph" w:customStyle="1" w:styleId="163">
    <w:name w:val="缩进"/>
    <w:basedOn w:val="1"/>
    <w:link w:val="162"/>
    <w:qFormat/>
    <w:uiPriority w:val="0"/>
    <w:pPr>
      <w:spacing w:line="360" w:lineRule="auto"/>
      <w:ind w:firstLine="200" w:firstLineChars="200"/>
    </w:pPr>
    <w:rPr>
      <w:sz w:val="24"/>
    </w:rPr>
  </w:style>
  <w:style w:type="character" w:customStyle="1" w:styleId="164">
    <w:name w:val="副标题 Char1"/>
    <w:qFormat/>
    <w:uiPriority w:val="0"/>
    <w:rPr>
      <w:rFonts w:ascii="Cambria" w:hAnsi="Cambria" w:cs="Times New Roman"/>
      <w:b/>
      <w:bCs/>
      <w:kern w:val="28"/>
      <w:sz w:val="32"/>
      <w:szCs w:val="32"/>
    </w:rPr>
  </w:style>
  <w:style w:type="character" w:customStyle="1" w:styleId="165">
    <w:name w:val="ft91"/>
    <w:qFormat/>
    <w:uiPriority w:val="0"/>
    <w:rPr>
      <w:rFonts w:hint="default" w:ascii="Times" w:hAnsi="Times"/>
      <w:color w:val="000000"/>
      <w:spacing w:val="14"/>
      <w:sz w:val="24"/>
      <w:szCs w:val="24"/>
    </w:rPr>
  </w:style>
  <w:style w:type="character" w:customStyle="1" w:styleId="166">
    <w:name w:val="ft231"/>
    <w:qFormat/>
    <w:uiPriority w:val="0"/>
    <w:rPr>
      <w:rFonts w:hint="default" w:ascii="Times" w:hAnsi="Times"/>
      <w:color w:val="000000"/>
      <w:spacing w:val="14"/>
      <w:sz w:val="24"/>
      <w:szCs w:val="24"/>
    </w:rPr>
  </w:style>
  <w:style w:type="character" w:customStyle="1" w:styleId="167">
    <w:name w:val="14fz1"/>
    <w:qFormat/>
    <w:uiPriority w:val="0"/>
    <w:rPr>
      <w:rFonts w:hint="default" w:ascii="_x000B__x000C_" w:hAnsi="_x000B__x000C_"/>
      <w:color w:val="000000"/>
      <w:sz w:val="32"/>
      <w:szCs w:val="32"/>
    </w:rPr>
  </w:style>
  <w:style w:type="character" w:customStyle="1" w:styleId="168">
    <w:name w:val="样式4 Char Char"/>
    <w:link w:val="169"/>
    <w:qFormat/>
    <w:uiPriority w:val="0"/>
    <w:rPr>
      <w:kern w:val="2"/>
      <w:sz w:val="21"/>
    </w:rPr>
  </w:style>
  <w:style w:type="paragraph" w:customStyle="1" w:styleId="169">
    <w:name w:val="样式4"/>
    <w:basedOn w:val="1"/>
    <w:link w:val="168"/>
    <w:qFormat/>
    <w:uiPriority w:val="0"/>
    <w:pPr>
      <w:tabs>
        <w:tab w:val="left" w:pos="9128"/>
      </w:tabs>
      <w:adjustRightInd w:val="0"/>
      <w:snapToGrid w:val="0"/>
      <w:spacing w:line="500" w:lineRule="exact"/>
      <w:jc w:val="center"/>
    </w:pPr>
    <w:rPr>
      <w:szCs w:val="20"/>
    </w:rPr>
  </w:style>
  <w:style w:type="character" w:customStyle="1" w:styleId="170">
    <w:name w:val="正文首行缩进 2 Char1"/>
    <w:qFormat/>
    <w:uiPriority w:val="0"/>
    <w:rPr>
      <w:rFonts w:ascii="Times New Roman" w:hAnsi="Times New Roman" w:eastAsia="宋体"/>
      <w:kern w:val="2"/>
      <w:sz w:val="21"/>
      <w:szCs w:val="24"/>
    </w:rPr>
  </w:style>
  <w:style w:type="character" w:customStyle="1" w:styleId="171">
    <w:name w:val="ft151"/>
    <w:qFormat/>
    <w:uiPriority w:val="0"/>
    <w:rPr>
      <w:rFonts w:hint="default" w:ascii="Times" w:hAnsi="Times"/>
      <w:color w:val="000000"/>
      <w:spacing w:val="26"/>
      <w:sz w:val="20"/>
      <w:szCs w:val="20"/>
    </w:rPr>
  </w:style>
  <w:style w:type="character" w:customStyle="1" w:styleId="172">
    <w:name w:val="文字缩进 Char"/>
    <w:qFormat/>
    <w:uiPriority w:val="0"/>
    <w:rPr>
      <w:rFonts w:ascii="宋体" w:hAnsi="Courier New" w:eastAsia="宋体" w:cs="Courier New"/>
      <w:kern w:val="2"/>
      <w:sz w:val="21"/>
      <w:szCs w:val="21"/>
      <w:lang w:val="en-US" w:eastAsia="zh-CN" w:bidi="ar-SA"/>
    </w:rPr>
  </w:style>
  <w:style w:type="paragraph" w:customStyle="1" w:styleId="173">
    <w:name w:val=" Char Char Char Char Char Char Char Char Char Char Char Char Char Char Char Char"/>
    <w:basedOn w:val="1"/>
    <w:qFormat/>
    <w:uiPriority w:val="0"/>
    <w:rPr>
      <w:rFonts w:ascii="Calibri" w:hAnsi="Calibri"/>
    </w:rPr>
  </w:style>
  <w:style w:type="paragraph" w:customStyle="1" w:styleId="174">
    <w:name w:val=" Char Char Char Char Char Char Char Char Char Char Char Char Char"/>
    <w:basedOn w:val="1"/>
    <w:next w:val="1"/>
    <w:qFormat/>
    <w:uiPriority w:val="0"/>
    <w:pPr>
      <w:spacing w:line="360" w:lineRule="auto"/>
      <w:ind w:firstLine="200" w:firstLineChars="200"/>
    </w:pPr>
    <w:rPr>
      <w:rFonts w:ascii="宋体" w:hAnsi="宋体" w:cs="宋体"/>
      <w:sz w:val="24"/>
    </w:rPr>
  </w:style>
  <w:style w:type="paragraph" w:customStyle="1" w:styleId="175">
    <w:name w:val="1"/>
    <w:basedOn w:val="1"/>
    <w:next w:val="43"/>
    <w:qFormat/>
    <w:uiPriority w:val="0"/>
    <w:pPr>
      <w:widowControl/>
      <w:spacing w:before="100" w:beforeAutospacing="1" w:after="100" w:afterAutospacing="1"/>
      <w:jc w:val="left"/>
    </w:pPr>
    <w:rPr>
      <w:rFonts w:ascii="Arial Unicode MS" w:hAnsi="Arial Unicode MS" w:eastAsia="Arial Unicode MS" w:cs="Arial Unicode MS"/>
      <w:kern w:val="0"/>
      <w:szCs w:val="21"/>
    </w:rPr>
  </w:style>
  <w:style w:type="paragraph" w:customStyle="1" w:styleId="176">
    <w:name w:val="样式 正文文本缩进 + 首行缩进:  1 字符 行距: 固定值 26 磅"/>
    <w:basedOn w:val="1"/>
    <w:qFormat/>
    <w:uiPriority w:val="0"/>
    <w:pPr>
      <w:spacing w:before="50" w:line="360" w:lineRule="auto"/>
      <w:ind w:firstLine="561"/>
      <w:jc w:val="left"/>
    </w:pPr>
    <w:rPr>
      <w:rFonts w:ascii="Calibri" w:hAnsi="Calibri"/>
      <w:sz w:val="24"/>
      <w:szCs w:val="20"/>
    </w:rPr>
  </w:style>
  <w:style w:type="paragraph" w:customStyle="1" w:styleId="177">
    <w:name w:val="默认段落字体 Para Char"/>
    <w:basedOn w:val="1"/>
    <w:next w:val="1"/>
    <w:qFormat/>
    <w:uiPriority w:val="0"/>
    <w:pPr>
      <w:spacing w:line="360" w:lineRule="auto"/>
      <w:ind w:firstLine="200" w:firstLineChars="200"/>
    </w:pPr>
    <w:rPr>
      <w:rFonts w:ascii="宋体" w:hAnsi="宋体" w:cs="宋体"/>
      <w:sz w:val="24"/>
    </w:rPr>
  </w:style>
  <w:style w:type="paragraph" w:customStyle="1" w:styleId="178">
    <w:name w:val="居中正文"/>
    <w:basedOn w:val="46"/>
    <w:qFormat/>
    <w:uiPriority w:val="0"/>
    <w:pPr>
      <w:adjustRightInd w:val="0"/>
      <w:spacing w:before="120" w:after="0" w:line="360" w:lineRule="auto"/>
      <w:ind w:firstLine="0" w:firstLineChars="0"/>
      <w:textAlignment w:val="baseline"/>
    </w:pPr>
    <w:rPr>
      <w:rFonts w:ascii="宋体"/>
      <w:kern w:val="28"/>
      <w:sz w:val="24"/>
    </w:rPr>
  </w:style>
  <w:style w:type="paragraph" w:customStyle="1" w:styleId="179">
    <w:name w:val=" Char Char Char Char Char Char"/>
    <w:basedOn w:val="1"/>
    <w:qFormat/>
    <w:uiPriority w:val="0"/>
    <w:rPr>
      <w:rFonts w:ascii="Calibri" w:hAnsi="Calibri"/>
      <w:sz w:val="24"/>
    </w:rPr>
  </w:style>
  <w:style w:type="paragraph" w:customStyle="1" w:styleId="180">
    <w:name w:val="我"/>
    <w:basedOn w:val="1"/>
    <w:qFormat/>
    <w:uiPriority w:val="0"/>
    <w:pPr>
      <w:spacing w:line="360" w:lineRule="auto"/>
      <w:ind w:firstLine="640" w:firstLineChars="200"/>
    </w:pPr>
    <w:rPr>
      <w:kern w:val="0"/>
      <w:sz w:val="24"/>
      <w:szCs w:val="20"/>
    </w:rPr>
  </w:style>
  <w:style w:type="paragraph" w:customStyle="1" w:styleId="181">
    <w:name w:val="Char Char Char Char Char Char Char Char Char"/>
    <w:qFormat/>
    <w:uiPriority w:val="0"/>
    <w:pPr>
      <w:jc w:val="center"/>
    </w:pPr>
    <w:rPr>
      <w:rFonts w:ascii="Times New Roman" w:hAnsi="Times New Roman" w:eastAsia="宋体" w:cs="Times New Roman"/>
      <w:sz w:val="18"/>
      <w:szCs w:val="18"/>
      <w:lang w:val="en-US" w:eastAsia="zh-CN" w:bidi="ar-SA"/>
    </w:rPr>
  </w:style>
  <w:style w:type="paragraph" w:customStyle="1" w:styleId="182">
    <w:name w:val="标题2。"/>
    <w:basedOn w:val="5"/>
    <w:qFormat/>
    <w:uiPriority w:val="0"/>
    <w:pPr>
      <w:autoSpaceDE w:val="0"/>
      <w:autoSpaceDN w:val="0"/>
      <w:spacing w:before="0" w:after="0" w:line="360" w:lineRule="auto"/>
      <w:ind w:firstLine="200" w:firstLineChars="200"/>
      <w:jc w:val="left"/>
      <w:textAlignment w:val="baseline"/>
    </w:pPr>
    <w:rPr>
      <w:rFonts w:ascii="Times New Roman" w:hAnsi="Times New Roman" w:eastAsia="宋体"/>
      <w:kern w:val="0"/>
      <w:szCs w:val="28"/>
    </w:rPr>
  </w:style>
  <w:style w:type="paragraph" w:customStyle="1" w:styleId="183">
    <w:name w:val=" Char Char Char Char"/>
    <w:basedOn w:val="1"/>
    <w:qFormat/>
    <w:uiPriority w:val="0"/>
    <w:rPr>
      <w:rFonts w:ascii="Calibri" w:hAnsi="Calibri"/>
    </w:rPr>
  </w:style>
  <w:style w:type="paragraph" w:customStyle="1" w:styleId="184">
    <w:name w:val="h"/>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85">
    <w:name w:val="p17"/>
    <w:basedOn w:val="1"/>
    <w:qFormat/>
    <w:uiPriority w:val="0"/>
    <w:pPr>
      <w:widowControl/>
      <w:ind w:firstLine="480"/>
    </w:pPr>
    <w:rPr>
      <w:rFonts w:ascii="Calibri" w:hAnsi="Calibri"/>
      <w:kern w:val="0"/>
      <w:sz w:val="24"/>
    </w:rPr>
  </w:style>
  <w:style w:type="paragraph" w:customStyle="1" w:styleId="186">
    <w:name w:val="2标题"/>
    <w:basedOn w:val="1"/>
    <w:qFormat/>
    <w:uiPriority w:val="0"/>
    <w:rPr>
      <w:rFonts w:ascii="Calibri" w:hAnsi="宋体"/>
      <w:b/>
      <w:color w:val="000000"/>
      <w:sz w:val="28"/>
      <w:szCs w:val="20"/>
      <w:lang w:val="zh-CN"/>
    </w:rPr>
  </w:style>
  <w:style w:type="paragraph" w:customStyle="1" w:styleId="187">
    <w:name w:val="p15"/>
    <w:basedOn w:val="1"/>
    <w:qFormat/>
    <w:uiPriority w:val="0"/>
    <w:pPr>
      <w:widowControl/>
    </w:pPr>
    <w:rPr>
      <w:rFonts w:ascii="仿宋_GB2312" w:hAnsi="宋体" w:eastAsia="仿宋_GB2312" w:cs="宋体"/>
      <w:kern w:val="0"/>
      <w:sz w:val="28"/>
      <w:szCs w:val="28"/>
    </w:rPr>
  </w:style>
  <w:style w:type="paragraph" w:customStyle="1" w:styleId="188">
    <w:name w:val="农贸市场三级标题"/>
    <w:basedOn w:val="147"/>
    <w:qFormat/>
    <w:uiPriority w:val="0"/>
    <w:pPr>
      <w:spacing w:before="120" w:beforeLines="50" w:after="120" w:afterLines="50"/>
      <w:ind w:firstLine="0" w:firstLineChars="0"/>
      <w:outlineLvl w:val="2"/>
    </w:pPr>
    <w:rPr>
      <w:b/>
      <w:sz w:val="28"/>
    </w:rPr>
  </w:style>
  <w:style w:type="paragraph" w:customStyle="1" w:styleId="189">
    <w:name w:val="样式13"/>
    <w:basedOn w:val="1"/>
    <w:qFormat/>
    <w:uiPriority w:val="0"/>
    <w:pPr>
      <w:spacing w:line="360" w:lineRule="auto"/>
      <w:ind w:firstLine="480" w:firstLineChars="200"/>
    </w:pPr>
    <w:rPr>
      <w:rFonts w:ascii="Arial" w:hAnsi="Arial" w:cs="Arial"/>
      <w:sz w:val="24"/>
    </w:rPr>
  </w:style>
  <w:style w:type="paragraph" w:customStyle="1" w:styleId="190">
    <w:name w:val="p18"/>
    <w:basedOn w:val="1"/>
    <w:qFormat/>
    <w:uiPriority w:val="0"/>
    <w:pPr>
      <w:widowControl/>
      <w:jc w:val="left"/>
    </w:pPr>
    <w:rPr>
      <w:rFonts w:ascii="Calibri" w:hAnsi="Calibri"/>
      <w:kern w:val="0"/>
      <w:sz w:val="28"/>
      <w:szCs w:val="28"/>
    </w:rPr>
  </w:style>
  <w:style w:type="paragraph" w:customStyle="1" w:styleId="191">
    <w:name w:val="样式 标题 4H-4Map TitleMap Title1Map Title2Map Title3Map Title..."/>
    <w:basedOn w:val="7"/>
    <w:qFormat/>
    <w:uiPriority w:val="0"/>
    <w:pPr>
      <w:keepLines/>
      <w:tabs>
        <w:tab w:val="left" w:pos="360"/>
      </w:tabs>
      <w:overflowPunct w:val="0"/>
      <w:adjustRightInd w:val="0"/>
      <w:spacing w:before="100" w:after="100" w:line="360" w:lineRule="auto"/>
      <w:textAlignment w:val="baseline"/>
    </w:pPr>
    <w:rPr>
      <w:rFonts w:ascii="黑体" w:eastAsia="黑体" w:cs="宋体"/>
      <w:kern w:val="0"/>
      <w:sz w:val="32"/>
      <w:szCs w:val="32"/>
    </w:rPr>
  </w:style>
  <w:style w:type="paragraph" w:customStyle="1" w:styleId="192">
    <w:name w:val="表文"/>
    <w:basedOn w:val="1"/>
    <w:qFormat/>
    <w:uiPriority w:val="0"/>
    <w:pPr>
      <w:tabs>
        <w:tab w:val="left" w:pos="1021"/>
      </w:tabs>
      <w:spacing w:line="300" w:lineRule="auto"/>
      <w:jc w:val="center"/>
    </w:pPr>
    <w:rPr>
      <w:rFonts w:ascii="Calibri" w:hAnsi="Calibri"/>
      <w:kern w:val="0"/>
      <w:position w:val="-24"/>
      <w:sz w:val="24"/>
      <w:szCs w:val="21"/>
    </w:rPr>
  </w:style>
  <w:style w:type="paragraph" w:styleId="193">
    <w:name w:val="List Paragraph"/>
    <w:basedOn w:val="1"/>
    <w:qFormat/>
    <w:uiPriority w:val="34"/>
    <w:pPr>
      <w:ind w:firstLine="420"/>
    </w:pPr>
    <w:rPr>
      <w:rFonts w:ascii="Calibri" w:hAnsi="Calibri"/>
      <w:szCs w:val="22"/>
    </w:rPr>
  </w:style>
  <w:style w:type="paragraph" w:customStyle="1" w:styleId="194">
    <w:name w:val="正文文字缩进2字符"/>
    <w:basedOn w:val="1"/>
    <w:next w:val="18"/>
    <w:qFormat/>
    <w:uiPriority w:val="0"/>
    <w:pPr>
      <w:tabs>
        <w:tab w:val="left" w:pos="360"/>
        <w:tab w:val="center" w:pos="630"/>
      </w:tabs>
      <w:spacing w:line="480" w:lineRule="exact"/>
      <w:ind w:firstLine="567"/>
    </w:pPr>
    <w:rPr>
      <w:rFonts w:ascii="宋体" w:hAnsi="Calibri"/>
      <w:spacing w:val="6"/>
      <w:sz w:val="28"/>
      <w:szCs w:val="20"/>
    </w:rPr>
  </w:style>
  <w:style w:type="paragraph" w:customStyle="1" w:styleId="195">
    <w:name w:val="表格标题"/>
    <w:basedOn w:val="1"/>
    <w:link w:val="196"/>
    <w:qFormat/>
    <w:uiPriority w:val="0"/>
    <w:pPr>
      <w:spacing w:before="120"/>
      <w:jc w:val="center"/>
    </w:pPr>
    <w:rPr>
      <w:rFonts w:ascii="Calibri" w:hAnsi="Calibri" w:eastAsia="仿宋_GB2312"/>
      <w:sz w:val="24"/>
      <w:szCs w:val="20"/>
    </w:rPr>
  </w:style>
  <w:style w:type="character" w:customStyle="1" w:styleId="196">
    <w:name w:val="表格标题 Char Char"/>
    <w:link w:val="195"/>
    <w:qFormat/>
    <w:locked/>
    <w:uiPriority w:val="0"/>
    <w:rPr>
      <w:rFonts w:ascii="Calibri" w:hAnsi="Calibri" w:eastAsia="仿宋_GB2312"/>
      <w:kern w:val="2"/>
      <w:sz w:val="24"/>
    </w:rPr>
  </w:style>
  <w:style w:type="paragraph" w:customStyle="1" w:styleId="197">
    <w:name w:val="zhang正文"/>
    <w:basedOn w:val="18"/>
    <w:qFormat/>
    <w:uiPriority w:val="0"/>
    <w:pPr>
      <w:autoSpaceDE w:val="0"/>
      <w:autoSpaceDN w:val="0"/>
      <w:adjustRightInd w:val="0"/>
      <w:snapToGrid w:val="0"/>
      <w:spacing w:after="0" w:line="500" w:lineRule="exact"/>
      <w:ind w:left="0" w:leftChars="0" w:firstLine="539"/>
      <w:textAlignment w:val="baseline"/>
    </w:pPr>
    <w:rPr>
      <w:rFonts w:ascii="Calibri" w:hAnsi="Calibri" w:eastAsia="楷体_GB2312"/>
      <w:sz w:val="28"/>
    </w:rPr>
  </w:style>
  <w:style w:type="paragraph" w:customStyle="1" w:styleId="198">
    <w:name w:val="3标题"/>
    <w:basedOn w:val="1"/>
    <w:qFormat/>
    <w:uiPriority w:val="0"/>
    <w:pPr>
      <w:kinsoku w:val="0"/>
      <w:overflowPunct w:val="0"/>
      <w:autoSpaceDE w:val="0"/>
      <w:autoSpaceDN w:val="0"/>
    </w:pPr>
    <w:rPr>
      <w:rFonts w:ascii="Calibri" w:hAnsi="宋体"/>
      <w:b/>
      <w:szCs w:val="20"/>
      <w:lang w:val="zh-CN"/>
    </w:rPr>
  </w:style>
  <w:style w:type="paragraph" w:customStyle="1" w:styleId="199">
    <w:name w:val="p16"/>
    <w:basedOn w:val="1"/>
    <w:qFormat/>
    <w:uiPriority w:val="0"/>
    <w:pPr>
      <w:widowControl/>
    </w:pPr>
    <w:rPr>
      <w:rFonts w:ascii="Calibri" w:hAnsi="Calibri"/>
      <w:kern w:val="0"/>
      <w:sz w:val="24"/>
    </w:rPr>
  </w:style>
  <w:style w:type="paragraph" w:customStyle="1" w:styleId="200">
    <w:name w:val="新正文样式"/>
    <w:basedOn w:val="1"/>
    <w:qFormat/>
    <w:uiPriority w:val="0"/>
    <w:pPr>
      <w:tabs>
        <w:tab w:val="left" w:pos="567"/>
      </w:tabs>
      <w:spacing w:line="360" w:lineRule="auto"/>
      <w:ind w:firstLine="567"/>
    </w:pPr>
    <w:rPr>
      <w:rFonts w:ascii="Calibri" w:hAnsi="Calibri"/>
      <w:spacing w:val="20"/>
      <w:sz w:val="24"/>
      <w:szCs w:val="20"/>
    </w:rPr>
  </w:style>
  <w:style w:type="paragraph" w:customStyle="1" w:styleId="201">
    <w:name w:val=" Char Char Char"/>
    <w:basedOn w:val="12"/>
    <w:qFormat/>
    <w:uiPriority w:val="0"/>
    <w:pPr>
      <w:adjustRightInd w:val="0"/>
      <w:snapToGrid w:val="0"/>
      <w:spacing w:line="360" w:lineRule="auto"/>
      <w:ind w:firstLine="200" w:firstLineChars="200"/>
    </w:pPr>
    <w:rPr>
      <w:rFonts w:ascii="Calibri" w:hAnsi="Calibri"/>
      <w:sz w:val="30"/>
      <w:shd w:val="clear" w:color="auto" w:fill="000080"/>
    </w:rPr>
  </w:style>
  <w:style w:type="paragraph" w:customStyle="1" w:styleId="202">
    <w:name w:val="文本表格"/>
    <w:basedOn w:val="1"/>
    <w:qFormat/>
    <w:uiPriority w:val="0"/>
    <w:pPr>
      <w:tabs>
        <w:tab w:val="center" w:pos="4153"/>
        <w:tab w:val="right" w:pos="8306"/>
      </w:tabs>
      <w:spacing w:line="320" w:lineRule="exact"/>
      <w:jc w:val="center"/>
      <w:textAlignment w:val="baseline"/>
    </w:pPr>
    <w:rPr>
      <w:rFonts w:ascii="Calibri" w:hAnsi="Calibri"/>
      <w:color w:val="000000"/>
      <w:kern w:val="0"/>
      <w:szCs w:val="21"/>
      <w:lang w:val="zh-CN"/>
    </w:rPr>
  </w:style>
  <w:style w:type="paragraph" w:customStyle="1" w:styleId="203">
    <w:name w:val="样式 左侧:  0.99 厘米"/>
    <w:basedOn w:val="1"/>
    <w:qFormat/>
    <w:uiPriority w:val="0"/>
    <w:pPr>
      <w:spacing w:line="600" w:lineRule="atLeast"/>
      <w:jc w:val="left"/>
    </w:pPr>
    <w:rPr>
      <w:rFonts w:ascii="Calibri" w:hAnsi="Calibri"/>
      <w:sz w:val="28"/>
      <w:szCs w:val="20"/>
    </w:rPr>
  </w:style>
  <w:style w:type="paragraph" w:customStyle="1" w:styleId="204">
    <w:name w:val="表格式"/>
    <w:basedOn w:val="35"/>
    <w:qFormat/>
    <w:uiPriority w:val="0"/>
    <w:pPr>
      <w:spacing w:line="400" w:lineRule="exact"/>
      <w:ind w:left="0" w:firstLine="0" w:firstLineChars="0"/>
      <w:jc w:val="center"/>
    </w:pPr>
    <w:rPr>
      <w:rFonts w:ascii="宋体" w:hAnsi="Calibri"/>
      <w:szCs w:val="20"/>
    </w:rPr>
  </w:style>
  <w:style w:type="paragraph" w:customStyle="1" w:styleId="205">
    <w:name w:val="15"/>
    <w:basedOn w:val="1"/>
    <w:next w:val="1"/>
    <w:qFormat/>
    <w:uiPriority w:val="0"/>
    <w:pPr>
      <w:spacing w:after="120"/>
      <w:ind w:left="420" w:leftChars="200"/>
    </w:pPr>
    <w:rPr>
      <w:rFonts w:ascii="Calibri" w:hAnsi="Calibri"/>
      <w:sz w:val="16"/>
      <w:szCs w:val="16"/>
    </w:rPr>
  </w:style>
  <w:style w:type="paragraph" w:customStyle="1" w:styleId="206">
    <w:name w:val="p0"/>
    <w:basedOn w:val="1"/>
    <w:qFormat/>
    <w:uiPriority w:val="0"/>
    <w:pPr>
      <w:widowControl/>
    </w:pPr>
    <w:rPr>
      <w:rFonts w:ascii="Calibri" w:hAnsi="Calibri"/>
      <w:kern w:val="0"/>
      <w:szCs w:val="21"/>
    </w:rPr>
  </w:style>
  <w:style w:type="paragraph" w:customStyle="1" w:styleId="207">
    <w:name w:val="【正文】"/>
    <w:basedOn w:val="1"/>
    <w:qFormat/>
    <w:uiPriority w:val="0"/>
    <w:pPr>
      <w:spacing w:line="440" w:lineRule="exact"/>
      <w:ind w:firstLine="544"/>
    </w:pPr>
    <w:rPr>
      <w:rFonts w:ascii="Calibri" w:hAnsi="Calibri" w:cs="宋体"/>
      <w:szCs w:val="20"/>
    </w:rPr>
  </w:style>
  <w:style w:type="paragraph" w:customStyle="1" w:styleId="208">
    <w:name w:val="1 Char"/>
    <w:basedOn w:val="1"/>
    <w:qFormat/>
    <w:uiPriority w:val="0"/>
    <w:pPr>
      <w:adjustRightInd w:val="0"/>
      <w:spacing w:line="360" w:lineRule="atLeast"/>
      <w:textAlignment w:val="baseline"/>
    </w:pPr>
    <w:rPr>
      <w:rFonts w:ascii="Calibri" w:hAnsi="Calibri"/>
    </w:rPr>
  </w:style>
  <w:style w:type="paragraph" w:customStyle="1" w:styleId="209">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210">
    <w:name w:val="报告正文小四"/>
    <w:basedOn w:val="1"/>
    <w:qFormat/>
    <w:uiPriority w:val="0"/>
    <w:pPr>
      <w:adjustRightInd w:val="0"/>
      <w:snapToGrid w:val="0"/>
      <w:spacing w:line="360" w:lineRule="auto"/>
      <w:ind w:firstLine="420"/>
      <w:jc w:val="left"/>
    </w:pPr>
    <w:rPr>
      <w:rFonts w:ascii="Calibri" w:hAnsi="Calibri"/>
      <w:kern w:val="0"/>
      <w:szCs w:val="20"/>
    </w:rPr>
  </w:style>
  <w:style w:type="paragraph" w:customStyle="1" w:styleId="211">
    <w:name w:val="表、图名"/>
    <w:basedOn w:val="1"/>
    <w:qFormat/>
    <w:uiPriority w:val="0"/>
    <w:pPr>
      <w:adjustRightInd w:val="0"/>
      <w:snapToGrid w:val="0"/>
      <w:spacing w:line="520" w:lineRule="exact"/>
      <w:ind w:left="-6" w:firstLine="560"/>
    </w:pPr>
    <w:rPr>
      <w:rFonts w:ascii="Calibri" w:hAnsi="Calibri"/>
      <w:b/>
      <w:szCs w:val="20"/>
    </w:rPr>
  </w:style>
  <w:style w:type="paragraph" w:customStyle="1" w:styleId="212">
    <w:name w:val="表中正文"/>
    <w:basedOn w:val="1"/>
    <w:qFormat/>
    <w:uiPriority w:val="0"/>
    <w:pPr>
      <w:tabs>
        <w:tab w:val="left" w:pos="958"/>
        <w:tab w:val="left" w:pos="7320"/>
        <w:tab w:val="left" w:pos="8160"/>
      </w:tabs>
      <w:adjustRightInd w:val="0"/>
      <w:spacing w:line="360" w:lineRule="atLeast"/>
      <w:ind w:right="113" w:firstLine="200" w:firstLineChars="200"/>
      <w:jc w:val="center"/>
      <w:textAlignment w:val="baseline"/>
    </w:pPr>
    <w:rPr>
      <w:rFonts w:ascii="宋体" w:hAnsi="宋体"/>
      <w:spacing w:val="6"/>
      <w:kern w:val="20"/>
      <w:szCs w:val="20"/>
    </w:rPr>
  </w:style>
  <w:style w:type="paragraph" w:customStyle="1" w:styleId="213">
    <w:name w:val="p20"/>
    <w:basedOn w:val="1"/>
    <w:qFormat/>
    <w:uiPriority w:val="0"/>
    <w:pPr>
      <w:widowControl/>
      <w:ind w:firstLine="420"/>
    </w:pPr>
    <w:rPr>
      <w:rFonts w:ascii="Calibri" w:hAnsi="Calibri"/>
      <w:kern w:val="0"/>
      <w:szCs w:val="21"/>
    </w:rPr>
  </w:style>
  <w:style w:type="paragraph" w:customStyle="1" w:styleId="214">
    <w:name w:val="_Style 2"/>
    <w:basedOn w:val="1"/>
    <w:next w:val="15"/>
    <w:qFormat/>
    <w:uiPriority w:val="0"/>
    <w:pPr>
      <w:spacing w:line="360" w:lineRule="auto"/>
      <w:jc w:val="center"/>
    </w:pPr>
    <w:rPr>
      <w:rFonts w:ascii="Calibri" w:hAnsi="Calibri"/>
      <w:spacing w:val="8"/>
      <w:sz w:val="24"/>
    </w:rPr>
  </w:style>
  <w:style w:type="paragraph" w:customStyle="1" w:styleId="215">
    <w:name w:val="_Style 12"/>
    <w:basedOn w:val="1"/>
    <w:qFormat/>
    <w:uiPriority w:val="0"/>
    <w:rPr>
      <w:rFonts w:ascii="Calibri" w:hAnsi="Calibri"/>
      <w:szCs w:val="20"/>
    </w:rPr>
  </w:style>
  <w:style w:type="paragraph" w:customStyle="1" w:styleId="216">
    <w:name w:val="表后空行"/>
    <w:basedOn w:val="1"/>
    <w:qFormat/>
    <w:uiPriority w:val="0"/>
    <w:pPr>
      <w:overflowPunct w:val="0"/>
      <w:adjustRightInd w:val="0"/>
      <w:textAlignment w:val="baseline"/>
    </w:pPr>
    <w:rPr>
      <w:rFonts w:ascii="Calibri" w:hAnsi="Calibri"/>
      <w:kern w:val="28"/>
      <w:sz w:val="10"/>
      <w:szCs w:val="20"/>
    </w:rPr>
  </w:style>
  <w:style w:type="paragraph" w:customStyle="1" w:styleId="217">
    <w:name w:val="农贸市场表格表头"/>
    <w:basedOn w:val="1"/>
    <w:qFormat/>
    <w:uiPriority w:val="0"/>
    <w:pPr>
      <w:jc w:val="center"/>
    </w:pPr>
    <w:rPr>
      <w:rFonts w:ascii="宋体" w:hAnsi="宋体" w:cs="仿宋_GB2312"/>
      <w:b/>
      <w:kern w:val="0"/>
      <w:szCs w:val="21"/>
    </w:rPr>
  </w:style>
  <w:style w:type="paragraph" w:customStyle="1" w:styleId="218">
    <w:name w:val="样式12"/>
    <w:basedOn w:val="1"/>
    <w:qFormat/>
    <w:uiPriority w:val="0"/>
    <w:pPr>
      <w:spacing w:line="360" w:lineRule="auto"/>
    </w:pPr>
    <w:rPr>
      <w:rFonts w:ascii="Arial" w:hAnsi="Arial" w:cs="Arial"/>
      <w:b/>
      <w:bCs/>
      <w:sz w:val="24"/>
    </w:rPr>
  </w:style>
  <w:style w:type="paragraph" w:customStyle="1" w:styleId="219">
    <w:name w:val="样式 正文首行缩进 + 首行缩进:  2 字符1"/>
    <w:basedOn w:val="46"/>
    <w:qFormat/>
    <w:uiPriority w:val="0"/>
    <w:pPr>
      <w:spacing w:before="0" w:after="0" w:line="360" w:lineRule="auto"/>
      <w:ind w:firstLine="480" w:firstLineChars="200"/>
      <w:jc w:val="both"/>
    </w:pPr>
    <w:rPr>
      <w:sz w:val="24"/>
      <w:szCs w:val="24"/>
    </w:rPr>
  </w:style>
  <w:style w:type="paragraph" w:customStyle="1" w:styleId="220">
    <w:name w:val="工程名称"/>
    <w:basedOn w:val="44"/>
    <w:next w:val="44"/>
    <w:qFormat/>
    <w:uiPriority w:val="0"/>
    <w:pPr>
      <w:spacing w:before="360" w:after="360" w:line="720" w:lineRule="auto"/>
      <w:ind w:right="26"/>
      <w:outlineLvl w:val="9"/>
    </w:pPr>
    <w:rPr>
      <w:rFonts w:eastAsia="黑体"/>
      <w:sz w:val="44"/>
    </w:rPr>
  </w:style>
  <w:style w:type="paragraph" w:customStyle="1" w:styleId="221">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222">
    <w:name w:val="农贸市场四级标题"/>
    <w:basedOn w:val="147"/>
    <w:qFormat/>
    <w:uiPriority w:val="0"/>
    <w:pPr>
      <w:ind w:firstLine="0" w:firstLineChars="0"/>
    </w:pPr>
    <w:rPr>
      <w:b/>
    </w:rPr>
  </w:style>
  <w:style w:type="paragraph" w:customStyle="1" w:styleId="223">
    <w:name w:val="表格内容1"/>
    <w:basedOn w:val="1"/>
    <w:qFormat/>
    <w:uiPriority w:val="0"/>
    <w:pPr>
      <w:tabs>
        <w:tab w:val="left" w:pos="1535"/>
        <w:tab w:val="left" w:pos="3105"/>
        <w:tab w:val="left" w:pos="4676"/>
        <w:tab w:val="left" w:pos="6247"/>
        <w:tab w:val="left" w:pos="7740"/>
        <w:tab w:val="left" w:pos="9288"/>
      </w:tabs>
      <w:adjustRightInd w:val="0"/>
      <w:snapToGrid w:val="0"/>
      <w:spacing w:line="300" w:lineRule="atLeast"/>
      <w:jc w:val="center"/>
      <w:textAlignment w:val="baseline"/>
    </w:pPr>
    <w:rPr>
      <w:rFonts w:ascii="宋体" w:hAnsi="宋体"/>
      <w:szCs w:val="20"/>
    </w:rPr>
  </w:style>
  <w:style w:type="paragraph" w:customStyle="1" w:styleId="224">
    <w:name w:val="表"/>
    <w:basedOn w:val="1"/>
    <w:qFormat/>
    <w:uiPriority w:val="0"/>
    <w:pPr>
      <w:snapToGrid w:val="0"/>
      <w:jc w:val="center"/>
    </w:pPr>
    <w:rPr>
      <w:rFonts w:ascii="Calibri" w:hAnsi="Calibri"/>
      <w:spacing w:val="2"/>
      <w:szCs w:val="20"/>
    </w:rPr>
  </w:style>
  <w:style w:type="paragraph" w:customStyle="1" w:styleId="225">
    <w:name w:val="正本文字"/>
    <w:basedOn w:val="1"/>
    <w:qFormat/>
    <w:uiPriority w:val="0"/>
    <w:pPr>
      <w:adjustRightInd w:val="0"/>
      <w:snapToGrid w:val="0"/>
      <w:spacing w:line="360" w:lineRule="auto"/>
      <w:ind w:firstLine="480" w:firstLineChars="200"/>
      <w:jc w:val="left"/>
    </w:pPr>
    <w:rPr>
      <w:rFonts w:ascii="Calibri" w:hAnsi="Calibri" w:cs="宋体"/>
      <w:kern w:val="18"/>
      <w:sz w:val="24"/>
      <w:szCs w:val="20"/>
    </w:rPr>
  </w:style>
  <w:style w:type="paragraph" w:customStyle="1" w:styleId="226">
    <w:name w:val="正文123"/>
    <w:basedOn w:val="1"/>
    <w:qFormat/>
    <w:uiPriority w:val="0"/>
    <w:rPr>
      <w:rFonts w:ascii="Calibri" w:hAnsi="Calibri"/>
      <w:color w:val="000000"/>
      <w:szCs w:val="20"/>
      <w:lang w:val="zh-CN"/>
    </w:rPr>
  </w:style>
  <w:style w:type="paragraph" w:customStyle="1" w:styleId="227">
    <w:name w:val=" Char"/>
    <w:basedOn w:val="1"/>
    <w:qFormat/>
    <w:uiPriority w:val="0"/>
    <w:rPr>
      <w:rFonts w:ascii="Calibri" w:hAnsi="Calibri"/>
    </w:rPr>
  </w:style>
  <w:style w:type="paragraph" w:customStyle="1" w:styleId="228">
    <w:name w:val="1正文"/>
    <w:basedOn w:val="1"/>
    <w:qFormat/>
    <w:uiPriority w:val="0"/>
    <w:pPr>
      <w:widowControl/>
      <w:spacing w:line="360" w:lineRule="auto"/>
      <w:ind w:firstLine="200" w:firstLineChars="200"/>
    </w:pPr>
    <w:rPr>
      <w:kern w:val="0"/>
      <w:sz w:val="24"/>
      <w:szCs w:val="20"/>
      <w:lang w:val="en-GB"/>
    </w:rPr>
  </w:style>
  <w:style w:type="paragraph" w:customStyle="1" w:styleId="229">
    <w:name w:val="无间隔2"/>
    <w:qFormat/>
    <w:uiPriority w:val="0"/>
    <w:pPr>
      <w:widowControl w:val="0"/>
      <w:adjustRightInd w:val="0"/>
      <w:snapToGrid w:val="0"/>
      <w:jc w:val="center"/>
    </w:pPr>
    <w:rPr>
      <w:rFonts w:ascii="Times New Roman" w:hAnsi="Times New Roman" w:eastAsia="宋体" w:cs="Times New Roman"/>
      <w:kern w:val="2"/>
      <w:sz w:val="21"/>
      <w:lang w:val="en-US" w:eastAsia="zh-CN" w:bidi="ar-SA"/>
    </w:rPr>
  </w:style>
  <w:style w:type="character" w:customStyle="1" w:styleId="230">
    <w:name w:val="样式4 Char"/>
    <w:qFormat/>
    <w:locked/>
    <w:uiPriority w:val="0"/>
    <w:rPr>
      <w:kern w:val="2"/>
      <w:sz w:val="21"/>
    </w:rPr>
  </w:style>
  <w:style w:type="character" w:customStyle="1" w:styleId="231">
    <w:name w:val="样式7 Char"/>
    <w:link w:val="232"/>
    <w:qFormat/>
    <w:locked/>
    <w:uiPriority w:val="0"/>
    <w:rPr>
      <w:color w:val="000000"/>
      <w:kern w:val="2"/>
      <w:sz w:val="21"/>
      <w:szCs w:val="21"/>
    </w:rPr>
  </w:style>
  <w:style w:type="paragraph" w:customStyle="1" w:styleId="232">
    <w:name w:val="样式7"/>
    <w:basedOn w:val="1"/>
    <w:link w:val="231"/>
    <w:qFormat/>
    <w:uiPriority w:val="0"/>
    <w:pPr>
      <w:ind w:right="-105" w:rightChars="-50"/>
      <w:jc w:val="center"/>
    </w:pPr>
    <w:rPr>
      <w:color w:val="000000"/>
      <w:szCs w:val="21"/>
    </w:rPr>
  </w:style>
  <w:style w:type="character" w:customStyle="1" w:styleId="233">
    <w:name w:val="Char Char Char Char Char"/>
    <w:link w:val="234"/>
    <w:qFormat/>
    <w:locked/>
    <w:uiPriority w:val="0"/>
    <w:rPr>
      <w:rFonts w:ascii="宋体" w:hAnsi="宋体" w:cs="宋体"/>
      <w:kern w:val="2"/>
      <w:sz w:val="24"/>
      <w:szCs w:val="24"/>
    </w:rPr>
  </w:style>
  <w:style w:type="paragraph" w:customStyle="1" w:styleId="234">
    <w:name w:val="Char Char Char Char"/>
    <w:basedOn w:val="1"/>
    <w:link w:val="233"/>
    <w:qFormat/>
    <w:uiPriority w:val="0"/>
    <w:pPr>
      <w:spacing w:line="360" w:lineRule="auto"/>
      <w:ind w:firstLine="200" w:firstLineChars="200"/>
    </w:pPr>
    <w:rPr>
      <w:rFonts w:ascii="宋体" w:hAnsi="宋体"/>
      <w:sz w:val="24"/>
    </w:rPr>
  </w:style>
  <w:style w:type="character" w:customStyle="1" w:styleId="235">
    <w:name w:val="_正文格式 Char Char"/>
    <w:link w:val="236"/>
    <w:qFormat/>
    <w:locked/>
    <w:uiPriority w:val="0"/>
    <w:rPr>
      <w:rFonts w:ascii="宋体" w:hAnsi="宋体"/>
      <w:kern w:val="2"/>
      <w:sz w:val="24"/>
      <w:szCs w:val="24"/>
    </w:rPr>
  </w:style>
  <w:style w:type="paragraph" w:customStyle="1" w:styleId="236">
    <w:name w:val="_正文格式"/>
    <w:basedOn w:val="1"/>
    <w:link w:val="235"/>
    <w:qFormat/>
    <w:uiPriority w:val="0"/>
    <w:pPr>
      <w:spacing w:line="500" w:lineRule="exact"/>
      <w:ind w:right="-1" w:firstLine="485" w:firstLineChars="202"/>
      <w:jc w:val="left"/>
    </w:pPr>
    <w:rPr>
      <w:rFonts w:ascii="宋体" w:hAnsi="宋体"/>
      <w:sz w:val="24"/>
    </w:rPr>
  </w:style>
  <w:style w:type="character" w:customStyle="1" w:styleId="237">
    <w:name w:val="表头、图号 Char"/>
    <w:link w:val="238"/>
    <w:qFormat/>
    <w:locked/>
    <w:uiPriority w:val="0"/>
    <w:rPr>
      <w:rFonts w:ascii="黑体" w:hAnsi="黑体" w:eastAsia="黑体"/>
      <w:b/>
      <w:kern w:val="2"/>
      <w:sz w:val="21"/>
      <w:szCs w:val="22"/>
    </w:rPr>
  </w:style>
  <w:style w:type="paragraph" w:customStyle="1" w:styleId="238">
    <w:name w:val="表头、图号"/>
    <w:basedOn w:val="1"/>
    <w:link w:val="237"/>
    <w:qFormat/>
    <w:uiPriority w:val="0"/>
    <w:pPr>
      <w:jc w:val="center"/>
    </w:pPr>
    <w:rPr>
      <w:rFonts w:ascii="黑体" w:hAnsi="黑体" w:eastAsia="黑体"/>
      <w:b/>
      <w:szCs w:val="22"/>
    </w:rPr>
  </w:style>
  <w:style w:type="paragraph" w:customStyle="1" w:styleId="239">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40">
    <w:name w:val="表后空格 Char"/>
    <w:link w:val="241"/>
    <w:qFormat/>
    <w:locked/>
    <w:uiPriority w:val="0"/>
    <w:rPr>
      <w:rFonts w:ascii="楷体_GB2312" w:hAnsi="楷体_GB2312" w:eastAsia="楷体_GB2312" w:cs="宋体"/>
      <w:kern w:val="2"/>
      <w:sz w:val="24"/>
      <w:szCs w:val="24"/>
    </w:rPr>
  </w:style>
  <w:style w:type="paragraph" w:customStyle="1" w:styleId="241">
    <w:name w:val="表后空格"/>
    <w:basedOn w:val="1"/>
    <w:link w:val="240"/>
    <w:qFormat/>
    <w:uiPriority w:val="0"/>
    <w:pPr>
      <w:spacing w:line="240" w:lineRule="exact"/>
      <w:ind w:firstLine="480" w:firstLineChars="200"/>
    </w:pPr>
    <w:rPr>
      <w:rFonts w:ascii="楷体_GB2312" w:hAnsi="楷体_GB2312" w:eastAsia="楷体_GB2312"/>
      <w:sz w:val="24"/>
    </w:rPr>
  </w:style>
  <w:style w:type="character" w:customStyle="1" w:styleId="242">
    <w:name w:val="表头A Char"/>
    <w:link w:val="243"/>
    <w:qFormat/>
    <w:locked/>
    <w:uiPriority w:val="0"/>
    <w:rPr>
      <w:rFonts w:ascii="华文仿宋" w:hAnsi="华文仿宋" w:eastAsia="华文仿宋" w:cs="楷体_GB2312"/>
      <w:b/>
      <w:kern w:val="2"/>
      <w:sz w:val="24"/>
      <w:szCs w:val="24"/>
      <w14:shadow w14:blurRad="50800" w14:dist="38100" w14:dir="2700000" w14:sx="100000" w14:sy="100000" w14:kx="0" w14:ky="0" w14:algn="tl">
        <w14:srgbClr w14:val="000000">
          <w14:alpha w14:val="60000"/>
        </w14:srgbClr>
      </w14:shadow>
    </w:rPr>
  </w:style>
  <w:style w:type="paragraph" w:customStyle="1" w:styleId="243">
    <w:name w:val="表头A"/>
    <w:basedOn w:val="1"/>
    <w:link w:val="242"/>
    <w:qFormat/>
    <w:uiPriority w:val="0"/>
    <w:pPr>
      <w:spacing w:line="400" w:lineRule="exact"/>
      <w:jc w:val="center"/>
    </w:pPr>
    <w:rPr>
      <w:rFonts w:ascii="华文仿宋" w:hAnsi="华文仿宋" w:eastAsia="华文仿宋"/>
      <w:b/>
      <w:sz w:val="24"/>
      <w14:shadow w14:blurRad="50800" w14:dist="38100" w14:dir="2700000" w14:sx="100000" w14:sy="100000" w14:kx="0" w14:ky="0" w14:algn="tl">
        <w14:srgbClr w14:val="000000">
          <w14:alpha w14:val="60000"/>
        </w14:srgbClr>
      </w14:shadow>
    </w:rPr>
  </w:style>
  <w:style w:type="character" w:customStyle="1" w:styleId="244">
    <w:name w:val="表格标题 Char"/>
    <w:qFormat/>
    <w:uiPriority w:val="0"/>
    <w:rPr>
      <w:rFonts w:hint="eastAsia" w:ascii="宋体" w:hAnsi="宋体" w:eastAsia="宋体"/>
      <w:kern w:val="40"/>
      <w:sz w:val="21"/>
      <w:lang w:bidi="ar-SA"/>
    </w:rPr>
  </w:style>
  <w:style w:type="character" w:customStyle="1" w:styleId="245">
    <w:name w:val="font41"/>
    <w:qFormat/>
    <w:uiPriority w:val="0"/>
    <w:rPr>
      <w:rFonts w:hint="eastAsia" w:ascii="宋体" w:hAnsi="宋体" w:eastAsia="宋体" w:cs="宋体"/>
      <w:color w:val="000000"/>
      <w:sz w:val="22"/>
      <w:szCs w:val="22"/>
      <w:u w:val="none"/>
      <w:vertAlign w:val="superscript"/>
    </w:rPr>
  </w:style>
  <w:style w:type="character" w:customStyle="1" w:styleId="246">
    <w:name w:val="font31"/>
    <w:basedOn w:val="50"/>
    <w:qFormat/>
    <w:uiPriority w:val="0"/>
    <w:rPr>
      <w:rFonts w:hint="eastAsia" w:ascii="宋体" w:hAnsi="宋体" w:eastAsia="宋体" w:cs="宋体"/>
      <w:color w:val="000000"/>
      <w:sz w:val="22"/>
      <w:szCs w:val="22"/>
      <w:u w:val="none"/>
    </w:rPr>
  </w:style>
  <w:style w:type="character" w:customStyle="1" w:styleId="247">
    <w:name w:val="样式 四号"/>
    <w:qFormat/>
    <w:uiPriority w:val="0"/>
    <w:rPr>
      <w:sz w:val="28"/>
    </w:rPr>
  </w:style>
  <w:style w:type="character" w:customStyle="1" w:styleId="248">
    <w:name w:val="font11"/>
    <w:basedOn w:val="50"/>
    <w:qFormat/>
    <w:uiPriority w:val="0"/>
    <w:rPr>
      <w:rFonts w:hint="default" w:ascii="Times New Roman" w:hAnsi="Times New Roman" w:cs="Times New Roman"/>
      <w:color w:val="000000"/>
      <w:sz w:val="22"/>
      <w:szCs w:val="22"/>
      <w:u w:val="none"/>
    </w:rPr>
  </w:style>
  <w:style w:type="character" w:customStyle="1" w:styleId="249">
    <w:name w:val="正文首行缩进 Char1"/>
    <w:qFormat/>
    <w:uiPriority w:val="0"/>
    <w:rPr>
      <w:kern w:val="2"/>
      <w:sz w:val="24"/>
    </w:rPr>
  </w:style>
  <w:style w:type="character" w:customStyle="1" w:styleId="250">
    <w:name w:val="apple-style-span"/>
    <w:qFormat/>
    <w:uiPriority w:val="0"/>
  </w:style>
  <w:style w:type="character" w:customStyle="1" w:styleId="251">
    <w:name w:val="font61"/>
    <w:qFormat/>
    <w:uiPriority w:val="0"/>
    <w:rPr>
      <w:rFonts w:hint="eastAsia" w:ascii="宋体" w:hAnsi="宋体" w:eastAsia="宋体" w:cs="宋体"/>
      <w:color w:val="000000"/>
      <w:sz w:val="22"/>
      <w:szCs w:val="22"/>
      <w:u w:val="none"/>
    </w:rPr>
  </w:style>
  <w:style w:type="character" w:customStyle="1" w:styleId="252">
    <w:name w:val="Char Char5"/>
    <w:qFormat/>
    <w:uiPriority w:val="0"/>
    <w:rPr>
      <w:rFonts w:hint="eastAsia" w:ascii="宋体" w:hAnsi="宋体" w:eastAsia="宋体"/>
      <w:kern w:val="2"/>
      <w:sz w:val="21"/>
      <w:szCs w:val="24"/>
      <w:lang w:val="en-US" w:eastAsia="zh-CN" w:bidi="ar-SA"/>
    </w:rPr>
  </w:style>
  <w:style w:type="character" w:customStyle="1" w:styleId="253">
    <w:name w:val="表内文字 Char"/>
    <w:basedOn w:val="50"/>
    <w:link w:val="254"/>
    <w:qFormat/>
    <w:uiPriority w:val="0"/>
    <w:rPr>
      <w:rFonts w:hint="default" w:ascii="Times New Roman" w:hAnsi="Times New Roman" w:eastAsia="宋体" w:cs="Times New Roman"/>
      <w:szCs w:val="21"/>
    </w:rPr>
  </w:style>
  <w:style w:type="paragraph" w:customStyle="1" w:styleId="254">
    <w:name w:val="表内文字"/>
    <w:basedOn w:val="1"/>
    <w:link w:val="253"/>
    <w:qFormat/>
    <w:uiPriority w:val="0"/>
    <w:pPr>
      <w:jc w:val="center"/>
    </w:pPr>
    <w:rPr>
      <w:kern w:val="0"/>
      <w:sz w:val="20"/>
      <w:szCs w:val="21"/>
    </w:rPr>
  </w:style>
  <w:style w:type="character" w:customStyle="1" w:styleId="255">
    <w:name w:val="hei141"/>
    <w:qFormat/>
    <w:uiPriority w:val="0"/>
    <w:rPr>
      <w:color w:val="000000"/>
      <w:sz w:val="21"/>
      <w:szCs w:val="21"/>
    </w:rPr>
  </w:style>
  <w:style w:type="character" w:customStyle="1" w:styleId="256">
    <w:name w:val="fontstyle01"/>
    <w:qFormat/>
    <w:uiPriority w:val="0"/>
    <w:rPr>
      <w:rFonts w:hint="eastAsia" w:ascii="宋体" w:hAnsi="宋体" w:eastAsia="宋体"/>
      <w:color w:val="000000"/>
      <w:sz w:val="24"/>
      <w:szCs w:val="24"/>
    </w:rPr>
  </w:style>
  <w:style w:type="character" w:customStyle="1" w:styleId="257">
    <w:name w:val="font51"/>
    <w:qFormat/>
    <w:uiPriority w:val="0"/>
    <w:rPr>
      <w:rFonts w:hint="default" w:ascii="Times New Roman" w:hAnsi="Times New Roman" w:cs="Times New Roman"/>
      <w:color w:val="000000"/>
      <w:sz w:val="22"/>
      <w:szCs w:val="22"/>
      <w:u w:val="none"/>
    </w:rPr>
  </w:style>
  <w:style w:type="character" w:customStyle="1" w:styleId="258">
    <w:name w:val="font01"/>
    <w:qFormat/>
    <w:uiPriority w:val="0"/>
    <w:rPr>
      <w:rFonts w:hint="eastAsia" w:ascii="宋体" w:hAnsi="宋体" w:eastAsia="宋体" w:cs="宋体"/>
      <w:color w:val="000000"/>
      <w:sz w:val="22"/>
      <w:szCs w:val="22"/>
      <w:u w:val="none"/>
    </w:rPr>
  </w:style>
  <w:style w:type="character" w:customStyle="1" w:styleId="259">
    <w:name w:val="样式 四号 字距调整八号"/>
    <w:qFormat/>
    <w:uiPriority w:val="0"/>
    <w:rPr>
      <w:rFonts w:hint="default" w:ascii="Times New Roman" w:hAnsi="Times New Roman" w:eastAsia="宋体" w:cs="Times New Roman"/>
      <w:color w:val="auto"/>
      <w:spacing w:val="0"/>
      <w:w w:val="100"/>
      <w:kern w:val="0"/>
      <w:position w:val="0"/>
      <w:sz w:val="24"/>
      <w:u w:val="none"/>
    </w:rPr>
  </w:style>
  <w:style w:type="character" w:customStyle="1" w:styleId="260">
    <w:name w:val="fontstyle11"/>
    <w:qFormat/>
    <w:uiPriority w:val="0"/>
    <w:rPr>
      <w:rFonts w:hint="default" w:ascii="TimesNewRomanPSMT" w:hAnsi="TimesNewRomanPSMT"/>
      <w:color w:val="000000"/>
      <w:sz w:val="24"/>
      <w:szCs w:val="24"/>
    </w:rPr>
  </w:style>
  <w:style w:type="character" w:customStyle="1" w:styleId="261">
    <w:name w:val="fontstyle31"/>
    <w:qFormat/>
    <w:uiPriority w:val="0"/>
    <w:rPr>
      <w:rFonts w:hint="default" w:ascii="TimesNewRomanPS-ItalicMT" w:hAnsi="TimesNewRomanPS-ItalicMT"/>
      <w:i/>
      <w:iCs/>
      <w:color w:val="000000"/>
      <w:sz w:val="24"/>
      <w:szCs w:val="24"/>
    </w:rPr>
  </w:style>
  <w:style w:type="character" w:customStyle="1" w:styleId="262">
    <w:name w:val="fontstyle41"/>
    <w:qFormat/>
    <w:uiPriority w:val="0"/>
    <w:rPr>
      <w:rFonts w:hint="default" w:ascii="SymbolMT" w:hAnsi="SymbolMT"/>
      <w:color w:val="000000"/>
      <w:sz w:val="24"/>
      <w:szCs w:val="24"/>
    </w:rPr>
  </w:style>
  <w:style w:type="paragraph" w:customStyle="1" w:styleId="263">
    <w:name w:val="样式 首行缩进: 2 字符1"/>
    <w:basedOn w:val="1"/>
    <w:qFormat/>
    <w:uiPriority w:val="0"/>
    <w:pPr>
      <w:spacing w:before="120" w:after="100" w:afterAutospacing="1" w:line="400" w:lineRule="exact"/>
      <w:ind w:firstLine="200" w:firstLineChars="200"/>
    </w:pPr>
    <w:rPr>
      <w:rFonts w:ascii="宋体" w:hAnsi="宋体" w:cs="宋体"/>
      <w:sz w:val="24"/>
    </w:rPr>
  </w:style>
  <w:style w:type="paragraph" w:customStyle="1" w:styleId="264">
    <w:name w:val="表中文字"/>
    <w:basedOn w:val="1"/>
    <w:qFormat/>
    <w:uiPriority w:val="0"/>
    <w:pPr>
      <w:jc w:val="center"/>
    </w:pPr>
    <w:rPr>
      <w:szCs w:val="21"/>
    </w:rPr>
  </w:style>
  <w:style w:type="paragraph" w:customStyle="1" w:styleId="265">
    <w:name w:val="正文 首行缩进:  2 字符"/>
    <w:basedOn w:val="1"/>
    <w:qFormat/>
    <w:uiPriority w:val="0"/>
    <w:pPr>
      <w:adjustRightInd w:val="0"/>
      <w:snapToGrid w:val="0"/>
      <w:spacing w:line="360" w:lineRule="auto"/>
      <w:ind w:firstLine="480" w:firstLineChars="200"/>
    </w:pPr>
    <w:rPr>
      <w:rFonts w:ascii="宋体" w:hAnsi="宋体" w:cs="宋体"/>
      <w:color w:val="000000"/>
      <w:kern w:val="0"/>
      <w:sz w:val="24"/>
    </w:rPr>
  </w:style>
  <w:style w:type="paragraph" w:customStyle="1" w:styleId="266">
    <w:name w:val="Char1"/>
    <w:basedOn w:val="1"/>
    <w:qFormat/>
    <w:uiPriority w:val="0"/>
    <w:pPr>
      <w:snapToGrid w:val="0"/>
      <w:spacing w:line="360" w:lineRule="auto"/>
      <w:ind w:firstLine="529" w:firstLineChars="200"/>
    </w:pPr>
  </w:style>
  <w:style w:type="paragraph" w:customStyle="1" w:styleId="267">
    <w:name w:val="默认段落字体 Para Char Char Char Char"/>
    <w:basedOn w:val="1"/>
    <w:qFormat/>
    <w:uiPriority w:val="0"/>
    <w:rPr>
      <w:spacing w:val="-2"/>
      <w:kern w:val="0"/>
      <w:sz w:val="24"/>
    </w:rPr>
  </w:style>
  <w:style w:type="paragraph" w:customStyle="1" w:styleId="268">
    <w:name w:val="正文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9">
    <w:name w:val="_Style 268"/>
    <w:basedOn w:val="4"/>
    <w:next w:val="1"/>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270">
    <w:name w:val="WW-纯文本"/>
    <w:basedOn w:val="1"/>
    <w:qFormat/>
    <w:uiPriority w:val="0"/>
    <w:pPr>
      <w:suppressAutoHyphens/>
      <w:spacing w:line="312" w:lineRule="atLeast"/>
      <w:textAlignment w:val="baseline"/>
    </w:pPr>
    <w:rPr>
      <w:rFonts w:ascii="宋体" w:hAnsi="宋体" w:eastAsia="楷体_GB2312" w:cs="Courier New"/>
      <w:szCs w:val="21"/>
    </w:rPr>
  </w:style>
  <w:style w:type="paragraph" w:customStyle="1" w:styleId="271">
    <w:name w:val="样式"/>
    <w:basedOn w:val="1"/>
    <w:next w:val="22"/>
    <w:qFormat/>
    <w:uiPriority w:val="0"/>
    <w:rPr>
      <w:rFonts w:ascii="宋体" w:hAnsi="Courier New"/>
      <w:szCs w:val="21"/>
    </w:rPr>
  </w:style>
  <w:style w:type="paragraph" w:customStyle="1" w:styleId="272">
    <w:name w:val="图中框"/>
    <w:basedOn w:val="1"/>
    <w:qFormat/>
    <w:uiPriority w:val="0"/>
    <w:pPr>
      <w:jc w:val="center"/>
    </w:pPr>
    <w:rPr>
      <w:rFonts w:ascii="宋体" w:hAnsi="Courier New"/>
      <w:szCs w:val="20"/>
    </w:rPr>
  </w:style>
  <w:style w:type="paragraph" w:customStyle="1" w:styleId="273">
    <w:name w:val="正文和昊"/>
    <w:basedOn w:val="1"/>
    <w:qFormat/>
    <w:uiPriority w:val="1"/>
    <w:pPr>
      <w:spacing w:line="360" w:lineRule="auto"/>
    </w:pPr>
    <w:rPr>
      <w:sz w:val="24"/>
    </w:rPr>
  </w:style>
  <w:style w:type="character" w:customStyle="1" w:styleId="274">
    <w:name w:val="0正文 Char"/>
    <w:link w:val="275"/>
    <w:qFormat/>
    <w:uiPriority w:val="0"/>
    <w:rPr>
      <w:color w:val="000000"/>
      <w:sz w:val="24"/>
    </w:rPr>
  </w:style>
  <w:style w:type="paragraph" w:customStyle="1" w:styleId="275">
    <w:name w:val="0正文"/>
    <w:basedOn w:val="1"/>
    <w:next w:val="1"/>
    <w:link w:val="274"/>
    <w:qFormat/>
    <w:uiPriority w:val="0"/>
    <w:pPr>
      <w:adjustRightInd w:val="0"/>
      <w:snapToGrid w:val="0"/>
      <w:spacing w:line="360" w:lineRule="auto"/>
      <w:ind w:firstLine="200" w:firstLineChars="200"/>
    </w:pPr>
    <w:rPr>
      <w:color w:val="000000"/>
      <w:kern w:val="0"/>
      <w:sz w:val="24"/>
      <w:szCs w:val="20"/>
    </w:rPr>
  </w:style>
  <w:style w:type="paragraph" w:customStyle="1" w:styleId="276">
    <w:name w:val="表格文字2"/>
    <w:basedOn w:val="1"/>
    <w:qFormat/>
    <w:uiPriority w:val="0"/>
    <w:pPr>
      <w:tabs>
        <w:tab w:val="left" w:pos="277"/>
        <w:tab w:val="left" w:pos="600"/>
        <w:tab w:val="left" w:pos="780"/>
        <w:tab w:val="left" w:pos="2517"/>
      </w:tabs>
      <w:adjustRightInd w:val="0"/>
      <w:snapToGrid w:val="0"/>
      <w:jc w:val="center"/>
      <w:textAlignment w:val="baseline"/>
    </w:pPr>
    <w:rPr>
      <w:kern w:val="0"/>
      <w:szCs w:val="21"/>
      <w:lang w:val="zh-CN"/>
    </w:rPr>
  </w:style>
  <w:style w:type="character" w:customStyle="1" w:styleId="277">
    <w:name w:val="表格 Char Char"/>
    <w:qFormat/>
    <w:uiPriority w:val="0"/>
    <w:rPr>
      <w:bCs/>
      <w:spacing w:val="-2"/>
      <w:sz w:val="18"/>
      <w:szCs w:val="18"/>
      <w:lang w:val="zh-CN" w:eastAsia="zh-CN" w:bidi="ar-SA"/>
    </w:rPr>
  </w:style>
  <w:style w:type="paragraph" w:customStyle="1" w:styleId="278">
    <w:name w:val="表格题目新"/>
    <w:basedOn w:val="1"/>
    <w:qFormat/>
    <w:uiPriority w:val="0"/>
    <w:pPr>
      <w:autoSpaceDE w:val="0"/>
      <w:autoSpaceDN w:val="0"/>
      <w:spacing w:line="312" w:lineRule="auto"/>
      <w:jc w:val="left"/>
    </w:pPr>
    <w:rPr>
      <w:rFonts w:eastAsia="黑体" w:cs="宋体"/>
    </w:rPr>
  </w:style>
  <w:style w:type="paragraph" w:customStyle="1" w:styleId="279">
    <w:name w:val="表标题"/>
    <w:basedOn w:val="1"/>
    <w:next w:val="1"/>
    <w:semiHidden/>
    <w:qFormat/>
    <w:uiPriority w:val="0"/>
    <w:pPr>
      <w:adjustRightInd w:val="0"/>
      <w:jc w:val="center"/>
      <w:textAlignment w:val="baseline"/>
    </w:pPr>
    <w:rPr>
      <w:b/>
      <w:bCs/>
      <w:sz w:val="24"/>
      <w:szCs w:val="20"/>
    </w:rPr>
  </w:style>
  <w:style w:type="paragraph" w:customStyle="1" w:styleId="280">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281">
    <w:name w:val="条文首行缩进"/>
    <w:basedOn w:val="1"/>
    <w:qFormat/>
    <w:uiPriority w:val="0"/>
    <w:pPr>
      <w:ind w:firstLine="480" w:firstLineChars="200"/>
    </w:pPr>
    <w:rPr>
      <w:rFonts w:ascii="Arial" w:hAnsi="Arial"/>
      <w:sz w:val="24"/>
      <w:szCs w:val="20"/>
    </w:rPr>
  </w:style>
  <w:style w:type="paragraph" w:customStyle="1" w:styleId="282">
    <w:name w:val="兴化美联正文样式"/>
    <w:basedOn w:val="1"/>
    <w:qFormat/>
    <w:uiPriority w:val="0"/>
    <w:pPr>
      <w:widowControl/>
      <w:spacing w:line="360" w:lineRule="auto"/>
      <w:ind w:firstLine="480" w:firstLineChars="200"/>
      <w:jc w:val="left"/>
    </w:pPr>
    <w:rPr>
      <w:rFonts w:ascii="宋体" w:hAnsi="宋体" w:cs="宋体"/>
      <w:color w:val="000000"/>
      <w:sz w:val="24"/>
      <w:szCs w:val="24"/>
    </w:rPr>
  </w:style>
  <w:style w:type="paragraph" w:customStyle="1" w:styleId="283">
    <w:name w:val="正文！"/>
    <w:basedOn w:val="1"/>
    <w:qFormat/>
    <w:uiPriority w:val="0"/>
    <w:pPr>
      <w:spacing w:line="500" w:lineRule="exact"/>
      <w:ind w:firstLine="482"/>
    </w:pPr>
    <w:rPr>
      <w:rFonts w:ascii="楷体_GB2312" w:cs="宋体"/>
      <w:sz w:val="24"/>
    </w:rPr>
  </w:style>
  <w:style w:type="paragraph" w:customStyle="1" w:styleId="284">
    <w:name w:val="报告正文"/>
    <w:basedOn w:val="185"/>
    <w:qFormat/>
    <w:uiPriority w:val="0"/>
    <w:rPr>
      <w:rFonts w:cs="宋体"/>
      <w:szCs w:val="21"/>
    </w:rPr>
  </w:style>
  <w:style w:type="character" w:customStyle="1" w:styleId="285">
    <w:name w:val="样式 兴化美联正文样式 + 自动设置 Char"/>
    <w:basedOn w:val="50"/>
    <w:link w:val="286"/>
    <w:qFormat/>
    <w:uiPriority w:val="0"/>
    <w:rPr>
      <w:color w:val="auto"/>
    </w:rPr>
  </w:style>
  <w:style w:type="paragraph" w:customStyle="1" w:styleId="286">
    <w:name w:val="样式 兴化美联正文样式 + 自动设置"/>
    <w:basedOn w:val="282"/>
    <w:link w:val="285"/>
    <w:qFormat/>
    <w:uiPriority w:val="0"/>
    <w:rPr>
      <w:color w:val="auto"/>
    </w:rPr>
  </w:style>
  <w:style w:type="paragraph" w:customStyle="1" w:styleId="287">
    <w:name w:val="正文 样式"/>
    <w:basedOn w:val="1"/>
    <w:qFormat/>
    <w:uiPriority w:val="0"/>
    <w:pPr>
      <w:spacing w:line="360" w:lineRule="auto"/>
      <w:ind w:firstLine="200" w:firstLineChars="200"/>
    </w:pPr>
    <w:rPr>
      <w:rFonts w:cs="宋体"/>
      <w:sz w:val="24"/>
      <w:szCs w:val="20"/>
    </w:rPr>
  </w:style>
  <w:style w:type="paragraph" w:customStyle="1" w:styleId="288">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289">
    <w:name w:val="ZZ，正文"/>
    <w:basedOn w:val="290"/>
    <w:qFormat/>
    <w:uiPriority w:val="0"/>
    <w:pPr>
      <w:ind w:firstLine="480"/>
    </w:pPr>
    <w:rPr>
      <w:rFonts w:ascii="Calibri" w:hAnsi="Calibri"/>
      <w:kern w:val="0"/>
    </w:rPr>
  </w:style>
  <w:style w:type="paragraph" w:customStyle="1" w:styleId="290">
    <w:name w:val="珍珍环评正文"/>
    <w:basedOn w:val="1"/>
    <w:qFormat/>
    <w:uiPriority w:val="0"/>
    <w:pPr>
      <w:adjustRightInd w:val="0"/>
      <w:snapToGrid w:val="0"/>
      <w:spacing w:line="360" w:lineRule="auto"/>
      <w:ind w:firstLine="200" w:firstLineChars="200"/>
    </w:pPr>
    <w:rPr>
      <w:rFonts w:ascii="华文仿宋" w:hAnsi="华文仿宋" w:cs="Times New Roman"/>
      <w:kern w:val="2"/>
      <w:sz w:val="24"/>
      <w:szCs w:val="24"/>
    </w:rPr>
  </w:style>
  <w:style w:type="table" w:customStyle="1" w:styleId="291">
    <w:name w:val="Table Normal"/>
    <w:unhideWhenUsed/>
    <w:qFormat/>
    <w:uiPriority w:val="0"/>
    <w:tblPr>
      <w:tblCellMar>
        <w:top w:w="0" w:type="dxa"/>
        <w:left w:w="0" w:type="dxa"/>
        <w:bottom w:w="0" w:type="dxa"/>
        <w:right w:w="0" w:type="dxa"/>
      </w:tblCellMar>
    </w:tblPr>
  </w:style>
  <w:style w:type="paragraph" w:customStyle="1" w:styleId="292">
    <w:name w:val="!正文缩2"/>
    <w:basedOn w:val="1"/>
    <w:qFormat/>
    <w:uiPriority w:val="0"/>
    <w:pPr>
      <w:spacing w:line="500" w:lineRule="exact"/>
      <w:jc w:val="both"/>
    </w:pPr>
    <w:rPr>
      <w:rFonts w:ascii="宋体" w:hAnsi="宋体" w:cs="宋体"/>
      <w:szCs w:val="28"/>
      <w:lang w:val="zh-CN"/>
    </w:rPr>
  </w:style>
  <w:style w:type="paragraph" w:customStyle="1" w:styleId="293">
    <w:name w:val="Body text|1"/>
    <w:basedOn w:val="1"/>
    <w:qFormat/>
    <w:uiPriority w:val="0"/>
    <w:pPr>
      <w:widowControl w:val="0"/>
      <w:shd w:val="clear" w:color="auto" w:fill="auto"/>
      <w:spacing w:after="40"/>
      <w:jc w:val="center"/>
    </w:pPr>
    <w:rPr>
      <w:rFonts w:ascii="宋体" w:hAnsi="宋体" w:eastAsia="宋体" w:cs="宋体"/>
      <w:sz w:val="32"/>
      <w:szCs w:val="32"/>
      <w:u w:val="none"/>
      <w:shd w:val="clear" w:color="auto" w:fill="auto"/>
      <w:lang w:val="zh-TW" w:eastAsia="zh-TW" w:bidi="zh-TW"/>
    </w:rPr>
  </w:style>
  <w:style w:type="paragraph" w:customStyle="1" w:styleId="294">
    <w:name w:val="Table caption|1"/>
    <w:basedOn w:val="1"/>
    <w:qFormat/>
    <w:uiPriority w:val="0"/>
    <w:rPr>
      <w:b/>
      <w:bCs/>
      <w:sz w:val="20"/>
      <w:szCs w:val="20"/>
      <w:lang w:val="zh-TW" w:eastAsia="zh-TW" w:bidi="zh-TW"/>
    </w:rPr>
  </w:style>
  <w:style w:type="paragraph" w:customStyle="1" w:styleId="295">
    <w:name w:val="A1表头"/>
    <w:basedOn w:val="1"/>
    <w:qFormat/>
    <w:uiPriority w:val="0"/>
    <w:pPr>
      <w:jc w:val="center"/>
    </w:pPr>
    <w:rPr>
      <w:rFonts w:ascii="黑体" w:hAnsi="黑体" w:eastAsia="黑体"/>
      <w:b/>
    </w:rPr>
  </w:style>
  <w:style w:type="paragraph" w:customStyle="1" w:styleId="296">
    <w:name w:val="样式5"/>
    <w:basedOn w:val="3"/>
    <w:next w:val="1"/>
    <w:qFormat/>
    <w:uiPriority w:val="0"/>
    <w:pPr>
      <w:spacing w:line="380" w:lineRule="exact"/>
      <w:ind w:firstLine="566" w:firstLineChars="202"/>
    </w:pPr>
    <w:rPr>
      <w:rFonts w:eastAsia="华文行楷"/>
      <w:sz w:val="28"/>
    </w:rPr>
  </w:style>
  <w:style w:type="paragraph" w:customStyle="1" w:styleId="297">
    <w:name w:val="表格正文"/>
    <w:basedOn w:val="284"/>
    <w:qFormat/>
    <w:uiPriority w:val="0"/>
    <w:pPr>
      <w:adjustRightInd/>
      <w:snapToGrid/>
      <w:spacing w:line="240" w:lineRule="auto"/>
      <w:ind w:firstLine="0" w:firstLineChars="0"/>
      <w:jc w:val="center"/>
    </w:pPr>
    <w:rPr>
      <w:snapToGrid/>
      <w:kern w:val="2"/>
      <w:sz w:val="21"/>
      <w:szCs w:val="21"/>
      <w:lang w:val="en-US" w:eastAsia="zh-CN"/>
    </w:rPr>
  </w:style>
  <w:style w:type="paragraph" w:customStyle="1" w:styleId="298">
    <w:name w:val="表格+0.3"/>
    <w:qFormat/>
    <w:uiPriority w:val="0"/>
    <w:pPr>
      <w:adjustRightInd w:val="0"/>
      <w:snapToGrid w:val="0"/>
      <w:spacing w:line="240" w:lineRule="auto"/>
      <w:ind w:left="-72" w:leftChars="-30" w:right="-72" w:rightChars="-30"/>
      <w:jc w:val="center"/>
    </w:pPr>
    <w:rPr>
      <w:rFonts w:ascii="Times New Roman" w:hAnsi="Times New Roman" w:eastAsia="宋体" w:cs="Times New Roman"/>
      <w:color w:val="auto"/>
      <w:sz w:val="21"/>
      <w:szCs w:val="36"/>
    </w:rPr>
  </w:style>
  <w:style w:type="paragraph" w:customStyle="1" w:styleId="299">
    <w:name w:val="表格+0.1"/>
    <w:qFormat/>
    <w:uiPriority w:val="0"/>
    <w:pPr>
      <w:adjustRightInd w:val="0"/>
      <w:snapToGrid w:val="0"/>
      <w:spacing w:line="240" w:lineRule="auto"/>
      <w:ind w:left="-24" w:leftChars="-10" w:right="-24" w:rightChars="-10"/>
      <w:jc w:val="center"/>
    </w:pPr>
    <w:rPr>
      <w:rFonts w:ascii="Times New Roman" w:hAnsi="Times New Roman" w:eastAsia="宋体" w:cs="Times New Roman"/>
      <w:color w:val="auto"/>
      <w:sz w:val="21"/>
      <w:szCs w:val="36"/>
    </w:rPr>
  </w:style>
  <w:style w:type="paragraph" w:customStyle="1" w:styleId="300">
    <w:name w:val="表格+0"/>
    <w:qFormat/>
    <w:uiPriority w:val="0"/>
    <w:pPr>
      <w:adjustRightInd w:val="0"/>
      <w:snapToGrid w:val="0"/>
      <w:spacing w:line="240" w:lineRule="auto"/>
    </w:pPr>
    <w:rPr>
      <w:rFonts w:hint="default" w:ascii="Times New Roman" w:hAnsi="Times New Roman" w:eastAsia="宋体" w:cs="Times New Roman"/>
      <w:color w:val="auto"/>
      <w:sz w:val="21"/>
      <w:szCs w:val="36"/>
      <w:u w:val="none"/>
    </w:rPr>
  </w:style>
  <w:style w:type="table" w:customStyle="1" w:styleId="301">
    <w:name w:val="样式61"/>
    <w:basedOn w:val="48"/>
    <w:qFormat/>
    <w:uiPriority w:val="99"/>
    <w:pPr>
      <w:jc w:val="center"/>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302">
    <w:name w:val="Table Text"/>
    <w:basedOn w:val="1"/>
    <w:semiHidden/>
    <w:qFormat/>
    <w:uiPriority w:val="0"/>
    <w:rPr>
      <w:rFonts w:ascii="宋体" w:hAnsi="宋体" w:eastAsia="宋体" w:cs="宋体"/>
      <w:sz w:val="28"/>
      <w:szCs w:val="28"/>
      <w:lang w:val="en-US" w:eastAsia="en-US" w:bidi="ar-SA"/>
    </w:rPr>
  </w:style>
  <w:style w:type="paragraph" w:customStyle="1" w:styleId="303">
    <w:name w:val="Body text|2"/>
    <w:basedOn w:val="1"/>
    <w:qFormat/>
    <w:uiPriority w:val="0"/>
    <w:pPr>
      <w:widowControl w:val="0"/>
      <w:shd w:val="clear" w:color="auto" w:fill="auto"/>
      <w:spacing w:line="466" w:lineRule="auto"/>
      <w:ind w:firstLine="400"/>
    </w:pPr>
    <w:rPr>
      <w:rFonts w:ascii="宋体" w:hAnsi="宋体" w:eastAsia="宋体" w:cs="宋体"/>
      <w:sz w:val="20"/>
      <w:szCs w:val="20"/>
      <w:u w:val="none"/>
      <w:shd w:val="clear" w:color="auto" w:fill="auto"/>
      <w:lang w:val="zh-TW" w:eastAsia="zh-TW" w:bidi="zh-TW"/>
    </w:rPr>
  </w:style>
  <w:style w:type="paragraph" w:customStyle="1" w:styleId="304">
    <w:name w:val="样式 表内容 + 行距: 固定值 28 磅"/>
    <w:basedOn w:val="305"/>
    <w:qFormat/>
    <w:uiPriority w:val="0"/>
    <w:pPr>
      <w:widowControl w:val="0"/>
      <w:spacing w:line="240" w:lineRule="auto"/>
    </w:pPr>
    <w:rPr>
      <w:rFonts w:ascii="宋体"/>
      <w:spacing w:val="5"/>
      <w:kern w:val="2"/>
    </w:rPr>
  </w:style>
  <w:style w:type="paragraph" w:customStyle="1" w:styleId="305">
    <w:name w:val="表内容"/>
    <w:basedOn w:val="1"/>
    <w:next w:val="1"/>
    <w:qFormat/>
    <w:uiPriority w:val="0"/>
    <w:pPr>
      <w:spacing w:line="320" w:lineRule="exact"/>
      <w:jc w:val="center"/>
    </w:pPr>
    <w:rPr>
      <w:rFonts w:ascii="Times New Roman"/>
      <w:spacing w:val="0"/>
      <w:sz w:val="21"/>
      <w:szCs w:val="20"/>
    </w:rPr>
  </w:style>
  <w:style w:type="paragraph" w:customStyle="1" w:styleId="306">
    <w:name w:val="正文格式"/>
    <w:basedOn w:val="307"/>
    <w:next w:val="15"/>
    <w:qFormat/>
    <w:uiPriority w:val="0"/>
    <w:pPr>
      <w:spacing w:line="360" w:lineRule="auto"/>
      <w:ind w:firstLine="482"/>
    </w:pPr>
    <w:rPr>
      <w:rFonts w:ascii="宋体" w:hAnsi="宋体"/>
      <w:sz w:val="24"/>
      <w:szCs w:val="20"/>
    </w:rPr>
  </w:style>
  <w:style w:type="paragraph" w:customStyle="1" w:styleId="307">
    <w:name w:val="正文文本首行缩进"/>
    <w:basedOn w:val="15"/>
    <w:qFormat/>
    <w:uiPriority w:val="0"/>
    <w:pPr>
      <w:ind w:firstLine="420" w:firstLineChars="100"/>
    </w:pPr>
  </w:style>
  <w:style w:type="paragraph" w:customStyle="1" w:styleId="308">
    <w:name w:val="A表内容"/>
    <w:basedOn w:val="306"/>
    <w:qFormat/>
    <w:uiPriority w:val="0"/>
    <w:pPr>
      <w:spacing w:line="340" w:lineRule="exact"/>
      <w:ind w:firstLine="0" w:firstLineChars="0"/>
      <w:jc w:val="center"/>
    </w:pPr>
    <w:rPr>
      <w:rFonts w:ascii="Times New Roman"/>
      <w:sz w:val="21"/>
      <w:szCs w:val="21"/>
    </w:rPr>
  </w:style>
  <w:style w:type="paragraph" w:customStyle="1" w:styleId="309">
    <w:name w:val="样式 标题 1一级标题 + 段前: 0.5 行 段后: 0.5 行"/>
    <w:basedOn w:val="4"/>
    <w:qFormat/>
    <w:uiPriority w:val="99"/>
    <w:pPr>
      <w:spacing w:line="320" w:lineRule="exact"/>
      <w:outlineLvl w:val="9"/>
    </w:pPr>
    <w:rPr>
      <w:spacing w:val="-6"/>
      <w:sz w:val="21"/>
      <w:szCs w:val="21"/>
    </w:rPr>
  </w:style>
  <w:style w:type="paragraph" w:customStyle="1" w:styleId="310">
    <w:name w:val="表格-0.1"/>
    <w:qFormat/>
    <w:uiPriority w:val="0"/>
    <w:pPr>
      <w:spacing w:line="240" w:lineRule="auto"/>
      <w:ind w:left="-22" w:leftChars="-10" w:right="-22" w:rightChars="-10"/>
      <w:jc w:val="center"/>
    </w:pPr>
    <w:rPr>
      <w:rFonts w:ascii="Times New Roman" w:hAnsi="Times New Roman" w:eastAsia="宋体" w:cs="Times New Roman"/>
      <w:snapToGrid w:val="0"/>
      <w:sz w:val="21"/>
      <w:szCs w:val="21"/>
    </w:rPr>
  </w:style>
  <w:style w:type="paragraph" w:customStyle="1" w:styleId="311">
    <w:name w:val="Char Char Char Char Char Char Char Char Char Char Char Char Char"/>
    <w:basedOn w:val="1"/>
    <w:qFormat/>
    <w:uiPriority w:val="0"/>
    <w:pPr>
      <w:spacing w:after="160" w:line="240" w:lineRule="exact"/>
      <w:jc w:val="left"/>
    </w:pPr>
    <w:rPr>
      <w:rFonts w:ascii="Arial" w:hAnsi="Arial" w:eastAsia="Times New Roman" w:cs="Verdana"/>
      <w:b/>
      <w:kern w:val="0"/>
      <w:sz w:val="24"/>
      <w:szCs w:val="24"/>
      <w:lang w:eastAsia="en-US"/>
    </w:rPr>
  </w:style>
  <w:style w:type="paragraph" w:customStyle="1" w:styleId="312">
    <w:name w:val="正文01"/>
    <w:basedOn w:val="1"/>
    <w:qFormat/>
    <w:uiPriority w:val="0"/>
    <w:pPr>
      <w:spacing w:before="60" w:line="460" w:lineRule="exact"/>
      <w:ind w:firstLine="200" w:firstLineChars="200"/>
    </w:pPr>
    <w:rPr>
      <w:bCs/>
      <w:sz w:val="24"/>
      <w:szCs w:val="24"/>
    </w:rPr>
  </w:style>
  <w:style w:type="paragraph" w:customStyle="1" w:styleId="313">
    <w:name w:val="A表"/>
    <w:basedOn w:val="1"/>
    <w:qFormat/>
    <w:uiPriority w:val="0"/>
    <w:pPr>
      <w:spacing w:line="360" w:lineRule="auto"/>
      <w:jc w:val="center"/>
    </w:pPr>
    <w:rPr>
      <w:rFonts w:ascii="Times New Roman" w:hAnsi="Times New Roman" w:eastAsia="黑体"/>
      <w:color w:val="000000"/>
      <w:sz w:val="24"/>
      <w:szCs w:val="24"/>
    </w:rPr>
  </w:style>
  <w:style w:type="paragraph" w:customStyle="1" w:styleId="314">
    <w:name w:val="A正文"/>
    <w:basedOn w:val="306"/>
    <w:qFormat/>
    <w:uiPriority w:val="0"/>
    <w:pPr>
      <w:jc w:val="both"/>
    </w:pPr>
    <w:rPr>
      <w:rFonts w:ascii="Times New Roman"/>
      <w:color w:val="000000"/>
    </w:rPr>
  </w:style>
  <w:style w:type="paragraph" w:customStyle="1" w:styleId="315">
    <w:name w:val="无间隔1"/>
    <w:qFormat/>
    <w:uiPriority w:val="99"/>
    <w:pPr>
      <w:widowControl w:val="0"/>
    </w:pPr>
    <w:rPr>
      <w:rFonts w:ascii="Times New Roman" w:hAnsi="Times New Roman" w:eastAsia="仿宋_GB2312" w:cs="Times New Roman"/>
      <w:kern w:val="2"/>
      <w:sz w:val="28"/>
      <w:szCs w:val="21"/>
      <w:lang w:val="en-US" w:eastAsia="zh-CN" w:bidi="ar-SA"/>
    </w:rPr>
  </w:style>
  <w:style w:type="paragraph" w:customStyle="1" w:styleId="316">
    <w:name w:val="Other|1"/>
    <w:basedOn w:val="1"/>
    <w:qFormat/>
    <w:uiPriority w:val="0"/>
    <w:pPr>
      <w:widowControl w:val="0"/>
      <w:shd w:val="clear" w:color="auto" w:fill="auto"/>
      <w:jc w:val="center"/>
    </w:pPr>
    <w:rPr>
      <w:rFonts w:ascii="宋体" w:hAnsi="宋体" w:eastAsia="宋体" w:cs="宋体"/>
      <w:sz w:val="19"/>
      <w:szCs w:val="19"/>
      <w:u w:val="none"/>
      <w:shd w:val="clear" w:color="auto" w:fill="auto"/>
      <w:lang w:val="zh-TW" w:eastAsia="zh-TW" w:bidi="zh-TW"/>
    </w:rPr>
  </w:style>
  <w:style w:type="paragraph" w:customStyle="1" w:styleId="317">
    <w:name w:val="4444"/>
    <w:basedOn w:val="4"/>
    <w:qFormat/>
    <w:uiPriority w:val="0"/>
    <w:pPr>
      <w:keepNext w:val="0"/>
      <w:keepLines w:val="0"/>
      <w:spacing w:before="50" w:after="50" w:line="520" w:lineRule="exact"/>
      <w:outlineLvl w:val="3"/>
    </w:pPr>
    <w:rPr>
      <w:rFonts w:hAnsi="黑体"/>
      <w:kern w:val="2"/>
      <w:sz w:val="24"/>
      <w:szCs w:val="24"/>
    </w:rPr>
  </w:style>
  <w:style w:type="paragraph" w:customStyle="1" w:styleId="318">
    <w:name w:val="样式3"/>
    <w:basedOn w:val="1"/>
    <w:next w:val="1"/>
    <w:qFormat/>
    <w:uiPriority w:val="0"/>
    <w:pPr>
      <w:keepNext/>
      <w:keepLines/>
      <w:spacing w:beforeLines="0" w:afterLines="0" w:line="240" w:lineRule="auto"/>
      <w:ind w:firstLine="0" w:firstLineChars="0"/>
      <w:jc w:val="center"/>
      <w:outlineLvl w:val="1"/>
    </w:pPr>
    <w:rPr>
      <w:sz w:val="21"/>
    </w:rPr>
  </w:style>
  <w:style w:type="character" w:customStyle="1" w:styleId="319">
    <w:name w:val="foot-name"/>
    <w:basedOn w:val="50"/>
    <w:qFormat/>
    <w:uiPriority w:val="0"/>
  </w:style>
  <w:style w:type="character" w:customStyle="1" w:styleId="320">
    <w:name w:val="foot-open"/>
    <w:basedOn w:val="50"/>
    <w:qFormat/>
    <w:uiPriority w:val="0"/>
  </w:style>
  <w:style w:type="character" w:customStyle="1" w:styleId="321">
    <w:name w:val="terms"/>
    <w:basedOn w:val="5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3.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c1Mjg0Nzc0NTM3IiwKCSJHcm91cElkIiA6ICI1MzQ5MzM5NjkiLAoJIkltYWdlIiA6ICJpVkJPUncwS0dnb0FBQUFOU1VoRVVnQUFCQjRBQUFKZENBWUFBQUNWdXJUTEFBQUFBWE5TUjBJQXJzNGM2UUFBSUFCSlJFRlVlSnpzM1hsOFZOWDkvL0gzblV3MlNOaDMwQVFNUWxBd0NjVWlGSkNmZ0JWUXFpSXFLQ29XcklyS3BzV0ZzSXFnRllRcWkwQUxxUFVMSWxZMlFRc0JsRlZwTUFFaUJzSytCd2doa0pETXpQMzlZVExOWkNZUUlwY0orSG8rSGo2U09lZmNjejkzZ3NxOGMrNjVF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"/>
    </extobj>
    <extobj name="ECB019B1-382A-4266-B25C-5B523AA43C14-2">
      <extobjdata type="ECB019B1-382A-4266-B25C-5B523AA43C14" data="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"/>
    </extobj>
  </extobjs>
</s:customData>
</file>

<file path=customXml/item2.xml><?xml version="1.0" encoding="utf-8"?>
<contractReview xmlns="http://schemas.wps.cn/vas-ai-hub/contract-review">
  <reviewItems>
    <reviewItem>
      <errorID>d3defeb9-ef8f-4c50-8eb0-c22667c1ec4a</errorID>
      <errorWord>其它</errorWord>
      <group>L1_Word</group>
      <groupName>字词问题</groupName>
      <ability>L2_Alias</ability>
      <abilityName>也作/曾用词</abilityName>
      <candidateList>
        <item>其他</item>
      </candidateList>
      <explain>词汇[其它]为不规范表述或旧称，其规范书面表述为[其他]。</explain>
      <paraID> 7D2AA16</paraID>
      <start>4</start>
      <end>6</end>
      <status>unmodified</status>
      <modifiedWord/>
      <trackRevisions>false</trackRevisions>
    </reviewItem>
    <reviewItem>
      <errorID>94859cde-4cf8-4fac-b7fa-90c429c530a8</errorID>
      <errorWord>（</errorWord>
      <group>L1_Format</group>
      <groupName>格式问题</groupName>
      <ability>L2_HalfPunc</ability>
      <abilityName>全半角检查</abilityName>
      <candidateList>
        <item>(</item>
      </candidateList>
      <explain>文本全半角错误。</explain>
      <paraID>1A63C769</paraID>
      <start>0</start>
      <end>1</end>
      <status>modified</status>
      <modifiedWord>(</modifiedWord>
      <trackRevisions>false</trackRevisions>
    </reviewItem>
    <reviewItem>
      <errorID>2ef3c79f-c3ea-4b14-864f-03144474ef9b</errorID>
      <errorWord>）</errorWord>
      <group>L1_Format</group>
      <groupName>格式问题</groupName>
      <ability>L2_HalfPunc</ability>
      <abilityName>全半角检查</abilityName>
      <candidateList>
        <item>)</item>
      </candidateList>
      <explain>文本全半角错误。</explain>
      <paraID>1A63C769</paraID>
      <start>14</start>
      <end>15</end>
      <status>modified</status>
      <modifiedWord>)</modifiedWord>
      <trackRevisions>false</trackRevisions>
    </reviewItem>
    <reviewItem>
      <errorID>cad583a3-ca85-4611-b260-62c127313d14</errorID>
      <errorWord>(</errorWord>
      <group>L1_Format</group>
      <groupName>格式问题</groupName>
      <ability>L2_HalfPunc</ability>
      <abilityName>全半角检查</abilityName>
      <candidateList>
        <item>（</item>
      </candidateList>
      <explain>文本全半角错误。</explain>
      <paraID>7B65D824</paraID>
      <start>50</start>
      <end>51</end>
      <status>modified</status>
      <modifiedWord>（</modifiedWord>
      <trackRevisions>false</trackRevisions>
    </reviewItem>
    <reviewItem>
      <errorID>85beee63-eee1-40bd-8930-89005e6ce4be</errorID>
      <errorWord>)</errorWord>
      <group>L1_Format</group>
      <groupName>格式问题</groupName>
      <ability>L2_HalfPunc</ability>
      <abilityName>全半角检查</abilityName>
      <candidateList>
        <item>）</item>
      </candidateList>
      <explain>文本全半角错误。</explain>
      <paraID>7B65D824</paraID>
      <start>54</start>
      <end>55</end>
      <status>modified</status>
      <modifiedWord>）</modifiedWord>
      <trackRevisions>false</trackRevisions>
    </reviewItem>
    <reviewItem>
      <errorID>51cfb2c5-b9f7-471f-9380-e2ff6c8f274f</errorID>
      <errorWord>以</errorWord>
      <group>L1_Word</group>
      <groupName>字词问题</groupName>
      <ability>L2_Typo</ability>
      <abilityName>字词错误</abilityName>
      <candidateList>
        <item>以及</item>
      </candidateList>
      <explain>〈连〉连接并列的词或词组（“以及”前面往往是主要的）：院子里种着大丽花、矢车菊、夹竹桃～其他的花木。</explain>
      <paraID>709EE541</paraID>
      <start>28</start>
      <end>29</end>
      <status>unmodified</status>
      <modifiedWord/>
      <trackRevisions>false</trackRevisions>
    </reviewItem>
    <reviewItem>
      <errorID>1f6f959b-a020-49ac-8b08-14630436b918</errorID>
      <errorWord>治</errorWord>
      <group>L1_Word</group>
      <groupName>字词问题</groupName>
      <ability>L2_Typo</ability>
      <abilityName>字词错误</abilityName>
      <candidateList>
        <item>治理</item>
      </candidateList>
      <explain/>
      <paraID>2ED2113A</paraID>
      <start>60</start>
      <end>61</end>
      <status>unmodified</status>
      <modifiedWord/>
      <trackRevisions>false</trackRevisions>
    </reviewItem>
    <reviewItem>
      <errorID>499cbb72-a0c7-49f9-813d-9115681042d6</errorID>
      <errorWord>模化</errorWord>
      <group>L1_Word</group>
      <groupName>字词问题</groupName>
      <ability>L2_Typo</ability>
      <abilityName>字词错误</abilityName>
      <candidateList>
        <item>谋划</item>
      </candidateList>
      <explain/>
      <paraID> A03DEA8</paraID>
      <start>0</start>
      <end>2</end>
      <status>unmodified</status>
      <modifiedWord/>
      <trackRevisions>false</trackRevisions>
    </reviewItem>
    <reviewItem>
      <errorID>64a5409f-93c9-4cff-94af-6d0e5503a72b</errorID>
      <errorWord>程</errorWord>
      <group>L1_Word</group>
      <groupName>字词问题</groupName>
      <ability>L2_Typo</ability>
      <abilityName>字词错误</abilityName>
      <candidateList>
        <item>程中</item>
      </candidateList>
      <explain/>
      <paraID>3121D962</paraID>
      <start>13</start>
      <end>14</end>
      <status>unmodified</status>
      <modifiedWord/>
      <trackRevisions>false</trackRevisions>
    </reviewItem>
    <reviewItem>
      <errorID>c041c791-ccc8-4d36-8b15-87634e8b22ae</errorID>
      <errorWord>程</errorWord>
      <group>L1_Word</group>
      <groupName>字词问题</groupName>
      <ability>L2_Typo</ability>
      <abilityName>字词错误</abilityName>
      <candidateList>
        <item>程中</item>
      </candidateList>
      <explain/>
      <paraID>116B571B</paraID>
      <start>16</start>
      <end>17</end>
      <status>unmodified</status>
      <modifiedWord/>
      <trackRevisions>false</trackRevisions>
    </reviewItem>
    <reviewItem>
      <errorID>8fbcccde-ebf2-464a-b4d6-8d0118af3db6</errorID>
      <errorWord>的理</errorWord>
      <group>L1_Word</group>
      <groupName>字词问题</groupName>
      <ability>L2_Typo</ability>
      <abilityName>字词错误</abilityName>
      <candidateList>
        <item>的</item>
      </candidateList>
      <explain>置于形容词、名词后，用于修饰事物的形态。</explain>
      <paraID>581F2871</paraID>
      <start>15</start>
      <end>17</end>
      <status>unmodified</status>
      <modifiedWord/>
      <trackRevisions>false</trackRevisions>
    </reviewItem>
    <reviewItem>
      <errorID>ac366c58-a272-4fe6-ac87-4baf9bd71e0e</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❼〈动〉投合；适合：～劲儿｜～心思｜两个人越说越投缘，越说越～脾气。❽〈动〉把两个东西放在一起互相比较，看是否符合；对证：～质｜校～｜～表｜～笔迹｜～号码。❾〈动〉调整使合于一定标准：～好照相机的焦距｜拿胡琴来～～弦。❿〈形〉相合；正确；正常：你的话很～｜～，就这么办｜数目不～，还差得多｜神气不～。○11动掺和（多指液体）：茶壶里～点儿开水｜朱砂里～上一点儿藤黄。○12平均分成两份：～半儿｜～开纸。○13（～儿）〈名〉对子：喜～｜五言～儿。○14（～儿）〈量〉双：一～鹦鹉｜一～儿椅子｜一～模范夫妻。○15介用法基本上跟“对于”相同：～他表示谢意｜决不～困难屈服｜你的话～我有启发｜大家～他这件事很不满意。注意▲“对”和“对于”的用法差不多，但是“对”所保留的动词性较强，因此有些用“对”的句子不能改用“对于”，如上面头两个例子。○16（Duì）〈名〉姓。</explain>
      <paraID>4C72F1C4</paraID>
      <start>27</start>
      <end>29</end>
      <status>unmodified</status>
      <modifiedWord/>
      <trackRevisions>false</trackRevisions>
    </reviewItem>
    <reviewItem>
      <errorID>12073760-ceba-4440-aaf3-648570874383</errorID>
      <errorWord>连续二周</errorWord>
      <group>L1_Word</group>
      <groupName>字词问题</groupName>
      <ability>L2_Typo</ability>
      <abilityName>字词错误</abilityName>
      <candidateList>
        <item>连续两周</item>
      </candidateList>
      <explain/>
      <paraID>4C72F1C4</paraID>
      <start>55</start>
      <end>59</end>
      <status>unmodified</status>
      <modifiedWord/>
      <trackRevisions>false</trackRevisions>
    </reviewItem>
    <reviewItem>
      <errorID>fa1fce6a-ec8d-46e2-89da-e0a4b6f1cd79</errorID>
      <errorWord>超过半年以上</errorWord>
      <group>L1_Word</group>
      <groupName>字词问题</groupName>
      <ability>L2_Typo</ability>
      <abilityName>字词错误</abilityName>
      <candidateList>
        <item>超过半年</item>
      </candidateList>
      <explain/>
      <paraID>4C72F1C4</paraID>
      <start>168</start>
      <end>174</end>
      <status>unmodified</status>
      <modifiedWord/>
      <trackRevisions>false</trackRevisions>
    </reviewItem>
    <reviewItem>
      <errorID>3afbee50-2330-4e30-8f0e-f08bf06e5ed1</errorID>
      <errorWord>连续二周</errorWord>
      <group>L1_Word</group>
      <groupName>字词问题</groupName>
      <ability>L2_Typo</ability>
      <abilityName>字词错误</abilityName>
      <candidateList>
        <item>连续两周</item>
      </candidateList>
      <explain/>
      <paraID>53A87D44</paraID>
      <start>98</start>
      <end>102</end>
      <status>unmodified</status>
      <modifiedWord/>
      <trackRevisions>false</trackRevisions>
    </reviewItem>
    <reviewItem>
      <errorID>050bb82e-7803-4be6-bdc5-130743a5df6a</errorID>
      <errorWord>；</errorWord>
      <group>L1_Word</group>
      <groupName>字词问题</groupName>
      <ability>L2_Typo</ability>
      <abilityName>字词错误</abilityName>
      <candidateList>
        <item>；在</item>
      </candidateList>
      <explain/>
      <paraID>53A87D44</paraID>
      <start>146</start>
      <end>147</end>
      <status>unmodified</status>
      <modifiedWord/>
      <trackRevisions>false</trackRevisions>
    </reviewItem>
    <reviewItem>
      <errorID>e4bd361c-a855-486f-8b2f-19f1e17e2fdb</errorID>
      <errorWord>超过半年以上</errorWord>
      <group>L1_Word</group>
      <groupName>字词问题</groupName>
      <ability>L2_Typo</ability>
      <abilityName>字词错误</abilityName>
      <candidateList>
        <item>超过半年</item>
      </candidateList>
      <explain/>
      <paraID>53A87D44</paraID>
      <start>211</start>
      <end>217</end>
      <status>unmodified</status>
      <modifiedWord/>
      <trackRevisions>false</trackRevisions>
    </reviewItem>
    <reviewItem>
      <errorID>5bb13fef-179b-421b-8753-b55134ea53e6</errorID>
      <errorWord>属</errorWord>
      <group>L1_Word</group>
      <groupName>字词问题</groupName>
      <ability>L2_Typo</ability>
      <abilityName>字词错误</abilityName>
      <candidateList>
        <item>属于</item>
      </candidateList>
      <explain/>
      <paraID>6D4CB360</paraID>
      <start>3</start>
      <end>4</end>
      <status>unmodified</status>
      <modifiedWord/>
      <trackRevisions>false</trackRevisions>
    </reviewItem>
    <reviewItem>
      <errorID>e79c2e4d-5e76-4441-b4ca-ff0d990d0f2d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11BA796C</paraID>
      <start>0</start>
      <end>2</end>
      <status>modified</status>
      <modifiedWord>a）</modifiedWord>
      <trackRevisions>false</trackRevisions>
    </reviewItem>
    <reviewItem>
      <errorID>7b18c298-f775-4635-8150-8c3ba53e50e7</errorID>
      <errorWord>,</errorWord>
      <group>L1_Format</group>
      <groupName>格式问题</groupName>
      <ability>L2_HalfPunc</ability>
      <abilityName>全半角检查</abilityName>
      <candidateList>
        <item>，</item>
      </candidateList>
      <explain>文本全半角错误。</explain>
      <paraID>11BA796C</paraID>
      <start>29</start>
      <end>30</end>
      <status>modified</status>
      <modifiedWord>，</modifiedWord>
      <trackRevisions>false</trackRevisions>
    </reviewItem>
    <reviewItem>
      <errorID>2331373a-e868-4f34-8563-1dbdadc1ed8e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A1EA5E2</paraID>
      <start>0</start>
      <end>2</end>
      <status>modified</status>
      <modifiedWord>b）</modifiedWord>
      <trackRevisions>false</trackRevisions>
    </reviewItem>
    <reviewItem>
      <errorID>46d09561-07df-4b53-a8fd-0975d030de37</errorID>
      <errorWord>,</errorWord>
      <group>L1_Format</group>
      <groupName>格式问题</groupName>
      <ability>L2_HalfPunc</ability>
      <abilityName>全半角检查</abilityName>
      <candidateList>
        <item>，</item>
      </candidateList>
      <explain>文本全半角错误。</explain>
      <paraID> A1EA5E2</paraID>
      <start>17</start>
      <end>18</end>
      <status>modified</status>
      <modifiedWord>，</modifiedWord>
      <trackRevisions>false</trackRevisions>
    </reviewItem>
    <reviewItem>
      <errorID>d8bc2373-6e30-4548-9dd3-ed68b53019df</errorID>
      <errorWord>人工合成材料</errorWord>
      <group>L1_Knowledge</group>
      <groupName>知识性问题</groupName>
      <ability>L2_Term</ability>
      <abilityName>专业术语</abilityName>
      <candidateList>
        <item>土工合成材料</item>
      </candidateList>
      <explain/>
      <paraID>50F2F30B</paraID>
      <start>5</start>
      <end>11</end>
      <status>unmodified</status>
      <modifiedWord/>
      <trackRevisions>false</trackRevisions>
    </reviewItem>
    <reviewItem>
      <errorID>278a13af-ca6a-47b1-8036-d6ac7f20e901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47FF0AAD</paraID>
      <start>0</start>
      <end>2</end>
      <status>modified</status>
      <modifiedWord>a）</modifiedWord>
      <trackRevisions>false</trackRevisions>
    </reviewItem>
    <reviewItem>
      <errorID>79b24772-afe7-4d8b-b986-dcf2f42d9f29</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7BB8A387</paraID>
      <start>0</start>
      <end>2</end>
      <status>modified</status>
      <modifiedWord>b）</modifiedWord>
      <trackRevisions>false</trackRevisions>
    </reviewItem>
    <reviewItem>
      <errorID>d49cb0f7-3c28-499f-8bb9-e0e8eef55f64</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11697B3E</paraID>
      <start>0</start>
      <end>2</end>
      <status>modified</status>
      <modifiedWord>c）</modifiedWord>
      <trackRevisions>false</trackRevisions>
    </reviewItem>
    <reviewItem>
      <errorID>b9b10699-be02-41f9-a4b0-50e40c4cb672</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198215FE</paraID>
      <start>0</start>
      <end>2</end>
      <status>modified</status>
      <modifiedWord>d）</modifiedWord>
      <trackRevisions>false</trackRevisions>
    </reviewItem>
    <reviewItem>
      <errorID>5ed12cf2-ee01-422e-9362-21866fdcfeb0</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3B72577B</paraID>
      <start>0</start>
      <end>2</end>
      <status>modified</status>
      <modifiedWord>e）</modifiedWord>
      <trackRevisions>false</trackRevisions>
    </reviewItem>
    <reviewItem>
      <errorID>9670d9db-4ef5-40ad-9daa-a0bac0eff36c</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12B1B334</paraID>
      <start>0</start>
      <end>2</end>
      <status>modified</status>
      <modifiedWord>f）</modifiedWord>
      <trackRevisions>false</trackRevisions>
    </reviewItem>
    <reviewItem>
      <errorID>c840869c-5a1a-4d35-ad6c-e9e73f5ff67f</errorID>
      <errorWord>措施措施</errorWord>
      <group>L1_Word</group>
      <groupName>字词问题</groupName>
      <ability>L2_Typo</ability>
      <abilityName>字词错误</abilityName>
      <candidateList>
        <item>措施</item>
      </candidateList>
      <explain>〈名〉针对某种情况而采取的处理办法（用于较大的事情）：计划已经订出，～应该跟上。</explain>
      <paraID>37448050</paraID>
      <start>53</start>
      <end>55</end>
      <status>modified</status>
      <modifiedWord>措施</modifiedWord>
      <trackRevisions>false</trackRevisions>
    </reviewItem>
    <reviewItem>
      <errorID>a01068df-0895-48ae-ad6e-76761f883485</errorID>
      <errorWord>(</errorWord>
      <group>L1_Format</group>
      <groupName>格式问题</groupName>
      <ability>L2_HalfPunc</ability>
      <abilityName>全半角检查</abilityName>
      <candidateList>
        <item>（</item>
      </candidateList>
      <explain>文本全半角错误。</explain>
      <paraID>4E67C6B9</paraID>
      <start>11</start>
      <end>12</end>
      <status>modified</status>
      <modifiedWord>（</modifiedWord>
      <trackRevisions>false</trackRevisions>
    </reviewItem>
    <reviewItem>
      <errorID>b3a6ac60-3fb1-4efc-a77a-6da9b50cf19a</errorID>
      <errorWord>)</errorWord>
      <group>L1_Format</group>
      <groupName>格式问题</groupName>
      <ability>L2_HalfPunc</ability>
      <abilityName>全半角检查</abilityName>
      <candidateList>
        <item>）</item>
      </candidateList>
      <explain>文本全半角错误。</explain>
      <paraID>4E67C6B9</paraID>
      <start>16</start>
      <end>17</end>
      <status>modified</status>
      <modifiedWord>）</modifiedWord>
      <trackRevisions>false</trackRevisions>
    </reviewItem>
    <reviewItem>
      <errorID>653eb901-be4a-41eb-8b93-e2d8752604ff</errorID>
      <errorWord>(</errorWord>
      <group>L1_Format</group>
      <groupName>格式问题</groupName>
      <ability>L2_HalfPunc</ability>
      <abilityName>全半角检查</abilityName>
      <candidateList>
        <item>（</item>
      </candidateList>
      <explain>文本全半角错误。</explain>
      <paraID>1C3CA82C</paraID>
      <start>14</start>
      <end>15</end>
      <status>modified</status>
      <modifiedWord>（</modifiedWord>
      <trackRevisions>false</trackRevisions>
    </reviewItem>
    <reviewItem>
      <errorID>6ea9fe04-da12-45b4-8836-c6b4851784ce</errorID>
      <errorWord>)</errorWord>
      <group>L1_Format</group>
      <groupName>格式问题</groupName>
      <ability>L2_HalfPunc</ability>
      <abilityName>全半角检查</abilityName>
      <candidateList>
        <item>）</item>
      </candidateList>
      <explain>文本全半角错误。</explain>
      <paraID>1C3CA82C</paraID>
      <start>19</start>
      <end>20</end>
      <status>modified</status>
      <modifiedWord>）</modifiedWord>
      <trackRevisions>false</trackRevisions>
    </reviewItem>
    <reviewItem>
      <errorID>92bea26a-acfb-47bf-b776-9a99d13cc817</errorID>
      <errorWord>;</errorWord>
      <group>L1_Format</group>
      <groupName>格式问题</groupName>
      <ability>L2_HalfPunc</ability>
      <abilityName>全半角检查</abilityName>
      <candidateList>
        <item>；</item>
      </candidateList>
      <explain>文本全半角错误。</explain>
      <paraID>2E7788F4</paraID>
      <start>119</start>
      <end>120</end>
      <status>modified</status>
      <modifiedWord>；</modifiedWord>
      <trackRevisions>false</trackRevisions>
    </reviewItem>
    <reviewItem>
      <errorID>77a2dd62-3abc-4b2a-84ff-6fc2d1d02a87</errorID>
      <errorWord>国家发改委</errorWord>
      <group>L1_Knowledge</group>
      <groupName>知识性问题</groupName>
      <ability>L2_Knowledge</ability>
      <abilityName>其他知识</abilityName>
      <candidateList>
        <item>国家发展改革委</item>
      </candidateList>
      <explain/>
      <paraID>537D3779</paraID>
      <start>42</start>
      <end>49</end>
      <status>modified</status>
      <modifiedWord>国家发展改革委</modifiedWord>
      <trackRevisions>false</trackRevisions>
    </reviewItem>
    <reviewItem>
      <errorID>166e1db3-226c-45e4-bdff-45c47530701a</errorID>
      <errorWord>纯化作用</errorWord>
      <group>L1_Knowledge</group>
      <groupName>知识性问题</groupName>
      <ability>L2_Term</ability>
      <abilityName>专业术语</abilityName>
      <candidateList>
        <item>光化作用</item>
      </candidateList>
      <explain/>
      <paraID>6BAAA802</paraID>
      <start>102</start>
      <end>106</end>
      <status>unmodified</status>
      <modifiedWord/>
      <trackRevisions>false</trackRevisions>
    </reviewItem>
    <reviewItem>
      <errorID>427ad65f-877a-432a-981d-f3b720937f1f</errorID>
      <errorWord>，在</errorWord>
      <group>L1_Word</group>
      <groupName>字词问题</groupName>
      <ability>L2_Typo</ability>
      <abilityName>字词错误</abilityName>
      <candidateList>
        <item>，</item>
      </candidateList>
      <explain/>
      <paraID> C1DAAA6</paraID>
      <start>232</start>
      <end>233</end>
      <status>modified</status>
      <modifiedWord>，</modifiedWord>
      <trackRevisions>false</trackRevisions>
    </reviewItem>
    <reviewItem>
      <errorID>bfe735af-1b21-49a3-a8aa-318dadcce620</errorID>
      <errorWord>投</errorWord>
      <group>L1_Word</group>
      <groupName>字词问题</groupName>
      <ability>L2_Typo</ability>
      <abilityName>字词错误</abilityName>
      <candidateList>
        <item>投资</item>
      </candidateList>
      <explain/>
      <paraID>345E524D</paraID>
      <start>16</start>
      <end>18</end>
      <status>modified</status>
      <modifiedWord>投资</modifiedWord>
      <trackRevisions>false</trackRevisions>
    </reviewItem>
    <reviewItem>
      <errorID>1e495e1b-ff0a-4087-8b98-4168e13c8300</errorID>
      <errorWord>)</errorWord>
      <group>L1_Format</group>
      <groupName>格式问题</groupName>
      <ability>L2_HalfPunc</ability>
      <abilityName>全半角检查</abilityName>
      <candidateList>
        <item>）</item>
      </candidateList>
      <explain>文本全半角错误。</explain>
      <paraID>36E900AE</paraID>
      <start>54</start>
      <end>55</end>
      <status>modified</status>
      <modifiedWord>）</modifiedWord>
      <trackRevisions>false</trackRevisions>
    </reviewItem>
    <reviewItem>
      <errorID>9d9e7e23-1bbc-4a0b-826c-24bcf6cb223a</errorID>
      <errorWord>(</errorWord>
      <group>L1_Format</group>
      <groupName>格式问题</groupName>
      <ability>L2_HalfPunc</ability>
      <abilityName>全半角检查</abilityName>
      <candidateList>
        <item>（</item>
      </candidateList>
      <explain>文本全半角错误。</explain>
      <paraID>36E900AE</paraID>
      <start>187</start>
      <end>188</end>
      <status>modified</status>
      <modifiedWord>（</modifiedWord>
      <trackRevisions>false</trackRevisions>
    </reviewItem>
    <reviewItem>
      <errorID>f3c51b04-88dd-4c99-b4a6-97593a4397c2</errorID>
      <errorWord>)</errorWord>
      <group>L1_Format</group>
      <groupName>格式问题</groupName>
      <ability>L2_HalfPunc</ability>
      <abilityName>全半角检查</abilityName>
      <candidateList>
        <item>）</item>
      </candidateList>
      <explain>文本全半角错误。</explain>
      <paraID>36E900AE</paraID>
      <start>194</start>
      <end>195</end>
      <status>modified</status>
      <modifiedWord>）</modifiedWord>
      <trackRevisions>false</trackRevisions>
    </reviewItem>
    <reviewItem>
      <errorID>36612d74-bf0d-4a9d-a3db-2b8341cf9f61</errorID>
      <errorWord>检测报告</errorWord>
      <group>L1_Word</group>
      <groupName>字词问题</groupName>
      <ability>L2_Typo</ability>
      <abilityName>字词错误</abilityName>
      <candidateList>
        <item>监测报告</item>
      </candidateList>
      <explain/>
      <paraID>36E900AE</paraID>
      <start>357</start>
      <end>361</end>
      <status>unmodified</status>
      <modifiedWord/>
      <trackRevisions>false</trackRevisions>
    </reviewItem>
    <reviewItem>
      <errorID>3ee3ac5b-794c-4fb6-9efb-424af7ab2cb5</errorID>
      <errorWord>～</errorWord>
      <group>L1_Format</group>
      <groupName>格式问题</groupName>
      <ability>L2_HalfPunc</ability>
      <abilityName>全半角检查</abilityName>
      <candidateList>
        <item>~</item>
      </candidateList>
      <explain>文本全半角错误。</explain>
      <paraID>4EF410D5</paraID>
      <start>3</start>
      <end>4</end>
      <status>unmodified</status>
      <modifiedWord/>
      <trackRevisions>false</trackRevisions>
    </reviewItem>
    <reviewItem>
      <errorID>5c94d747-f15b-4f50-9baf-ff7ebb5d380d</errorID>
      <errorWord>:</errorWord>
      <group>L1_Format</group>
      <groupName>格式问题</groupName>
      <ability>L2_HalfPunc</ability>
      <abilityName>全半角检查</abilityName>
      <candidateList>
        <item>：</item>
      </candidateList>
      <explain>文本全半角错误。</explain>
      <paraID>15198C4A</paraID>
      <start>7</start>
      <end>8</end>
      <status>modified</status>
      <modifiedWord>：</modifiedWord>
      <trackRevisions>false</trackRevisions>
    </reviewItem>
    <reviewItem>
      <errorID>d8cad110-6996-40d5-837c-430fe1ed1fd9</errorID>
      <errorWord>,</errorWord>
      <group>L1_Format</group>
      <groupName>格式问题</groupName>
      <ability>L2_HalfPunc</ability>
      <abilityName>全半角检查</abilityName>
      <candidateList>
        <item>，</item>
      </candidateList>
      <explain>文本全半角错误。</explain>
      <paraID>15198C4A</paraID>
      <start>93</start>
      <end>94</end>
      <status>modified</status>
      <modifiedWord>，</modifiedWord>
      <trackRevisions>false</trackRevisions>
    </reviewItem>
    <reviewItem>
      <errorID>8f7f15b4-4656-4caf-8b92-f64384160dcd</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❷后缀。a）〈动〉词后缀：合～｜属～｜在～｜至～。b）形容词后缀：勇～负责｜善～调度｜易～了解｜难～实行。</explain>
      <paraID>5AAB8901</paraID>
      <start>35</start>
      <end>36</end>
      <status>modified</status>
      <modifiedWord>于</modifiedWord>
      <trackRevisions>false</trackRevisions>
    </reviewItem>
    <reviewItem>
      <errorID>b916a26c-3538-4959-a0d4-74a423ebe4f5</errorID>
      <errorWord>:</errorWord>
      <group>L1_Format</group>
      <groupName>格式问题</groupName>
      <ability>L2_HalfPunc</ability>
      <abilityName>全半角检查</abilityName>
      <candidateList>
        <item>：</item>
      </candidateList>
      <explain>文本全半角错误。</explain>
      <paraID>5B49B905</paraID>
      <start>8</start>
      <end>9</end>
      <status>modified</status>
      <modifiedWord>：</modifiedWord>
      <trackRevisions>false</trackRevisions>
    </reviewItem>
    <reviewItem>
      <errorID>d7b176d0-598f-43c1-a21f-f1e6f0934db3</errorID>
      <errorWord>包被</errorWord>
      <group>L1_Word</group>
      <groupName>字词问题</groupName>
      <ability>L2_Typo</ability>
      <abilityName>字词错误</abilityName>
      <candidateList>
        <item>包覆</item>
      </candidateList>
      <explain/>
      <paraID>3E57CE75</paraID>
      <start>113</start>
      <end>115</end>
      <status>unmodified</status>
      <modifiedWord/>
      <trackRevisions>false</trackRevisions>
    </reviewItem>
    <reviewItem>
      <errorID>5202d2ef-c6ba-4ea6-962b-c2c2a44e61da</errorID>
      <errorWord>使用</errorWord>
      <group>L1_Word</group>
      <groupName>字词问题</groupName>
      <ability>L2_Typo</ability>
      <abilityName>字词错误</abilityName>
      <candidateList>
        <item>适用</item>
      </candidateList>
      <explain>存在发音相同字词的误用。</explain>
      <paraID>3E57CE75</paraID>
      <start>119</start>
      <end>121</end>
      <status>unmodified</status>
      <modifiedWord/>
      <trackRevisions>false</trackRevisions>
    </reviewItem>
    <reviewItem>
      <errorID>747e6e3f-b307-4d06-8cdd-7f0d0c3657e3</errorID>
      <errorWord>其它</errorWord>
      <group>L1_Word</group>
      <groupName>字词问题</groupName>
      <ability>L2_Alias</ability>
      <abilityName>也作/曾用词</abilityName>
      <candidateList>
        <item>其他</item>
      </candidateList>
      <explain>词汇[其它]为不规范表述或旧称，其规范书面表述为[其他]。</explain>
      <paraID>3E57CE75</paraID>
      <start>215</start>
      <end>217</end>
      <status>unmodified</status>
      <modifiedWord/>
      <trackRevisions>false</trackRevisions>
    </reviewItem>
    <reviewItem>
      <errorID>a59dcb77-c33a-4663-882c-acb241f1b763</errorID>
      <errorWord>粘附</errorWord>
      <group>L1_Word</group>
      <groupName>字词问题</groupName>
      <ability>L2_Alias</ability>
      <abilityName>也作/曾用词</abilityName>
      <candidateList>
        <item>黏附</item>
      </candidateList>
      <explain>词汇[粘附]为不规范表述或旧称，其规范书面表述为[黏附]。</explain>
      <paraID>2B50A473</paraID>
      <start>134</start>
      <end>136</end>
      <status>unmodified</status>
      <modifiedWord/>
      <trackRevisions>false</trackRevisions>
    </reviewItem>
    <reviewItem>
      <errorID>ff2cd07a-5f73-48c5-bba7-47c9462d1bde</errorID>
      <errorWord>(</errorWord>
      <group>L1_Format</group>
      <groupName>格式问题</groupName>
      <ability>L2_HalfPunc</ability>
      <abilityName>全半角检查</abilityName>
      <candidateList>
        <item>（</item>
      </candidateList>
      <explain>文本全半角错误。</explain>
      <paraID>667AF4E2</paraID>
      <start>17</start>
      <end>18</end>
      <status>modified</status>
      <modifiedWord>（</modifiedWord>
      <trackRevisions>false</trackRevisions>
    </reviewItem>
    <reviewItem>
      <errorID>c9936cb2-7f92-4925-9160-85f85ba6c0ed</errorID>
      <errorWord>)</errorWord>
      <group>L1_Format</group>
      <groupName>格式问题</groupName>
      <ability>L2_HalfPunc</ability>
      <abilityName>全半角检查</abilityName>
      <candidateList>
        <item>）</item>
      </candidateList>
      <explain>文本全半角错误。</explain>
      <paraID>667AF4E2</paraID>
      <start>19</start>
      <end>20</end>
      <status>modified</status>
      <modifiedWord>）</modifiedWord>
      <trackRevisions>false</trackRevisions>
    </reviewItem>
    <reviewItem>
      <errorID>a86d8927-5f39-4aa6-ab8a-d40d08fc61b4</errorID>
      <errorWord>（</errorWord>
      <group>L1_Format</group>
      <groupName>格式问题</groupName>
      <ability>L2_HalfPunc</ability>
      <abilityName>全半角检查</abilityName>
      <candidateList>
        <item>(</item>
      </candidateList>
      <explain>文本全半角错误。</explain>
      <paraID>667AF4E2</paraID>
      <start>48</start>
      <end>49</end>
      <status>modified</status>
      <modifiedWord>(</modifiedWord>
      <trackRevisions>false</trackRevisions>
    </reviewItem>
    <reviewItem>
      <errorID>6cb7727a-2164-4996-a779-da1c648a8376</errorID>
      <errorWord>)</errorWord>
      <group>L1_Format</group>
      <groupName>格式问题</groupName>
      <ability>L2_HalfPunc</ability>
      <abilityName>全半角检查</abilityName>
      <candidateList>
        <item>）</item>
      </candidateList>
      <explain>文本全半角错误。</explain>
      <paraID>667AF4E2</paraID>
      <start>52</start>
      <end>53</end>
      <status>modified</status>
      <modifiedWord>）</modifiedWord>
      <trackRevisions>false</trackRevisions>
    </reviewItem>
    <reviewItem>
      <errorID>c5a769d7-fc47-4d1a-b322-b1cf6fc461aa</errorID>
      <errorWord>Ph值</errorWord>
      <group>L1_Word</group>
      <groupName>字词问题</groupName>
      <ability>L2_Typo</ability>
      <abilityName>字词错误</abilityName>
      <candidateList>
        <item>pH值</item>
      </candidateList>
      <explain/>
      <paraID>667AF4E2</paraID>
      <start>230</start>
      <end>233</end>
      <status>modified</status>
      <modifiedWord>pH值</modifiedWord>
      <trackRevisions>false</trackRevisions>
    </reviewItem>
    <reviewItem>
      <errorID>32929132-32ec-471b-9b12-b7cc8373781b</errorID>
      <errorWord>粘稠</errorWord>
      <group>L1_Word</group>
      <groupName>字词问题</groupName>
      <ability>L2_Typo</ability>
      <abilityName>字词错误</abilityName>
      <candidateList>
        <item>黏稠</item>
      </candidateList>
      <explain>存在发音相同字词的误用。</explain>
      <paraID>156F9BEE</paraID>
      <start>10</start>
      <end>12</end>
      <status>unmodified</status>
      <modifiedWord/>
      <trackRevisions>false</trackRevisions>
    </reviewItem>
    <reviewItem>
      <errorID>624eb9f0-58ff-459f-8ed0-216619e73a5b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156F9BEE</paraID>
      <start>135</start>
      <end>136</end>
      <status>unmodified</status>
      <modifiedWord/>
      <trackRevisions>false</trackRevisions>
    </reviewItem>
    <reviewItem>
      <errorID>b3aa0b40-8c18-40ee-8a58-2d5022ece1ee</errorID>
      <errorWord>原还</errorWord>
      <group>L1_Word</group>
      <groupName>字词问题</groupName>
      <ability>L2_Typo</ability>
      <abilityName>字词错误</abilityName>
      <candidateList>
        <item>还原</item>
      </candidateList>
      <explain/>
      <paraID>156F9BEE</paraID>
      <start>203</start>
      <end>205</end>
      <status>modified</status>
      <modifiedWord>还原</modifiedWord>
      <trackRevisions>false</trackRevisions>
    </reviewItem>
    <reviewItem>
      <errorID>a09964c0-d001-46e3-86e0-a5293373173a</errorID>
      <errorWord>,</errorWord>
      <group>L1_Format</group>
      <groupName>格式问题</groupName>
      <ability>L2_HalfPunc</ability>
      <abilityName>全半角检查</abilityName>
      <candidateList>
        <item>，</item>
      </candidateList>
      <explain>文本全半角错误。</explain>
      <paraID>745318BB</paraID>
      <start>48</start>
      <end>49</end>
      <status>modified</status>
      <modifiedWord>，</modifiedWord>
      <trackRevisions>false</trackRevisions>
    </reviewItem>
    <reviewItem>
      <errorID>e1c4acac-6375-4281-800c-511583be880b</errorID>
      <errorWord>,</errorWord>
      <group>L1_Format</group>
      <groupName>格式问题</groupName>
      <ability>L2_HalfPunc</ability>
      <abilityName>全半角检查</abilityName>
      <candidateList>
        <item>，</item>
      </candidateList>
      <explain>文本全半角错误。</explain>
      <paraID>745318BB</paraID>
      <start>55</start>
      <end>56</end>
      <status>modified</status>
      <modifiedWord>，</modifiedWord>
      <trackRevisions>false</trackRevisions>
    </reviewItem>
    <reviewItem>
      <errorID>03ab7e6e-ceaf-41b7-807d-1f161acd4169</errorID>
      <errorWord>,</errorWord>
      <group>L1_Format</group>
      <groupName>格式问题</groupName>
      <ability>L2_HalfPunc</ability>
      <abilityName>全半角检查</abilityName>
      <candidateList>
        <item>，</item>
      </candidateList>
      <explain>文本全半角错误。</explain>
      <paraID>745318BB</paraID>
      <start>159</start>
      <end>160</end>
      <status>modified</status>
      <modifiedWord>，</modifiedWord>
      <trackRevisions>false</trackRevisions>
    </reviewItem>
    <reviewItem>
      <errorID>b9404548-7c39-4df8-9fd7-aa78582f0aa0</errorID>
      <errorWord>（</errorWord>
      <group>L1_Format</group>
      <groupName>格式问题</groupName>
      <ability>L2_HalfPunc</ability>
      <abilityName>全半角检查</abilityName>
      <candidateList>
        <item>(</item>
      </candidateList>
      <explain>文本全半角错误。</explain>
      <paraID> FC40E48</paraID>
      <start>0</start>
      <end>1</end>
      <status>modified</status>
      <modifiedWord>(</modifiedWord>
      <trackRevisions>false</trackRevisions>
    </reviewItem>
    <reviewItem>
      <errorID>1b9e7d6a-809d-4a35-ad47-af347e321589</errorID>
      <errorWord>）</errorWord>
      <group>L1_Format</group>
      <groupName>格式问题</groupName>
      <ability>L2_HalfPunc</ability>
      <abilityName>全半角检查</abilityName>
      <candidateList>
        <item>)</item>
      </candidateList>
      <explain>文本全半角错误。</explain>
      <paraID> FC40E48</paraID>
      <start>4</start>
      <end>5</end>
      <status>modified</status>
      <modifiedWord>)</modifiedWord>
      <trackRevisions>false</trackRevisions>
    </reviewItem>
    <reviewItem>
      <errorID>1f19cee3-c1d7-45d0-9021-d7d53c9d2a2a</errorID>
      <errorWord>（</errorWord>
      <group>L1_Format</group>
      <groupName>格式问题</groupName>
      <ability>L2_HalfPunc</ability>
      <abilityName>全半角检查</abilityName>
      <candidateList>
        <item>(</item>
      </candidateList>
      <explain>文本全半角错误。</explain>
      <paraID>5B804036</paraID>
      <start>0</start>
      <end>1</end>
      <status>modified</status>
      <modifiedWord>(</modifiedWord>
      <trackRevisions>false</trackRevisions>
    </reviewItem>
    <reviewItem>
      <errorID>7d6ea8f5-a0d6-4d44-a5f9-b632a8620ae9</errorID>
      <errorWord>）</errorWord>
      <group>L1_Format</group>
      <groupName>格式问题</groupName>
      <ability>L2_HalfPunc</ability>
      <abilityName>全半角检查</abilityName>
      <candidateList>
        <item>)</item>
      </candidateList>
      <explain>文本全半角错误。</explain>
      <paraID>5B804036</paraID>
      <start>4</start>
      <end>5</end>
      <status>modified</status>
      <modifiedWord>)</modifiedWord>
      <trackRevisions>false</trackRevisions>
    </reviewItem>
    <reviewItem>
      <errorID>ccfe273e-e159-4d38-840d-f5822bde0c19</errorID>
      <errorWord>,</errorWord>
      <group>L1_Format</group>
      <groupName>格式问题</groupName>
      <ability>L2_HalfPunc</ability>
      <abilityName>全半角检查</abilityName>
      <candidateList>
        <item>，</item>
      </candidateList>
      <explain>文本全半角错误。</explain>
      <paraID>56BBE101</paraID>
      <start>28</start>
      <end>29</end>
      <status>modified</status>
      <modifiedWord>，</modifiedWord>
      <trackRevisions>false</trackRevisions>
    </reviewItem>
    <reviewItem>
      <errorID>f52c0e6f-9f0d-4816-9bbe-5c353f22cf9b</errorID>
      <errorWord>;</errorWord>
      <group>L1_Format</group>
      <groupName>格式问题</groupName>
      <ability>L2_HalfPunc</ability>
      <abilityName>全半角检查</abilityName>
      <candidateList>
        <item>；</item>
      </candidateList>
      <explain>文本全半角错误。</explain>
      <paraID> 86F7EA3</paraID>
      <start>22</start>
      <end>23</end>
      <status>modified</status>
      <modifiedWord>；</modifiedWord>
      <trackRevisions>false</trackRevisions>
    </reviewItem>
    <reviewItem>
      <errorID>3b01cb53-64df-4426-aa44-1a209a3cb193</errorID>
      <errorWord>;</errorWord>
      <group>L1_Format</group>
      <groupName>格式问题</groupName>
      <ability>L2_HalfPunc</ability>
      <abilityName>全半角检查</abilityName>
      <candidateList>
        <item>；</item>
      </candidateList>
      <explain>文本全半角错误。</explain>
      <paraID> 86F7EA3</paraID>
      <start>30</start>
      <end>31</end>
      <status>modified</status>
      <modifiedWord>；</modifiedWord>
      <trackRevisions>false</trackRevisions>
    </reviewItem>
    <reviewItem>
      <errorID>fb5c3481-e5e4-4bdc-9152-f4360a1ea8f4</errorID>
      <errorWord>;</errorWord>
      <group>L1_Format</group>
      <groupName>格式问题</groupName>
      <ability>L2_HalfPunc</ability>
      <abilityName>全半角检查</abilityName>
      <candidateList>
        <item>；</item>
      </candidateList>
      <explain>文本全半角错误。</explain>
      <paraID> 86F7EA3</paraID>
      <start>51</start>
      <end>52</end>
      <status>modified</status>
      <modifiedWord>；</modifiedWord>
      <trackRevisions>false</trackRevisions>
    </reviewItem>
    <reviewItem>
      <errorID>56b2a5ad-2118-4825-a9b9-3a2ec965053c</errorID>
      <errorWord>;</errorWord>
      <group>L1_Format</group>
      <groupName>格式问题</groupName>
      <ability>L2_HalfPunc</ability>
      <abilityName>全半角检查</abilityName>
      <candidateList>
        <item>；</item>
      </candidateList>
      <explain>文本全半角错误。</explain>
      <paraID>52969457</paraID>
      <start>68</start>
      <end>69</end>
      <status>modified</status>
      <modifiedWord>；</modifiedWord>
      <trackRevisions>false</trackRevisions>
    </reviewItem>
    <reviewItem>
      <errorID>4e7f2ef5-c549-41a7-96bd-96e5f1c66d1b</errorID>
      <errorWord>裏</errorWord>
      <group>L1_Word</group>
      <groupName>字词问题</groupName>
      <ability>L2_Fanti</ability>
      <abilityName>繁转简</abilityName>
      <candidateList>
        <item>里</item>
      </candidateList>
      <explain>（裏、裡）•li〈名〉方位词。❶里面；内部（跟“外”相对）：手～｜箱子～｜话～有话。❷附在“这、那、哪”等字后边表示地点：这～｜那～｜头～。</explain>
      <paraID>1EC5E576</paraID>
      <start>10</start>
      <end>11</end>
      <status>unmodified</status>
      <modifiedWord/>
      <trackRevisions>false</trackRevisions>
    </reviewItem>
    <reviewItem>
      <errorID>70b62a75-52a9-4a62-bf05-dd2b6431b336</errorID>
      <errorWord>;</errorWord>
      <group>L1_Format</group>
      <groupName>格式问题</groupName>
      <ability>L2_HalfPunc</ability>
      <abilityName>全半角检查</abilityName>
      <candidateList>
        <item>；</item>
      </candidateList>
      <explain>文本全半角错误。</explain>
      <paraID>48C202B2</paraID>
      <start>13</start>
      <end>14</end>
      <status>modified</status>
      <modifiedWord>；</modifiedWord>
      <trackRevisions>false</trackRevisions>
    </reviewItem>
    <reviewItem>
      <errorID>87d30d59-1389-4833-9248-284848132a0b</errorID>
      <errorWord>;</errorWord>
      <group>L1_Format</group>
      <groupName>格式问题</groupName>
      <ability>L2_HalfPunc</ability>
      <abilityName>全半角检查</abilityName>
      <candidateList>
        <item>；</item>
      </candidateList>
      <explain>文本全半角错误。</explain>
      <paraID>6BD5C94F</paraID>
      <start>45</start>
      <end>46</end>
      <status>modified</status>
      <modifiedWord>；</modifiedWord>
      <trackRevisions>false</trackRevisions>
    </reviewItem>
    <reviewItem>
      <errorID>7beb9732-ec7f-47cc-bef1-e013ae999171</errorID>
      <errorWord>,</errorWord>
      <group>L1_Format</group>
      <groupName>格式问题</groupName>
      <ability>L2_HalfPunc</ability>
      <abilityName>全半角检查</abilityName>
      <candidateList>
        <item>，</item>
      </candidateList>
      <explain>文本全半角错误。</explain>
      <paraID>6BD5C94F</paraID>
      <start>49</start>
      <end>50</end>
      <status>modified</status>
      <modifiedWord>，</modifiedWord>
      <trackRevisions>false</trackRevisions>
    </reviewItem>
    <reviewItem>
      <errorID>625bca76-ec0d-47d9-8a40-d7f396bb8ea1</errorID>
      <errorWord>满足满足</errorWord>
      <group>L1_Word</group>
      <groupName>字词问题</groupName>
      <ability>L2_Typo</ability>
      <abilityName>字词错误</abilityName>
      <candidateList>
        <item>满足</item>
      </candidateList>
      <explain/>
      <paraID>5B2DA979</paraID>
      <start>50</start>
      <end>54</end>
      <status>unmodified</status>
      <modifiedWord/>
      <trackRevisions>false</trackRevisions>
    </reviewItem>
    <reviewItem>
      <errorID>3ae14aed-bb8d-42a7-a7bd-8c335abc57eb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1E7A8AF2</paraID>
      <start>0</start>
      <end>3</end>
      <status>modified</status>
      <modifiedWord>（1）</modifiedWord>
      <trackRevisions>false</trackRevisions>
    </reviewItem>
    <reviewItem>
      <errorID>0d793696-4b86-487f-838c-933c8b03e973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17A26BB4</paraID>
      <start>0</start>
      <end>3</end>
      <status>modified</status>
      <modifiedWord>（2）</modifiedWord>
      <trackRevisions>false</trackRevisions>
    </reviewItem>
    <reviewItem>
      <errorID>70a65cb9-239e-4f48-91db-73fcfe7175f2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1D1FBA56</paraID>
      <start>0</start>
      <end>3</end>
      <status>modified</status>
      <modifiedWord>（3）</modifiedWord>
      <trackRevisions>false</trackRevisions>
    </reviewItem>
    <reviewItem>
      <errorID>6aac4111-59d1-42db-aef0-e22aadace967</errorID>
      <errorWord>減</errorWord>
      <group>L1_Word</group>
      <groupName>字词问题</groupName>
      <ability>L2_Fanti</ability>
      <abilityName>繁转简</abilityName>
      <candidateList>
        <item>减</item>
      </candidateList>
      <explain/>
      <paraID>2AAEA92F</paraID>
      <start>71</start>
      <end>72</end>
      <status>modified</status>
      <modifiedWord>减</modifiedWord>
      <trackRevisions>false</trackRevisions>
    </reviewItem>
    <reviewItem>
      <errorID>d06b4915-8973-4233-90d2-04d2063bef57</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5A494390</paraID>
      <start>23</start>
      <end>25</end>
      <status>modified</status>
      <modifiedWord>经过</modifiedWord>
      <trackRevisions>false</trackRevisions>
    </reviewItem>
    <reviewItem>
      <errorID>0fe9b5a7-6c86-4c96-8634-8290027dcc75</errorID>
      <errorWord>)</errorWord>
      <group>L1_Format</group>
      <groupName>格式问题</groupName>
      <ability>L2_HalfPunc</ability>
      <abilityName>全半角检查</abilityName>
      <candidateList>
        <item>）</item>
      </candidateList>
      <explain>文本全半角错误。</explain>
      <paraID>2611B7BD</paraID>
      <start>99</start>
      <end>100</end>
      <status>modified</status>
      <modifiedWord>）</modifiedWord>
      <trackRevisions>false</trackRevisions>
    </reviewItem>
    <reviewItem>
      <errorID>fd17b46e-5ff3-40da-afd9-846a15e85818</errorID>
      <errorWord>固体废物检测</errorWord>
      <group>L1_Knowledge</group>
      <groupName>知识性问题</groupName>
      <ability>L2_Term</ability>
      <abilityName>专业术语</abilityName>
      <candidateList>
        <item>固体废物监测</item>
      </candidateList>
      <explain/>
      <paraID>6ECC7A4A</paraID>
      <start>22</start>
      <end>28</end>
      <status>unmodified</status>
      <modifiedWord/>
      <trackRevisions>false</trackRevisions>
    </reviewItem>
    <reviewItem>
      <errorID>980538ae-8488-43c8-848b-4084876c0058</errorID>
      <errorWord>(</errorWord>
      <group>L1_Format</group>
      <groupName>格式问题</groupName>
      <ability>L2_HalfPunc</ability>
      <abilityName>全半角检查</abilityName>
      <candidateList>
        <item>（</item>
      </candidateList>
      <explain>文本全半角错误。</explain>
      <paraID>32A5F8FE</paraID>
      <start>21</start>
      <end>22</end>
      <status>modified</status>
      <modifiedWord>（</modifiedWord>
      <trackRevisions>false</trackRevisions>
    </reviewItem>
    <reviewItem>
      <errorID>2c3dbfbe-aeb2-493e-870d-9f069766c955</errorID>
      <errorWord>)</errorWord>
      <group>L1_Format</group>
      <groupName>格式问题</groupName>
      <ability>L2_HalfPunc</ability>
      <abilityName>全半角检查</abilityName>
      <candidateList>
        <item>）</item>
      </candidateList>
      <explain>文本全半角错误。</explain>
      <paraID>32A5F8FE</paraID>
      <start>37</start>
      <end>38</end>
      <status>modified</status>
      <modifiedWord>）</modifiedWord>
      <trackRevisions>false</trackRevisions>
    </reviewItem>
    <reviewItem>
      <errorID>305c04a4-443c-4097-8bc8-235fca62e37d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3B0EC6A</paraID>
      <start>50</start>
      <end>51</end>
      <status>unmodified</status>
      <modifiedWord/>
      <trackRevisions>false</trackRevisions>
    </reviewItem>
    <reviewItem>
      <errorID>0be89267-f477-41a1-b1a9-234b664a4690</errorID>
      <errorWord>：</errorWord>
      <group>L1_Format</group>
      <groupName>格式问题</groupName>
      <ability>L2_HalfPunc</ability>
      <abilityName>全半角检查</abilityName>
      <candidateList>
        <item>:</item>
      </candidateList>
      <explain>文本全半角错误。</explain>
      <paraID>30E82997</paraID>
      <start>1</start>
      <end>2</end>
      <status>modified</status>
      <modifiedWord>:</modifiedWord>
      <trackRevisions>false</trackRevisions>
    </reviewItem>
    <reviewItem>
      <errorID>2e74fe4c-0dc7-4417-b554-7c71a54f1e32</errorID>
      <errorWord>：</errorWord>
      <group>L1_Format</group>
      <groupName>格式问题</groupName>
      <ability>L2_HalfPunc</ability>
      <abilityName>全半角检查</abilityName>
      <candidateList>
        <item>:</item>
      </candidateList>
      <explain>文本全半角错误。</explain>
      <paraID> E1F0D77</paraID>
      <start>1</start>
      <end>2</end>
      <status>modified</status>
      <modifiedWord>:</modifiedWord>
      <trackRevisions>false</trackRevisions>
    </reviewItem>
    <reviewItem>
      <errorID>35d1c1af-4a93-4cf6-b057-88d712ee894c</errorID>
      <errorWord>（</errorWord>
      <group>L1_Format</group>
      <groupName>格式问题</groupName>
      <ability>L2_HalfPunc</ability>
      <abilityName>全半角检查</abilityName>
      <candidateList>
        <item>(</item>
      </candidateList>
      <explain>文本全半角错误。</explain>
      <paraID>238CFE99</paraID>
      <start>0</start>
      <end>1</end>
      <status>modified</status>
      <modifiedWord>(</modifiedWord>
      <trackRevisions>false</trackRevisions>
    </reviewItem>
    <reviewItem>
      <errorID>b2579b76-4514-4074-bf06-773f08f1f768</errorID>
      <errorWord>）</errorWord>
      <group>L1_Format</group>
      <groupName>格式问题</groupName>
      <ability>L2_HalfPunc</ability>
      <abilityName>全半角检查</abilityName>
      <candidateList>
        <item>)</item>
      </candidateList>
      <explain>文本全半角错误。</explain>
      <paraID>238CFE99</paraID>
      <start>6</start>
      <end>7</end>
      <status>modified</status>
      <modifiedWord>)</modifiedWord>
      <trackRevisions>false</trackRevisions>
    </reviewItem>
    <reviewItem>
      <errorID>14c689c7-ba28-4758-b5f0-b65dbffd4c3a</errorID>
      <errorWord>（</errorWord>
      <group>L1_Format</group>
      <groupName>格式问题</groupName>
      <ability>L2_HalfPunc</ability>
      <abilityName>全半角检查</abilityName>
      <candidateList>
        <item>(</item>
      </candidateList>
      <explain>文本全半角错误。</explain>
      <paraID> 6056265</paraID>
      <start>0</start>
      <end>1</end>
      <status>modified</status>
      <modifiedWord>(</modifiedWord>
      <trackRevisions>false</trackRevisions>
    </reviewItem>
    <reviewItem>
      <errorID>2d687838-1e69-445a-bb5b-99394f5a6fd3</errorID>
      <errorWord>）</errorWord>
      <group>L1_Format</group>
      <groupName>格式问题</groupName>
      <ability>L2_HalfPunc</ability>
      <abilityName>全半角检查</abilityName>
      <candidateList>
        <item>)</item>
      </candidateList>
      <explain>文本全半角错误。</explain>
      <paraID> 6056265</paraID>
      <start>6</start>
      <end>7</end>
      <status>modified</status>
      <modifiedWord>)</modifiedWord>
      <trackRevisions>false</trackRevisions>
    </reviewItem>
    <reviewItem>
      <errorID>56d052db-c67c-4e35-8dfb-a3ab4e97d0dc</errorID>
      <errorWord>满足可</errorWord>
      <group>L1_Word</group>
      <groupName>字词问题</groupName>
      <ability>L2_Typo</ability>
      <abilityName>字词错误</abilityName>
      <candidateList>
        <item>满足</item>
      </candidateList>
      <explain/>
      <paraID>58F99D67</paraID>
      <start>69</start>
      <end>71</end>
      <status>modified</status>
      <modifiedWord>满足</modifiedWord>
      <trackRevisions>false</trackRevisions>
    </reviewItem>
    <reviewItem>
      <errorID>06b8dd67-051b-45c7-b414-fccee46109ee</errorID>
      <errorWord>～</errorWord>
      <group>L1_Format</group>
      <groupName>格式问题</groupName>
      <ability>L2_HalfPunc</ability>
      <abilityName>全半角检查</abilityName>
      <candidateList>
        <item>~</item>
      </candidateList>
      <explain>文本全半角错误。</explain>
      <paraID>7A6DA853</paraID>
      <start>3</start>
      <end>4</end>
      <status>unmodified</status>
      <modifiedWord/>
      <trackRevisions>false</trackRevisions>
    </reviewItem>
    <reviewItem>
      <errorID>b2ee1427-b9ae-4248-988a-643a679a017f</errorID>
      <errorWord>期</errorWord>
      <group>L1_Word</group>
      <groupName>字词问题</groupName>
      <ability>L2_Typo</ability>
      <abilityName>字词错误</abilityName>
      <candidateList>
        <item>期间</item>
      </candidateList>
      <explain>〈名〉某个时期里面：农忙～｜春节～｜抗战～。</explain>
      <paraID>42BECAD9</paraID>
      <start>5</start>
      <end>7</end>
      <status>modified</status>
      <modifiedWord>期间</modifiedWord>
      <trackRevisions>false</trackRevisions>
    </reviewItem>
    <reviewItem>
      <errorID>26e60878-b2a2-494d-8e08-206df7c53cdf</errorID>
      <errorWord>工地</errorWord>
      <group>L1_Word</group>
      <groupName>字词问题</groupName>
      <ability>L2_Typo</ability>
      <abilityName>字词错误</abilityName>
      <candidateList>
        <item>场地</item>
      </candidateList>
      <explain>存在字形相近字词的误用。</explain>
      <paraID>746CF5E1</paraID>
      <start>17</start>
      <end>19</end>
      <status>modified</status>
      <modifiedWord>场地</modifiedWord>
      <trackRevisions>false</trackRevisions>
    </reviewItem>
    <reviewItem>
      <errorID>aa15494b-a87b-4112-8685-12b773300d90</errorID>
      <errorWord>工地</errorWord>
      <group>L1_Word</group>
      <groupName>字词问题</groupName>
      <ability>L2_Typo</ability>
      <abilityName>字词错误</abilityName>
      <candidateList>
        <item>场地</item>
      </candidateList>
      <explain/>
      <paraID>28C955FE</paraID>
      <start>15</start>
      <end>17</end>
      <status>modified</status>
      <modifiedWord>场地</modifiedWord>
      <trackRevisions>false</trackRevisions>
    </reviewItem>
    <reviewItem>
      <errorID>b22eadef-6478-4ca9-b4d0-ea76ba81e4f8</errorID>
      <errorWord>工地</errorWord>
      <group>L1_Word</group>
      <groupName>字词问题</groupName>
      <ability>L2_Typo</ability>
      <abilityName>字词错误</abilityName>
      <candidateList>
        <item>场地</item>
      </candidateList>
      <explain/>
      <paraID>19258B7E</paraID>
      <start>29</start>
      <end>31</end>
      <status>modified</status>
      <modifiedWord>场地</modifiedWord>
      <trackRevisions>false</trackRevisions>
    </reviewItem>
    <reviewItem>
      <errorID>1355d4f0-be7d-43e4-86e8-5685083cfeb7</errorID>
      <errorWord>期</errorWord>
      <group>L1_Word</group>
      <groupName>字词问题</groupName>
      <ability>L2_Typo</ability>
      <abilityName>字词错误</abilityName>
      <candidateList>
        <item>期间</item>
      </candidateList>
      <explain>〈名〉某个时期里面：农忙～｜春节～｜抗战～。</explain>
      <paraID>223BBB45</paraID>
      <start>18</start>
      <end>20</end>
      <status>modified</status>
      <modifiedWord>期间</modifiedWord>
      <trackRevisions>false</trackRevisions>
    </reviewItem>
    <reviewItem>
      <errorID>bef4a06d-fb79-44e3-bfdc-d456d6c2cb0c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7685625C</paraID>
      <start>103</start>
      <end>104</end>
      <status>unmodified</status>
      <modifiedWord/>
      <trackRevisions>false</trackRevisions>
    </reviewItem>
    <reviewItem>
      <errorID>b6e372a6-5fe5-44fd-a433-844083157337</errorID>
      <errorWord>km辆</errorWord>
      <group>L1_Word</group>
      <groupName>字词问题</groupName>
      <ability>L2_Typo</ability>
      <abilityName>字词错误</abilityName>
      <candidateList>
        <item>km</item>
      </candidateList>
      <explain/>
      <paraID>7ACDA5EB</paraID>
      <start>17</start>
      <end>20</end>
      <status>unmodified</status>
      <modifiedWord/>
      <trackRevisions>false</trackRevisions>
    </reviewItem>
    <reviewItem>
      <errorID>32bbdbbe-c946-4140-a1ea-392b947f4761</errorID>
      <errorWord>辆</errorWord>
      <group>L1_Word</group>
      <groupName>字词问题</groupName>
      <ability>L2_Typo</ability>
      <abilityName>字词错误</abilityName>
      <candidateList>
        <item/>
      </candidateList>
      <explain/>
      <paraID>6366B8EB</paraID>
      <start>21</start>
      <end>22</end>
      <status>unmodified</status>
      <modifiedWord/>
      <trackRevisions>false</trackRevisions>
    </reviewItem>
    <reviewItem>
      <errorID>4d1a7e63-04a7-4314-88c8-c1739f72ed52</errorID>
      <errorWord>箱</errorWord>
      <group>L1_Word</group>
      <groupName>字词问题</groupName>
      <ability>L2_Typo</ability>
      <abilityName>字词错误</abilityName>
      <candidateList>
        <item>厢</item>
      </candidateList>
      <explain>存在发音相同字词的误用。</explain>
      <paraID>6366B8EB</paraID>
      <start>79</start>
      <end>80</end>
      <status>unmodified</status>
      <modifiedWord/>
      <trackRevisions>false</trackRevisions>
    </reviewItem>
    <reviewItem>
      <errorID>124ddfb0-e9f0-44cc-8c82-afaa6971973c</errorID>
      <errorWord>(</errorWord>
      <group>L1_Format</group>
      <groupName>格式问题</groupName>
      <ability>L2_HalfPunc</ability>
      <abilityName>全半角检查</abilityName>
      <candidateList>
        <item>（</item>
      </candidateList>
      <explain>文本全半角错误。</explain>
      <paraID>14B21E6F</paraID>
      <start>279</start>
      <end>280</end>
      <status>modified</status>
      <modifiedWord>（</modifiedWord>
      <trackRevisions>false</trackRevisions>
    </reviewItem>
    <reviewItem>
      <errorID>a57cf637-ab28-4501-a40e-f45da7c9c8c8</errorID>
      <errorWord>其计</errorWord>
      <group>L1_Word</group>
      <groupName>字词问题</groupName>
      <ability>L2_Typo</ability>
      <abilityName>字词错误</abilityName>
      <candidateList>
        <item>共计</item>
      </candidateList>
      <explain>存在字形相近字词的误用。</explain>
      <paraID>55534BFB</paraID>
      <start>53</start>
      <end>55</end>
      <status>unmodified</status>
      <modifiedWord/>
      <trackRevisions>false</trackRevisions>
    </reviewItem>
    <reviewItem>
      <errorID>5a3d20b3-1e8a-492e-b228-3a058658d9b2</errorID>
      <errorWord>（</errorWord>
      <group>L1_Format</group>
      <groupName>格式问题</groupName>
      <ability>L2_HalfPunc</ability>
      <abilityName>全半角检查</abilityName>
      <candidateList>
        <item>(</item>
      </candidateList>
      <explain>文本全半角错误。</explain>
      <paraID>2ABAB114</paraID>
      <start>0</start>
      <end>1</end>
      <status>modified</status>
      <modifiedWord>(</modifiedWord>
      <trackRevisions>false</trackRevisions>
    </reviewItem>
    <reviewItem>
      <errorID>04d15f02-b886-4b27-954f-e7907be1737c</errorID>
      <errorWord>）</errorWord>
      <group>L1_Format</group>
      <groupName>格式问题</groupName>
      <ability>L2_HalfPunc</ability>
      <abilityName>全半角检查</abilityName>
      <candidateList>
        <item>)</item>
      </candidateList>
      <explain>文本全半角错误。</explain>
      <paraID>2ABAB114</paraID>
      <start>4</start>
      <end>5</end>
      <status>modified</status>
      <modifiedWord>)</modifiedWord>
      <trackRevisions>false</trackRevisions>
    </reviewItem>
    <reviewItem>
      <errorID>4d78539c-1ff8-43a3-9a18-67872b7abaf7</errorID>
      <errorWord>（</errorWord>
      <group>L1_Format</group>
      <groupName>格式问题</groupName>
      <ability>L2_HalfPunc</ability>
      <abilityName>全半角检查</abilityName>
      <candidateList>
        <item>(</item>
      </candidateList>
      <explain>文本全半角错误。</explain>
      <paraID>2C5E577E</paraID>
      <start>0</start>
      <end>1</end>
      <status>modified</status>
      <modifiedWord>(</modifiedWord>
      <trackRevisions>false</trackRevisions>
    </reviewItem>
    <reviewItem>
      <errorID>fbf79132-1b8c-4fd5-84ba-85928f00d7b0</errorID>
      <errorWord>）</errorWord>
      <group>L1_Format</group>
      <groupName>格式问题</groupName>
      <ability>L2_HalfPunc</ability>
      <abilityName>全半角检查</abilityName>
      <candidateList>
        <item>)</item>
      </candidateList>
      <explain>文本全半角错误。</explain>
      <paraID>2C5E577E</paraID>
      <start>4</start>
      <end>5</end>
      <status>modified</status>
      <modifiedWord>)</modifiedWord>
      <trackRevisions>false</trackRevisions>
    </reviewItem>
    <reviewItem>
      <errorID>1e91045d-c5af-4ace-964f-dabc368a7d5d</errorID>
      <errorWord>)</errorWord>
      <group>L1_Format</group>
      <groupName>格式问题</groupName>
      <ability>L2_HalfPunc</ability>
      <abilityName>全半角检查</abilityName>
      <candidateList>
        <item>）</item>
      </candidateList>
      <explain>文本全半角错误。</explain>
      <paraID>651A7E91</paraID>
      <start>66</start>
      <end>67</end>
      <status>modified</status>
      <modifiedWord>）</modifiedWord>
      <trackRevisions>false</trackRevisions>
    </reviewItem>
    <reviewItem>
      <errorID>ac5daef1-574f-42e0-96e3-ff678f335e5b</errorID>
      <errorWord>(</errorWord>
      <group>L1_Format</group>
      <groupName>格式问题</groupName>
      <ability>L2_HalfPunc</ability>
      <abilityName>全半角检查</abilityName>
      <candidateList>
        <item>（</item>
      </candidateList>
      <explain>文本全半角错误。</explain>
      <paraID>651A7E91</paraID>
      <start>217</start>
      <end>218</end>
      <status>modified</status>
      <modifiedWord>（</modifiedWord>
      <trackRevisions>false</trackRevisions>
    </reviewItem>
    <reviewItem>
      <errorID>ed2a1118-22c4-4d63-b2d3-a31f9d81f322</errorID>
      <errorWord>化</errorWord>
      <group>L1_Word</group>
      <groupName>字词问题</groupName>
      <ability>L2_Typo</ability>
      <abilityName>字词错误</abilityName>
      <candidateList>
        <item>式</item>
      </candidateList>
      <explain/>
      <paraID> D7E13A4</paraID>
      <start>73</start>
      <end>74</end>
      <status>unmodified</status>
      <modifiedWord/>
      <trackRevisions>false</trackRevisions>
    </reviewItem>
    <reviewItem>
      <errorID>cc734b46-ef15-4112-806c-f0806bc3fd03</errorID>
      <errorWord>(</errorWord>
      <group>L1_Format</group>
      <groupName>格式问题</groupName>
      <ability>L2_HalfPunc</ability>
      <abilityName>全半角检查</abilityName>
      <candidateList>
        <item>（</item>
      </candidateList>
      <explain>文本全半角错误。</explain>
      <paraID> D7E13A4</paraID>
      <start>85</start>
      <end>86</end>
      <status>modified</status>
      <modifiedWord>（</modifiedWord>
      <trackRevisions>false</trackRevisions>
    </reviewItem>
    <reviewItem>
      <errorID>cf6db51a-ef5a-4d11-b63b-0b2f696426a3</errorID>
      <errorWord>)</errorWord>
      <group>L1_Format</group>
      <groupName>格式问题</groupName>
      <ability>L2_HalfPunc</ability>
      <abilityName>全半角检查</abilityName>
      <candidateList>
        <item>）</item>
      </candidateList>
      <explain>文本全半角错误。</explain>
      <paraID> D7E13A4</paraID>
      <start>92</start>
      <end>93</end>
      <status>modified</status>
      <modifiedWord>）</modifiedWord>
      <trackRevisions>false</trackRevisions>
    </reviewItem>
    <reviewItem>
      <errorID>45d3b5f0-0e40-4bc9-adf9-e99862672cba</errorID>
      <errorWord>程</errorWord>
      <group>L1_Word</group>
      <groupName>字词问题</groupName>
      <ability>L2_Typo</ability>
      <abilityName>字词错误</abilityName>
      <candidateList>
        <item>程中</item>
      </candidateList>
      <explain/>
      <paraID> D7E13A4</paraID>
      <start>197</start>
      <end>198</end>
      <status>unmodified</status>
      <modifiedWord/>
      <trackRevisions>false</trackRevisions>
    </reviewItem>
    <reviewItem>
      <errorID>46eb69bb-6ca3-428e-9a7e-0a289162e06c</errorID>
      <errorWord>县县</errorWord>
      <group>L1_Word</group>
      <groupName>字词问题</groupName>
      <ability>L2_Typo</ability>
      <abilityName>字词错误</abilityName>
      <candidateList>
        <item>县</item>
      </candidateList>
      <explain/>
      <paraID>7A168765</paraID>
      <start>58</start>
      <end>59</end>
      <status>modified</status>
      <modifiedWord>县</modifiedWord>
      <trackRevisions>false</trackRevisions>
    </reviewItem>
    <reviewItem>
      <errorID>13d8a843-c4f3-438a-ad86-5eaee09043a9</errorID>
      <errorWord>)</errorWord>
      <group>L1_Format</group>
      <groupName>格式问题</groupName>
      <ability>L2_HalfPunc</ability>
      <abilityName>全半角检查</abilityName>
      <candidateList>
        <item>）</item>
      </candidateList>
      <explain>文本全半角错误。</explain>
      <paraID>7A168765</paraID>
      <start>163</start>
      <end>164</end>
      <status>modified</status>
      <modifiedWord>）</modifiedWord>
      <trackRevisions>false</trackRevisions>
    </reviewItem>
    <reviewItem>
      <errorID>041d3ad2-6d0c-46ec-bac2-519c998585ae</errorID>
      <errorWord>(</errorWord>
      <group>L1_Format</group>
      <groupName>格式问题</groupName>
      <ability>L2_HalfPunc</ability>
      <abilityName>全半角检查</abilityName>
      <candidateList>
        <item>（</item>
      </candidateList>
      <explain>文本全半角错误。</explain>
      <paraID>7A168765</paraID>
      <start>251</start>
      <end>252</end>
      <status>modified</status>
      <modifiedWord>（</modifiedWord>
      <trackRevisions>false</trackRevisions>
    </reviewItem>
    <reviewItem>
      <errorID>9373d625-ac54-4f80-8075-c013f2a8aaab</errorID>
      <errorWord>)</errorWord>
      <group>L1_Format</group>
      <groupName>格式问题</groupName>
      <ability>L2_HalfPunc</ability>
      <abilityName>全半角检查</abilityName>
      <candidateList>
        <item>）</item>
      </candidateList>
      <explain>文本全半角错误。</explain>
      <paraID>7A168765</paraID>
      <start>265</start>
      <end>266</end>
      <status>modified</status>
      <modifiedWord>）</modifiedWord>
      <trackRevisions>false</trackRevisions>
    </reviewItem>
    <reviewItem>
      <errorID>11e4ac7d-e490-4009-b9c6-751ec2d83c4a</errorID>
      <errorWord>(</errorWord>
      <group>L1_Format</group>
      <groupName>格式问题</groupName>
      <ability>L2_HalfPunc</ability>
      <abilityName>全半角检查</abilityName>
      <candidateList>
        <item>（</item>
      </candidateList>
      <explain>文本全半角错误。</explain>
      <paraID>7A168765</paraID>
      <start>301</start>
      <end>302</end>
      <status>modified</status>
      <modifiedWord>（</modifiedWord>
      <trackRevisions>false</trackRevisions>
    </reviewItem>
    <reviewItem>
      <errorID>b5f40dac-f3c2-47c9-a927-daffd58d1efd</errorID>
      <errorWord>(</errorWord>
      <group>L1_Format</group>
      <groupName>格式问题</groupName>
      <ability>L2_HalfPunc</ability>
      <abilityName>全半角检查</abilityName>
      <candidateList>
        <item>（</item>
      </candidateList>
      <explain>文本全半角错误。</explain>
      <paraID>2A59287F</paraID>
      <start>147</start>
      <end>148</end>
      <status>modified</status>
      <modifiedWord>（</modifiedWord>
      <trackRevisions>false</trackRevisions>
    </reviewItem>
    <reviewItem>
      <errorID>83d8f95d-24d6-4dc4-8de6-78ad18c47795</errorID>
      <errorWord>)</errorWord>
      <group>L1_Format</group>
      <groupName>格式问题</groupName>
      <ability>L2_HalfPunc</ability>
      <abilityName>全半角检查</abilityName>
      <candidateList>
        <item>）</item>
      </candidateList>
      <explain>文本全半角错误。</explain>
      <paraID>2A59287F</paraID>
      <start>161</start>
      <end>162</end>
      <status>modified</status>
      <modifiedWord>）</modifiedWord>
      <trackRevisions>false</trackRevisions>
    </reviewItem>
    <reviewItem>
      <errorID>a0b0d7f6-4a52-435d-a359-a635bb550582</errorID>
      <errorWord>(</errorWord>
      <group>L1_Format</group>
      <groupName>格式问题</groupName>
      <ability>L2_HalfPunc</ability>
      <abilityName>全半角检查</abilityName>
      <candidateList>
        <item>（</item>
      </candidateList>
      <explain>文本全半角错误。</explain>
      <paraID>2A59287F</paraID>
      <start>197</start>
      <end>198</end>
      <status>modified</status>
      <modifiedWord>（</modifiedWord>
      <trackRevisions>false</trackRevisions>
    </reviewItem>
    <reviewItem>
      <errorID>ef526636-f8ef-45cc-826b-0c4fb6fe1f97</errorID>
      <errorWord>。。</errorWord>
      <group>L1_Punc</group>
      <groupName>标点问题</groupName>
      <ability>L2_Punc</ability>
      <abilityName>标点符号检查</abilityName>
      <candidateList>
        <item>。</item>
      </candidateList>
      <explain/>
      <paraID>2A59287F</paraID>
      <start>226</start>
      <end>227</end>
      <status>modified</status>
      <modifiedWord>。</modifiedWord>
      <trackRevisions>false</trackRevisions>
    </reviewItem>
    <reviewItem>
      <errorID>65c2bf7d-3cad-41ec-a8d2-f2eb82a60d35</errorID>
      <errorWord>物</errorWord>
      <group>L1_Word</group>
      <groupName>字词问题</groupName>
      <ability>L2_Typo</ability>
      <abilityName>字词错误</abilityName>
      <candidateList>
        <item>物和</item>
      </candidateList>
      <explain/>
      <paraID>5E7DDFA6</paraID>
      <start>55</start>
      <end>57</end>
      <status>modified</status>
      <modifiedWord>物和</modifiedWord>
      <trackRevisions>false</trackRevisions>
    </reviewItem>
    <reviewItem>
      <errorID>5739b4e0-195f-45b0-b1b4-64752e496827</errorID>
      <errorWord>)</errorWord>
      <group>L1_Format</group>
      <groupName>格式问题</groupName>
      <ability>L2_HalfPunc</ability>
      <abilityName>全半角检查</abilityName>
      <candidateList>
        <item>）</item>
      </candidateList>
      <explain>文本全半角错误。</explain>
      <paraID>27AF7DFF</paraID>
      <start>12</start>
      <end>13</end>
      <status>modified</status>
      <modifiedWord>）</modifiedWord>
      <trackRevisions>false</trackRevisions>
    </reviewItem>
    <reviewItem>
      <errorID>55e1251b-b955-45ca-8d45-03752c4accd5</errorID>
      <errorWord>2019年06月11日</errorWord>
      <group>L1_Knowledge</group>
      <groupName>知识性问题</groupName>
      <ability>L2_Time</ability>
      <abilityName>日期时间</abilityName>
      <candidateList>
        <item>2019年6月11日</item>
      </candidateList>
      <explain>根据日常书写习惯，月份一般会省略前导零。</explain>
      <paraID>141E0611</paraID>
      <start>12</start>
      <end>23</end>
      <status>unmodified</status>
      <modifiedWord/>
      <trackRevisions>false</trackRevisions>
    </reviewItem>
    <reviewItem>
      <errorID>2bad355c-5314-4e11-831c-83d1fc6e8bfb</errorID>
      <errorWord>与</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❷后缀。a）〈动〉词后缀：合～｜属～｜在～｜至～。b）形容词后缀：勇～负责｜善～调度｜易～了解｜难～实行。</explain>
      <paraID>141E0611</paraID>
      <start>70</start>
      <end>71</end>
      <status>modified</status>
      <modifiedWord>于</modifiedWord>
      <trackRevisions>false</trackRevisions>
    </reviewItem>
    <reviewItem>
      <errorID>54097c79-aec8-4bf5-8c79-2f05ca55fc80</errorID>
      <errorWord>生活废水</errorWord>
      <group>L1_Knowledge</group>
      <groupName>知识性问题</groupName>
      <ability>L2_Term</ability>
      <abilityName>专业术语</abilityName>
      <candidateList>
        <item>生活污水</item>
      </candidateList>
      <explain/>
      <paraID>6D358D79</paraID>
      <start>17</start>
      <end>21</end>
      <status>modified</status>
      <modifiedWord>生活污水</modifiedWord>
      <trackRevisions>false</trackRevisions>
    </reviewItem>
    <reviewItem>
      <errorID>931c82e3-2545-4d3c-9795-2d1396d170f7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637C92F0</paraID>
      <start>20</start>
      <end>21</end>
      <status>unmodified</status>
      <modifiedWord/>
      <trackRevisions>false</trackRevisions>
    </reviewItem>
    <reviewItem>
      <errorID>9a447a3f-c5d1-4ceb-8728-60e19a045297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637C92F0</paraID>
      <start>61</start>
      <end>62</end>
      <status>unmodified</status>
      <modifiedWord/>
      <trackRevisions>false</trackRevisions>
    </reviewItem>
    <reviewItem>
      <errorID>fb90842f-aecd-4703-b5ec-d7eb61f72c42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5F40767D</paraID>
      <start>27</start>
      <end>28</end>
      <status>unmodified</status>
      <modifiedWord/>
      <trackRevisions>false</trackRevisions>
    </reviewItem>
    <reviewItem>
      <errorID>d1c3a199-dc78-43a9-8eeb-e82e740e93de</errorID>
      <errorWord>)</errorWord>
      <group>L1_Format</group>
      <groupName>格式问题</groupName>
      <ability>L2_HalfPunc</ability>
      <abilityName>全半角检查</abilityName>
      <candidateList>
        <item>）</item>
      </candidateList>
      <explain>文本全半角错误。</explain>
      <paraID>159EC7A0</paraID>
      <start>48</start>
      <end>49</end>
      <status>modified</status>
      <modifiedWord>）</modifiedWord>
      <trackRevisions>false</trackRevisions>
    </reviewItem>
    <reviewItem>
      <errorID>1fea479a-42ce-498f-a0cf-f6d3f8c38137</errorID>
      <errorWord>)</errorWord>
      <group>L1_Format</group>
      <groupName>格式问题</groupName>
      <ability>L2_HalfPunc</ability>
      <abilityName>全半角检查</abilityName>
      <candidateList>
        <item>）</item>
      </candidateList>
      <explain>文本全半角错误。</explain>
      <paraID>159EC7A0</paraID>
      <start>80</start>
      <end>81</end>
      <status>modified</status>
      <modifiedWord>）</modifiedWord>
      <trackRevisions>false</trackRevisions>
    </reviewItem>
    <reviewItem>
      <errorID>20d8cc98-e6b9-4be5-80c9-0b3060b12486</errorID>
      <errorWord>(</errorWord>
      <group>L1_Format</group>
      <groupName>格式问题</groupName>
      <ability>L2_HalfPunc</ability>
      <abilityName>全半角检查</abilityName>
      <candidateList>
        <item>（</item>
      </candidateList>
      <explain>文本全半角错误。</explain>
      <paraID>5EE1DF1E</paraID>
      <start>67</start>
      <end>68</end>
      <status>modified</status>
      <modifiedWord>（</modifiedWord>
      <trackRevisions>false</trackRevisions>
    </reviewItem>
    <reviewItem>
      <errorID>996a9005-8792-4560-a72e-5ccfe673e13b</errorID>
      <errorWord>)</errorWord>
      <group>L1_Format</group>
      <groupName>格式问题</groupName>
      <ability>L2_HalfPunc</ability>
      <abilityName>全半角检查</abilityName>
      <candidateList>
        <item>）</item>
      </candidateList>
      <explain>文本全半角错误。</explain>
      <paraID>5EE1DF1E</paraID>
      <start>78</start>
      <end>79</end>
      <status>modified</status>
      <modifiedWord>）</modifiedWord>
      <trackRevisions>false</trackRevisions>
    </reviewItem>
    <reviewItem>
      <errorID>d2836e67-c4d2-4438-b37d-71bdcdfa97cd</errorID>
      <errorWord>（</errorWord>
      <group>L1_Punc</group>
      <groupName>标点问题</groupName>
      <ability>L2_Punc</ability>
      <abilityName>标点符号检查</abilityName>
      <candidateList>
        <item/>
      </candidateList>
      <explain>同一形式括号套用。</explain>
      <paraID>1E03D3A6</paraID>
      <start>3</start>
      <end>4</end>
      <status>unmodified</status>
      <modifiedWord/>
      <trackRevisions>false</trackRevisions>
    </reviewItem>
    <reviewItem>
      <errorID>bd60a354-b8b1-4d04-98bf-b5d11f0137be</errorID>
      <errorWord>(</errorWord>
      <group>L1_Punc</group>
      <groupName>标点问题</groupName>
      <ability>L2_Punc</ability>
      <abilityName>标点符号检查</abilityName>
      <candidateList/>
      <explain>同一形式括号套用。</explain>
      <paraID>1E03D3A6</paraID>
      <start>6</start>
      <end>7</end>
      <status>unmodified</status>
      <modifiedWord/>
      <trackRevisions>false</trackRevisions>
    </reviewItem>
    <reviewItem>
      <errorID>c30823c3-c087-408a-a965-be1febcd8dd7</errorID>
      <errorWord>)</errorWord>
      <group>L1_Punc</group>
      <groupName>标点问题</groupName>
      <ability>L2_Punc</ability>
      <abilityName>标点符号检查</abilityName>
      <candidateList/>
      <explain>同一形式括号套用。</explain>
      <paraID>1E03D3A6</paraID>
      <start>8</start>
      <end>9</end>
      <status>unmodified</status>
      <modifiedWord/>
      <trackRevisions>false</trackRevisions>
    </reviewItem>
    <reviewItem>
      <errorID>bebde4aa-e5bf-47c2-b105-31292935dfb7</errorID>
      <errorWord>）</errorWord>
      <group>L1_Punc</group>
      <groupName>标点问题</groupName>
      <ability>L2_Punc</ability>
      <abilityName>标点符号检查</abilityName>
      <candidateList/>
      <explain>同一形式括号套用。</explain>
      <paraID>1E03D3A6</paraID>
      <start>9</start>
      <end>10</end>
      <status>unmodified</status>
      <modifiedWord/>
      <trackRevisions>false</trackRevisions>
    </reviewItem>
    <reviewItem>
      <errorID>354660dd-714f-473b-92df-d1a9eabed8f1</errorID>
      <errorWord>（</errorWord>
      <group>L1_Punc</group>
      <groupName>标点问题</groupName>
      <ability>L2_Punc</ability>
      <abilityName>标点符号检查</abilityName>
      <candidateList>
        <item/>
      </candidateList>
      <explain>同一形式括号套用。</explain>
      <paraID>2D48B0EF</paraID>
      <start>4</start>
      <end>5</end>
      <status>unmodified</status>
      <modifiedWord/>
      <trackRevisions>false</trackRevisions>
    </reviewItem>
    <reviewItem>
      <errorID>e09c8fb4-461d-444f-b7d3-f786bdb2d424</errorID>
      <errorWord>(</errorWord>
      <group>L1_Punc</group>
      <groupName>标点问题</groupName>
      <ability>L2_Punc</ability>
      <abilityName>标点符号检查</abilityName>
      <candidateList/>
      <explain>同一形式括号套用。</explain>
      <paraID>2D48B0EF</paraID>
      <start>7</start>
      <end>8</end>
      <status>unmodified</status>
      <modifiedWord/>
      <trackRevisions>false</trackRevisions>
    </reviewItem>
    <reviewItem>
      <errorID>8c0dd3ce-df16-4744-8822-2c8fd1c93b5f</errorID>
      <errorWord>)</errorWord>
      <group>L1_Punc</group>
      <groupName>标点问题</groupName>
      <ability>L2_Punc</ability>
      <abilityName>标点符号检查</abilityName>
      <candidateList/>
      <explain>同一形式括号套用。</explain>
      <paraID>2D48B0EF</paraID>
      <start>9</start>
      <end>10</end>
      <status>unmodified</status>
      <modifiedWord/>
      <trackRevisions>false</trackRevisions>
    </reviewItem>
    <reviewItem>
      <errorID>ab564d3d-64c4-4e0b-8f7e-1f150c295a63</errorID>
      <errorWord>）</errorWord>
      <group>L1_Punc</group>
      <groupName>标点问题</groupName>
      <ability>L2_Punc</ability>
      <abilityName>标点符号检查</abilityName>
      <candidateList/>
      <explain>同一形式括号套用。</explain>
      <paraID>2D48B0EF</paraID>
      <start>10</start>
      <end>11</end>
      <status>unmodified</status>
      <modifiedWord/>
      <trackRevisions>false</trackRevisions>
    </reviewItem>
    <reviewItem>
      <errorID>6a7881b6-f7fa-4422-b29d-9d6242aaf026</errorID>
      <errorWord>（</errorWord>
      <group>L1_Punc</group>
      <groupName>标点问题</groupName>
      <ability>L2_Punc</ability>
      <abilityName>标点符号检查</abilityName>
      <candidateList/>
      <explain>同一形式括号套用。</explain>
      <paraID>62F09412</paraID>
      <start>63</start>
      <end>64</end>
      <status>unmodified</status>
      <modifiedWord/>
      <trackRevisions>false</trackRevisions>
    </reviewItem>
    <reviewItem>
      <errorID>a56ec0a8-9b0a-4c31-a68e-5e52e64277f3</errorID>
      <errorWord>）</errorWord>
      <group>L1_Punc</group>
      <groupName>标点问题</groupName>
      <ability>L2_Punc</ability>
      <abilityName>标点符号检查</abilityName>
      <candidateList/>
      <explain>同一形式括号套用。</explain>
      <paraID>62F09412</paraID>
      <start>65</start>
      <end>66</end>
      <status>unmodified</status>
      <modifiedWord/>
      <trackRevisions>false</trackRevisions>
    </reviewItem>
    <reviewItem>
      <errorID>bc79982c-57cb-420e-864a-e7aad4e5ebce</errorID>
      <errorWord>.</errorWord>
      <group>L1_Format</group>
      <groupName>格式问题</groupName>
      <ability>L2_HalfPunc</ability>
      <abilityName>全半角检查</abilityName>
      <candidateList>
        <item>。</item>
      </candidateList>
      <explain>文本全半角错误。</explain>
      <paraID>62F09412</paraID>
      <start>67</start>
      <end>68</end>
      <status>unmodified</status>
      <modifiedWord/>
      <trackRevisions>false</trackRevisions>
    </reviewItem>
    <reviewItem>
      <errorID>2c41a478-6df5-4abb-ae07-3ad9af27498c</errorID>
      <errorWord>减缓措施</errorWord>
      <group>L1_Knowledge</group>
      <groupName>知识性问题</groupName>
      <ability>L2_Term</ability>
      <abilityName>专业术语</abilityName>
      <candidateList>
        <item>减振措施</item>
      </candidateList>
      <explain/>
      <paraID>5492EEE4</paraID>
      <start>8</start>
      <end>12</end>
      <status>unmodified</status>
      <modifiedWord/>
      <trackRevisions>false</trackRevisions>
    </reviewItem>
    <reviewItem>
      <errorID>2382d1e7-f847-47bd-b538-171b421a4a0a</errorID>
      <errorWord>监测监测</errorWord>
      <group>L1_Word</group>
      <groupName>字词问题</groupName>
      <ability>L2_Typo</ability>
      <abilityName>字词错误</abilityName>
      <candidateList>
        <item>监测</item>
      </candidateList>
      <explain/>
      <paraID> 9B7913D</paraID>
      <start>82</start>
      <end>84</end>
      <status>modified</status>
      <modifiedWord>监测</modifiedWord>
      <trackRevisions>false</trackRevisions>
    </reviewItem>
    <reviewItem>
      <errorID>dbb88b75-ad51-47f4-908f-56402a1a586f</errorID>
      <errorWord>（</errorWord>
      <group>L1_Format</group>
      <groupName>格式问题</groupName>
      <ability>L2_HalfPunc</ability>
      <abilityName>全半角检查</abilityName>
      <candidateList>
        <item>(</item>
      </candidateList>
      <explain>文本全半角错误。</explain>
      <paraID>44CA3028</paraID>
      <start>3</start>
      <end>4</end>
      <status>modified</status>
      <modifiedWord>(</modifiedWord>
      <trackRevisions>false</trackRevisions>
    </reviewItem>
    <reviewItem>
      <errorID>f7c1f002-770e-42af-ad83-2c61ba46e844</errorID>
      <errorWord>）</errorWord>
      <group>L1_Format</group>
      <groupName>格式问题</groupName>
      <ability>L2_HalfPunc</ability>
      <abilityName>全半角检查</abilityName>
      <candidateList>
        <item>)</item>
      </candidateList>
      <explain>文本全半角错误。</explain>
      <paraID>44CA3028</paraID>
      <start>5</start>
      <end>6</end>
      <status>modified</status>
      <modifiedWord>)</modifiedWord>
      <trackRevisions>false</trackRevisions>
    </reviewItem>
    <reviewItem>
      <errorID>0a7594fe-1fd9-427d-bb0b-d335c71c56c4</errorID>
      <errorWord>,</errorWord>
      <group>L1_Format</group>
      <groupName>格式问题</groupName>
      <ability>L2_HalfPunc</ability>
      <abilityName>全半角检查</abilityName>
      <candidateList>
        <item>，</item>
      </candidateList>
      <explain>文本全半角错误。</explain>
      <paraID>368260AB</paraID>
      <start>37</start>
      <end>38</end>
      <status>modified</status>
      <modifiedWord>，</modifiedWord>
      <trackRevisions>false</trackRevisions>
    </reviewItem>
    <reviewItem>
      <errorID>52987fc3-cc1a-4a9d-8be0-e963d0dd8c1f</errorID>
      <errorWord>，</errorWord>
      <group>L1_Format</group>
      <groupName>格式问题</groupName>
      <ability>L2_HalfPunc</ability>
      <abilityName>全半角检查</abilityName>
      <candidateList>
        <item>, </item>
      </candidateList>
      <explain>文本全半角错误。</explain>
      <paraID>6B069DAB</paraID>
      <start>1</start>
      <end>2</end>
      <status>unmodified</status>
      <modifiedWord/>
      <trackRevisions>false</trackRevisions>
    </reviewItem>
    <reviewItem>
      <errorID>c1e130f6-3c46-42ac-9da2-af12c110dfc9</errorID>
      <errorWord>，</errorWord>
      <group>L1_Format</group>
      <groupName>格式问题</groupName>
      <ability>L2_HalfPunc</ability>
      <abilityName>全半角检查</abilityName>
      <candidateList>
        <item>, </item>
      </candidateList>
      <explain>文本全半角错误。</explain>
      <paraID>35785468</paraID>
      <start>1</start>
      <end>2</end>
      <status>unmodified</status>
      <modifiedWord/>
      <trackRevisions>false</trackRevisions>
    </reviewItem>
    <reviewItem>
      <errorID>3c524e93-7180-4179-973a-fab2ccdee19c</errorID>
      <errorWord>)</errorWord>
      <group>L1_Format</group>
      <groupName>格式问题</groupName>
      <ability>L2_HalfPunc</ability>
      <abilityName>全半角检查</abilityName>
      <candidateList>
        <item>）</item>
      </candidateList>
      <explain>文本全半角错误。</explain>
      <paraID>2D787812</paraID>
      <start>56</start>
      <end>57</end>
      <status>modified</status>
      <modifiedWord>）</modifiedWord>
      <trackRevisions>false</trackRevisions>
    </reviewItem>
    <reviewItem>
      <errorID>366ef1e0-d85d-4680-a6f1-8a234c89ca56</errorID>
      <errorWord>,</errorWord>
      <group>L1_Format</group>
      <groupName>格式问题</groupName>
      <ability>L2_HalfPunc</ability>
      <abilityName>全半角检查</abilityName>
      <candidateList>
        <item>，</item>
      </candidateList>
      <explain>文本全半角错误。</explain>
      <paraID>2D787812</paraID>
      <start>84</start>
      <end>85</end>
      <status>modified</status>
      <modifiedWord>，</modifiedWord>
      <trackRevisions>false</trackRevisions>
    </reviewItem>
    <reviewItem>
      <errorID>e17ca679-d3f6-4161-a89c-3755a590eaa2</errorID>
      <errorWord>)</errorWord>
      <group>L1_Format</group>
      <groupName>格式问题</groupName>
      <ability>L2_HalfPunc</ability>
      <abilityName>全半角检查</abilityName>
      <candidateList>
        <item>）</item>
      </candidateList>
      <explain>文本全半角错误。</explain>
      <paraID>2D787812</paraID>
      <start>148</start>
      <end>149</end>
      <status>modified</status>
      <modifiedWord>）</modifiedWord>
      <trackRevisions>false</trackRevisions>
    </reviewItem>
    <reviewItem>
      <errorID>694db0f4-d390-4202-8076-61afff11e878</errorID>
      <errorWord>,</errorWord>
      <group>L1_Format</group>
      <groupName>格式问题</groupName>
      <ability>L2_HalfPunc</ability>
      <abilityName>全半角检查</abilityName>
      <candidateList>
        <item>，</item>
      </candidateList>
      <explain>文本全半角错误。</explain>
      <paraID>2D787812</paraID>
      <start>164</start>
      <end>165</end>
      <status>modified</status>
      <modifiedWord>，</modifiedWord>
      <trackRevisions>false</trackRevisions>
    </reviewItem>
    <reviewItem>
      <errorID>66c073e0-c07b-4750-927a-0baf3f1031bd</errorID>
      <errorWord>有</errorWord>
      <group>L1_Word</group>
      <groupName>字词问题</groupName>
      <ability>L2_Typo</ability>
      <abilityName>字词错误</abilityName>
      <candidateList>
        <item>有效</item>
      </candidateList>
      <explain/>
      <paraID>2D787812</paraID>
      <start>231</start>
      <end>232</end>
      <status>unmodified</status>
      <modifiedWord/>
      <trackRevisions>false</trackRevisions>
    </reviewItem>
    <reviewItem>
      <errorID>fcea3f70-5f4d-4eec-8795-c97d6853456e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A1AE909</paraID>
      <start>73</start>
      <end>74</end>
      <status>unmodified</status>
      <modifiedWord/>
      <trackRevisions>false</trackRevisions>
    </reviewItem>
    <reviewItem>
      <errorID>da3d58d2-a93a-404d-bb37-15415ed1f3c0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A1AE909</paraID>
      <start>114</start>
      <end>115</end>
      <status>unmodified</status>
      <modifiedWord/>
      <trackRevisions>false</trackRevisions>
    </reviewItem>
    <reviewItem>
      <errorID>8c6e7d45-6641-4fcf-9e83-ab8b871234d9</errorID>
      <errorWord>接受</errorWord>
      <group>L1_Word</group>
      <groupName>字词问题</groupName>
      <ability>L2_Typo</ability>
      <abilityName>字词错误</abilityName>
      <candidateList>
        <item>接收</item>
      </candidateList>
      <explain>存在发音相同字词的误用。</explain>
      <paraID>37AF7086</paraID>
      <start>53</start>
      <end>55</end>
      <status>modified</status>
      <modifiedWord>接收</modifiedWord>
      <trackRevisions>false</trackRevisions>
    </reviewItem>
    <reviewItem>
      <errorID>2a046272-7b80-4abc-93fa-6ccdf0190f6b</errorID>
      <errorWord>接受</errorWord>
      <group>L1_Word</group>
      <groupName>字词问题</groupName>
      <ability>L2_Typo</ability>
      <abilityName>字词错误</abilityName>
      <candidateList>
        <item>接收</item>
      </candidateList>
      <explain>存在发音相同字词的误用。</explain>
      <paraID>1843C39E</paraID>
      <start>37</start>
      <end>39</end>
      <status>modified</status>
      <modifiedWord>接收</modifiedWord>
      <trackRevisions>false</trackRevisions>
    </reviewItem>
    <reviewItem>
      <errorID>9eba680b-4cc0-4964-8bad-09720c8f6453</errorID>
      <errorWord>接受</errorWord>
      <group>L1_Word</group>
      <groupName>字词问题</groupName>
      <ability>L2_Typo</ability>
      <abilityName>字词错误</abilityName>
      <candidateList>
        <item>接收</item>
      </candidateList>
      <explain>存在发音相同字词的误用。</explain>
      <paraID>61BA4DCA</paraID>
      <start>5</start>
      <end>7</end>
      <status>modified</status>
      <modifiedWord>接收</modifiedWord>
      <trackRevisions>false</trackRevisions>
    </reviewItem>
    <reviewItem>
      <errorID>7fc7e547-690e-4c2d-beed-8bfa7f918c2e</errorID>
      <errorWord>接受</errorWord>
      <group>L1_Word</group>
      <groupName>字词问题</groupName>
      <ability>L2_Typo</ability>
      <abilityName>字词错误</abilityName>
      <candidateList>
        <item>接收</item>
      </candidateList>
      <explain>存在发音相同字词的误用。</explain>
      <paraID> 139F436</paraID>
      <start>22</start>
      <end>24</end>
      <status>modified</status>
      <modifiedWord>接收</modifiedWord>
      <trackRevisions>false</trackRevisions>
    </reviewItem>
    <reviewItem>
      <errorID>416ae7b1-6171-43e0-a23e-060dd0396f09</errorID>
      <errorWord>接受</errorWord>
      <group>L1_Word</group>
      <groupName>字词问题</groupName>
      <ability>L2_Typo</ability>
      <abilityName>字词错误</abilityName>
      <candidateList>
        <item>接收</item>
      </candidateList>
      <explain>存在发音相同字词的误用。</explain>
      <paraID>242596B8</paraID>
      <start>45</start>
      <end>47</end>
      <status>modified</status>
      <modifiedWord>接收</modifiedWord>
      <trackRevisions>false</trackRevisions>
    </reviewItem>
    <reviewItem>
      <errorID>0df579f2-d268-4b9a-8f51-7cc52777df7a</errorID>
      <errorWord>期</errorWord>
      <group>L1_Word</group>
      <groupName>字词问题</groupName>
      <ability>L2_Typo</ability>
      <abilityName>字词错误</abilityName>
      <candidateList>
        <item>期间</item>
      </candidateList>
      <explain>〈名〉某个时期里面：农忙～｜春节～｜抗战～。</explain>
      <paraID>1DE9D53C</paraID>
      <start>5</start>
      <end>7</end>
      <status>modified</status>
      <modifiedWord>期间</modifiedWord>
      <trackRevisions>false</trackRevisions>
    </reviewItem>
    <reviewItem>
      <errorID>284ee87f-f635-4aaa-aeda-84451857ee85</errorID>
      <errorWord>须</errorWord>
      <group>L1_Word</group>
      <groupName>字词问题</groupName>
      <ability>L2_Typo</ability>
      <abilityName>字词错误</abilityName>
      <candidateList>
        <item>须按</item>
      </candidateList>
      <explain/>
      <paraID>1DE9D53C</paraID>
      <start>8</start>
      <end>10</end>
      <status>modified</status>
      <modifiedWord>须按</modifiedWord>
      <trackRevisions>false</trackRevisions>
    </reviewItem>
    <reviewItem>
      <errorID>3ef9c69a-5609-4acb-ad57-019276be259b</errorID>
      <errorWord>硫酸亚铁铁</errorWord>
      <group>L1_Knowledge</group>
      <groupName>知识性问题</groupName>
      <ability>L2_Term</ability>
      <abilityName>专业术语</abilityName>
      <candidateList>
        <item>硫酸亚铁铵</item>
      </candidateList>
      <explain/>
      <paraID>7ACA375D</paraID>
      <start>20</start>
      <end>25</end>
      <status>unmodified</status>
      <modifiedWord/>
      <trackRevisions>false</trackRevisions>
    </reviewItem>
    <reviewItem>
      <errorID>53614a03-aa6d-4d19-8845-fd614f4c24a2</errorID>
      <errorWord>粘膜</errorWord>
      <group>L1_Word</group>
      <groupName>字词问题</groupName>
      <ability>L2_Alias</ability>
      <abilityName>也作/曾用词</abilityName>
      <candidateList>
        <item>黏膜</item>
      </candidateList>
      <explain>词汇[粘膜]为不规范表述或旧称，其规范书面表述为[黏膜]。</explain>
      <paraID>612289E6</paraID>
      <start>28</start>
      <end>30</end>
      <status>unmodified</status>
      <modifiedWord/>
      <trackRevisions>false</trackRevisions>
    </reviewItem>
    <reviewItem>
      <errorID>8ab4a938-7314-45d6-8677-d0460d3166b2</errorID>
      <errorWord>和粘膜</errorWord>
      <group>L1_Word</group>
      <groupName>字词问题</groupName>
      <ability>L2_Alias</ability>
      <abilityName>也作/曾用词</abilityName>
      <candidateList>
        <item>和黏膜</item>
      </candidateList>
      <explain>词汇[和粘膜]为不规范表述或旧称，其规范书面表述为[和黏膜]。</explain>
      <paraID>612289E6</paraID>
      <start>68</start>
      <end>71</end>
      <status>unmodified</status>
      <modifiedWord/>
      <trackRevisions>false</trackRevisions>
    </reviewItem>
    <reviewItem>
      <errorID>0b1e9d40-f355-4358-955a-c8b33522438d</errorID>
      <errorWord>设</errorWord>
      <group>L1_Word</group>
      <groupName>字词问题</groupName>
      <ability>L2_Typo</ability>
      <abilityName>字词错误</abilityName>
      <candidateList>
        <item>设置</item>
      </candidateList>
      <explain>〈动〉❶设立：这座剧院是为儿童～的。❷安放；安装：～障碍。</explain>
      <paraID>617BB29C</paraID>
      <start>10</start>
      <end>11</end>
      <status>unmodified</status>
      <modifiedWord/>
      <trackRevisions>false</trackRevisions>
    </reviewItem>
    <reviewItem>
      <errorID>e55d5941-9107-4233-94e4-5b80d74388d7</errorID>
      <errorWord>和粘膜</errorWord>
      <group>L1_Word</group>
      <groupName>字词问题</groupName>
      <ability>L2_Alias</ability>
      <abilityName>也作/曾用词</abilityName>
      <candidateList>
        <item>和黏膜</item>
      </candidateList>
      <explain>词汇[和粘膜]为不规范表述或旧称，其规范书面表述为[和黏膜]。</explain>
      <paraID>61719286</paraID>
      <start>25</start>
      <end>28</end>
      <status>unmodified</status>
      <modifiedWord/>
      <trackRevisions>false</trackRevisions>
    </reviewItem>
    <reviewItem>
      <errorID>f2cadeb4-b125-4d66-8f4c-fd70568b16dd</errorID>
      <errorWord>具</errorWord>
      <group>L1_Word</group>
      <groupName>字词问题</groupName>
      <ability>L2_Typo</ability>
      <abilityName>字词错误</abilityName>
      <candidateList>
        <item>具有</item>
      </candidateList>
      <explain>〈动〉有（多用于抽象事物）：～信心｜～伟大的意义。</explain>
      <paraID>52FBB115</paraID>
      <start>7</start>
      <end>8</end>
      <status>unmodified</status>
      <modifiedWord/>
      <trackRevisions>false</trackRevisions>
    </reviewItem>
    <reviewItem>
      <errorID>f1294bec-6ffe-4d9e-bf08-54343e119409</errorID>
      <errorWord>和粘膜</errorWord>
      <group>L1_Word</group>
      <groupName>字词问题</groupName>
      <ability>L2_Alias</ability>
      <abilityName>也作/曾用词</abilityName>
      <candidateList>
        <item>和黏膜</item>
      </candidateList>
      <explain>词汇[和粘膜]为不规范表述或旧称，其规范书面表述为[和黏膜]。</explain>
      <paraID>4B2AB237</paraID>
      <start>29</start>
      <end>32</end>
      <status>unmodified</status>
      <modifiedWord/>
      <trackRevisions>false</trackRevisions>
    </reviewItem>
    <reviewItem>
      <errorID>f734f579-f010-4927-9a44-81d95935fc23</errorID>
      <errorWord>饱和蒸气</errorWord>
      <group>L1_Word</group>
      <groupName>字词问题</groupName>
      <ability>L2_Typo</ability>
      <abilityName>字词错误</abilityName>
      <candidateList>
        <item>饱和蒸汽</item>
      </candidateList>
      <explain/>
      <paraID>3F5042F5</paraID>
      <start>23</start>
      <end>27</end>
      <status>unmodified</status>
      <modifiedWord/>
      <trackRevisions>false</trackRevisions>
    </reviewItem>
    <reviewItem>
      <errorID>37e5cc96-1a56-4c15-92e6-6c2cf1911542</errorID>
      <errorWord>(</errorWord>
      <group>L1_Format</group>
      <groupName>格式问题</groupName>
      <ability>L2_HalfPunc</ability>
      <abilityName>全半角检查</abilityName>
      <candidateList>
        <item>（</item>
      </candidateList>
      <explain>文本全半角错误。</explain>
      <paraID>69D78079</paraID>
      <start>213</start>
      <end>214</end>
      <status>modified</status>
      <modifiedWord>（</modifiedWord>
      <trackRevisions>false</trackRevisions>
    </reviewItem>
    <reviewItem>
      <errorID>efb463ba-1778-42d2-a712-90aa9674f172</errorID>
      <errorWord>)</errorWord>
      <group>L1_Format</group>
      <groupName>格式问题</groupName>
      <ability>L2_HalfPunc</ability>
      <abilityName>全半角检查</abilityName>
      <candidateList>
        <item>）</item>
      </candidateList>
      <explain>文本全半角错误。</explain>
      <paraID>69D78079</paraID>
      <start>234</start>
      <end>235</end>
      <status>modified</status>
      <modifiedWord>）</modifiedWord>
      <trackRevisions>false</trackRevisions>
    </reviewItem>
    <reviewItem>
      <errorID>9a2f97cb-a2f4-4baf-842e-f906cf03838e</errorID>
      <errorWord>粘膜</errorWord>
      <group>L1_Word</group>
      <groupName>字词问题</groupName>
      <ability>L2_Alias</ability>
      <abilityName>也作/曾用词</abilityName>
      <candidateList>
        <item>黏膜</item>
      </candidateList>
      <explain>词汇[粘膜]为不规范表述或旧称，其规范书面表述为[黏膜]。</explain>
      <paraID>78BBD39D</paraID>
      <start>11</start>
      <end>13</end>
      <status>unmodified</status>
      <modifiedWord/>
      <trackRevisions>false</trackRevisions>
    </reviewItem>
    <reviewItem>
      <errorID>2d27d144-d7ea-40b2-953f-9cc3cfee686b</errorID>
      <errorWord>病历</errorWord>
      <group>L1_Word</group>
      <groupName>字词问题</groupName>
      <ability>L2_Typo</ability>
      <abilityName>字词错误</abilityName>
      <candidateList>
        <item>病例</item>
      </candidateList>
      <explain>存在发音相同字词的误用。</explain>
      <paraID>78BBD39D</paraID>
      <start>105</start>
      <end>107</end>
      <status>unmodified</status>
      <modifiedWord/>
      <trackRevisions>false</trackRevisions>
    </reviewItem>
    <reviewItem>
      <errorID>2db094c7-fe1c-46a8-b100-48777064d36d</errorID>
      <errorWord>(</errorWord>
      <group>L1_Format</group>
      <groupName>格式问题</groupName>
      <ability>L2_HalfPunc</ability>
      <abilityName>全半角检查</abilityName>
      <candidateList>
        <item>（</item>
      </candidateList>
      <explain>文本全半角错误。</explain>
      <paraID>5E09DC88</paraID>
      <start>29</start>
      <end>30</end>
      <status>modified</status>
      <modifiedWord>（</modifiedWord>
      <trackRevisions>false</trackRevisions>
    </reviewItem>
    <reviewItem>
      <errorID>85f3b2ad-ba38-4c38-8b7c-0b8d4bc59630</errorID>
      <errorWord>)</errorWord>
      <group>L1_Format</group>
      <groupName>格式问题</groupName>
      <ability>L2_HalfPunc</ability>
      <abilityName>全半角检查</abilityName>
      <candidateList>
        <item>）</item>
      </candidateList>
      <explain>文本全半角错误。</explain>
      <paraID>5E09DC88</paraID>
      <start>33</start>
      <end>34</end>
      <status>modified</status>
      <modifiedWord>）</modifiedWord>
      <trackRevisions>false</trackRevisions>
    </reviewItem>
    <reviewItem>
      <errorID>3d95a072-b97c-4db1-9c66-83d481c04f34</errorID>
      <errorWord>作</errorWord>
      <group>L1_Word</group>
      <groupName>字词问题</groupName>
      <ability>L2_Typo</ability>
      <abilityName>字词错误</abilityName>
      <candidateList>
        <item>做</item>
      </candidateList>
      <explain>存在发音相同字词的误用。</explain>
      <paraID>5E09DC88</paraID>
      <start>61</start>
      <end>62</end>
      <status>unmodified</status>
      <modifiedWord/>
      <trackRevisions>false</trackRevisions>
    </reviewItem>
    <reviewItem>
      <errorID>f02c9065-7e86-43cd-9515-5049da642ef1</errorID>
      <errorWord>其它</errorWord>
      <group>L1_Word</group>
      <groupName>字词问题</groupName>
      <ability>L2_Alias</ability>
      <abilityName>也作/曾用词</abilityName>
      <candidateList>
        <item>其他</item>
      </candidateList>
      <explain>词汇[其它]为不规范表述或旧称，其规范书面表述为[其他]。</explain>
      <paraID>61E100D6</paraID>
      <start>91</start>
      <end>93</end>
      <status>unmodified</status>
      <modifiedWord/>
      <trackRevisions>false</trackRevisions>
    </reviewItem>
    <reviewItem>
      <errorID>4b5b0cbd-7aa6-4b9a-b15c-a4b4e7fef553</errorID>
      <errorWord>(</errorWord>
      <group>L1_Format</group>
      <groupName>格式问题</groupName>
      <ability>L2_HalfPunc</ability>
      <abilityName>全半角检查</abilityName>
      <candidateList>
        <item>（</item>
      </candidateList>
      <explain>文本全半角错误。</explain>
      <paraID>72AECF8F</paraID>
      <start>40</start>
      <end>41</end>
      <status>modified</status>
      <modifiedWord>（</modifiedWord>
      <trackRevisions>false</trackRevisions>
    </reviewItem>
    <reviewItem>
      <errorID>d14d36bf-1acb-4076-981b-175bcebaff08</errorID>
      <errorWord>)</errorWord>
      <group>L1_Format</group>
      <groupName>格式问题</groupName>
      <ability>L2_HalfPunc</ability>
      <abilityName>全半角检查</abilityName>
      <candidateList>
        <item>）</item>
      </candidateList>
      <explain>文本全半角错误。</explain>
      <paraID>72AECF8F</paraID>
      <start>42</start>
      <end>43</end>
      <status>modified</status>
      <modifiedWord>）</modifiedWord>
      <trackRevisions>false</trackRevisions>
    </reviewItem>
    <reviewItem>
      <errorID>21f9ee0d-2c82-431c-a0b3-21e532f82ed8</errorID>
      <errorWord>(</errorWord>
      <group>L1_Format</group>
      <groupName>格式问题</groupName>
      <ability>L2_HalfPunc</ability>
      <abilityName>全半角检查</abilityName>
      <candidateList>
        <item>（</item>
      </candidateList>
      <explain>文本全半角错误。</explain>
      <paraID>72AECF8F</paraID>
      <start>147</start>
      <end>148</end>
      <status>modified</status>
      <modifiedWord>（</modifiedWord>
      <trackRevisions>false</trackRevisions>
    </reviewItem>
    <reviewItem>
      <errorID>7f644656-afe6-40eb-89b0-c35e53791d55</errorID>
      <errorWord>)</errorWord>
      <group>L1_Format</group>
      <groupName>格式问题</groupName>
      <ability>L2_HalfPunc</ability>
      <abilityName>全半角检查</abilityName>
      <candidateList>
        <item>）</item>
      </candidateList>
      <explain>文本全半角错误。</explain>
      <paraID>72AECF8F</paraID>
      <start>154</start>
      <end>155</end>
      <status>modified</status>
      <modifiedWord>）</modifiedWord>
      <trackRevisions>false</trackRevisions>
    </reviewItem>
    <reviewItem>
      <errorID>ba7bac56-1389-4825-b74d-48d587da21f1</errorID>
      <errorWord>,</errorWord>
      <group>L1_Format</group>
      <groupName>格式问题</groupName>
      <ability>L2_HalfPunc</ability>
      <abilityName>全半角检查</abilityName>
      <candidateList>
        <item>，</item>
      </candidateList>
      <explain>文本全半角错误。</explain>
      <paraID>72AECF8F</paraID>
      <start>155</start>
      <end>156</end>
      <status>modified</status>
      <modifiedWord>，</modifiedWord>
      <trackRevisions>false</trackRevisions>
    </reviewItem>
    <reviewItem>
      <errorID>51adb40c-5bff-4458-86b5-f78c60dab8a7</errorID>
      <errorWord>条件运输</errorWord>
      <group>L1_Knowledge</group>
      <groupName>知识性问题</groupName>
      <ability>L2_Term</ability>
      <abilityName>专业术语</abilityName>
      <candidateList>
        <item>大件运输</item>
      </candidateList>
      <explain/>
      <paraID>72AECF8F</paraID>
      <start>204</start>
      <end>208</end>
      <status>unmodified</status>
      <modifiedWord/>
      <trackRevisions>false</trackRevisions>
    </reviewItem>
    <reviewItem>
      <errorID>37efe5fa-f136-47d3-bf4d-61f843be45ef</errorID>
      <errorWord>可只</errorWord>
      <group>L1_Word</group>
      <groupName>字词问题</groupName>
      <ability>L2_Typo</ability>
      <abilityName>字词错误</abilityName>
      <candidateList>
        <item>可</item>
      </candidateList>
      <explain>〈动〉适合：～人意｜这回倒～了他的心了。</explain>
      <paraID>1AD42CA1</paraID>
      <start>67</start>
      <end>69</end>
      <status>unmodified</status>
      <modifiedWord/>
      <trackRevisions>false</trackRevisions>
    </reviewItem>
    <reviewItem>
      <errorID>5d5bf1dc-16d0-41ca-a457-c54420d9a0d9</errorID>
      <errorWord>提高</errorWord>
      <group>L1_Word</group>
      <groupName>字词问题</groupName>
      <ability>L2_Typo</ability>
      <abilityName>字词错误</abilityName>
      <candidateList>
        <item>增强</item>
      </candidateList>
      <explain>“提高～意识”搭配不当，建议修改为“增强～意识”。</explain>
      <paraID>767C9A46</paraID>
      <start>3</start>
      <end>5</end>
      <status>unmodified</status>
      <modifiedWord/>
      <trackRevisions>false</trackRevisions>
    </reviewItem>
    <reviewItem>
      <errorID>1a87e770-e25a-4dbc-8740-712faa6732a8</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5E4EFD37</paraID>
      <start>21</start>
      <end>23</end>
      <status>unmodified</status>
      <modifiedWord/>
      <trackRevisions>false</trackRevisions>
    </reviewItem>
    <reviewItem>
      <errorID>2fa126b2-9129-4c4b-8427-fff1e0344525</errorID>
      <errorWord>态</errorWord>
      <group>L1_Word</group>
      <groupName>字词问题</groupName>
      <ability>L2_Typo</ability>
      <abilityName>字词错误</abilityName>
      <candidateList>
        <item>态和</item>
      </candidateList>
      <explain/>
      <paraID>3CD28230</paraID>
      <start>8</start>
      <end>9</end>
      <status>unmodified</status>
      <modifiedWord/>
      <trackRevisions>false</trackRevisions>
    </reviewItem>
    <reviewItem>
      <errorID>da2e3986-a397-4b60-9702-1f7aaa8e9212</errorID>
      <errorWord>提高</errorWord>
      <group>L1_Word</group>
      <groupName>字词问题</groupName>
      <ability>L2_Typo</ability>
      <abilityName>字词错误</abilityName>
      <candidateList>
        <item>增强</item>
      </candidateList>
      <explain>“提高～意识”搭配不当，建议修改为“增强～意识”。</explain>
      <paraID>576E1D99</paraID>
      <start>20</start>
      <end>22</end>
      <status>unmodified</status>
      <modifiedWord/>
      <trackRevisions>false</trackRevisions>
    </reviewItem>
    <reviewItem>
      <errorID>0ebc16c2-260a-4287-aab2-91c218961e37</errorID>
      <errorWord>树立标志牌</errorWord>
      <group>L1_Word</group>
      <groupName>字词问题</groupName>
      <ability>L2_Typo</ability>
      <abilityName>字词错误</abilityName>
      <candidateList>
        <item>竖立标志牌</item>
      </candidateList>
      <explain/>
      <paraID>3D70EAF9</paraID>
      <start>12</start>
      <end>17</end>
      <status>unmodified</status>
      <modifiedWord/>
      <trackRevisions>false</trackRevisions>
    </reviewItem>
    <reviewItem>
      <errorID>73f1ca14-06b8-485b-bbdb-bfe0c379ee98</errorID>
      <errorWord>环境保护的</errorWord>
      <group>L1_Word</group>
      <groupName>字词问题</groupName>
      <ability>L2_Typo</ability>
      <abilityName>字词错误</abilityName>
      <candidateList>
        <item>环境保护</item>
      </candidateList>
      <explain/>
      <paraID>75C021CB</paraID>
      <start>32</start>
      <end>37</end>
      <status>unmodified</status>
      <modifiedWord/>
      <trackRevisions>false</trackRevisions>
    </reviewItem>
    <reviewItem>
      <errorID>22c63ca3-c4e9-4089-9c81-cbe985ff50e9</errorID>
      <errorWord>提高</errorWord>
      <group>L1_Word</group>
      <groupName>字词问题</groupName>
      <ability>L2_Typo</ability>
      <abilityName>字词错误</abilityName>
      <candidateList>
        <item>增强</item>
      </candidateList>
      <explain>“提高～意识”搭配不当，建议修改为“增强～意识”。</explain>
      <paraID>75C021CB</paraID>
      <start>42</start>
      <end>44</end>
      <status>unmodified</status>
      <modifiedWord/>
      <trackRevisions>false</trackRevisions>
    </reviewItem>
    <reviewItem>
      <errorID>58f7b6a0-8fff-419f-b292-a5f46cba7324</errorID>
      <errorWord>为本</errorWord>
      <group>L1_Word</group>
      <groupName>字词问题</groupName>
      <ability>L2_Typo</ability>
      <abilityName>字词错误</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4DD0F3B6</paraID>
      <start>0</start>
      <end>2</end>
      <status>unmodified</status>
      <modifiedWord/>
      <trackRevisions>false</trackRevisions>
    </reviewItem>
    <reviewItem>
      <errorID>f7c55e1d-bae3-4a4a-9696-67feb2af7ae6</errorID>
      <errorWord>和环境影响评价</errorWord>
      <group>L1_Knowledge</group>
      <groupName>知识性问题</groupName>
      <ability>L2_Term</ability>
      <abilityName>专业术语</abilityName>
      <candidateList>
        <item>声环境影响评价</item>
      </candidateList>
      <explain/>
      <paraID>79C52330</paraID>
      <start>6</start>
      <end>13</end>
      <status>unmodified</status>
      <modifiedWord/>
      <trackRevisions>false</trackRevisions>
    </reviewItem>
    <reviewItem>
      <errorID>b5418992-a1eb-4df7-9a06-5a711063805d</errorID>
      <errorWord>落实到实处</errorWord>
      <group>L1_Word</group>
      <groupName>字词问题</groupName>
      <ability>L2_Typo</ability>
      <abilityName>字词错误</abilityName>
      <candidateList>
        <item>落到实处</item>
      </candidateList>
      <explain/>
      <paraID>27636D3A</paraID>
      <start>75</start>
      <end>80</end>
      <status>unmodified</status>
      <modifiedWord/>
      <trackRevisions>false</trackRevisions>
    </reviewItem>
    <reviewItem>
      <errorID>19f9cd14-78b7-4f98-876b-744bc7b08896</errorID>
      <errorWord>低质</errorWord>
      <group>L1_Word</group>
      <groupName>字词问题</groupName>
      <ability>L2_Typo</ability>
      <abilityName>字词错误</abilityName>
      <candidateList>
        <item>纸质</item>
      </candidateList>
      <explain/>
      <paraID>5CCA6DCE</paraID>
      <start>72</start>
      <end>74</end>
      <status>unmodified</status>
      <modifiedWord/>
      <trackRevisions>false</trackRevisions>
    </reviewItem>
    <reviewItem>
      <errorID>ef0a9f7c-db5c-47c7-966b-c9bac6427d6a</errorID>
      <errorWord>(</errorWord>
      <group>L1_Format</group>
      <groupName>格式问题</groupName>
      <ability>L2_HalfPunc</ability>
      <abilityName>全半角检查</abilityName>
      <candidateList>
        <item>（</item>
      </candidateList>
      <explain>文本全半角错误。</explain>
      <paraID>7CC2DA5C</paraID>
      <start>80</start>
      <end>81</end>
      <status>modified</status>
      <modifiedWord>（</modifiedWord>
      <trackRevisions>false</trackRevisions>
    </reviewItem>
    <reviewItem>
      <errorID>1773c63f-a472-484c-8c31-d091a4c317ec</errorID>
      <errorWord>)</errorWord>
      <group>L1_Format</group>
      <groupName>格式问题</groupName>
      <ability>L2_HalfPunc</ability>
      <abilityName>全半角检查</abilityName>
      <candidateList>
        <item>）</item>
      </candidateList>
      <explain>文本全半角错误。</explain>
      <paraID>7CC2DA5C</paraID>
      <start>90</start>
      <end>91</end>
      <status>modified</status>
      <modifiedWord>）</modifiedWord>
      <trackRevisions>false</trackRevisions>
    </reviewItem>
    <reviewItem>
      <errorID>99afe35e-476c-4d2b-a4c5-e6bd472ab44b</errorID>
      <errorWord>废</errorWord>
      <group>L1_Word</group>
      <groupName>字词问题</groupName>
      <ability>L2_Typo</ability>
      <abilityName>字词错误</abilityName>
      <candidateList>
        <item>废物</item>
      </candidateList>
      <explain/>
      <paraID>1DC59456</paraID>
      <start>30</start>
      <end>31</end>
      <status>unmodified</status>
      <modifiedWord/>
      <trackRevisions>false</trackRevisions>
    </reviewItem>
    <reviewItem>
      <errorID>1f8be001-0f8b-477d-88bf-b8c858ca3411</errorID>
      <errorWord>贮大</errorWord>
      <group>L1_Word</group>
      <groupName>字词问题</groupName>
      <ability>L2_Typo</ability>
      <abilityName>字词错误</abilityName>
      <candidateList>
        <item>贮存</item>
      </candidateList>
      <explain/>
      <paraID>1DC59456</paraID>
      <start>56</start>
      <end>58</end>
      <status>unmodified</status>
      <modifiedWord/>
      <trackRevisions>false</trackRevisions>
    </reviewItem>
    <reviewItem>
      <errorID>6ff15185-f1da-4d7a-9dd6-7e7fbe9195c8</errorID>
      <errorWord>(</errorWord>
      <group>L1_Format</group>
      <groupName>格式问题</groupName>
      <ability>L2_HalfPunc</ability>
      <abilityName>全半角检查</abilityName>
      <candidateList>
        <item>（</item>
      </candidateList>
      <explain>文本全半角错误。</explain>
      <paraID>75412A6F</paraID>
      <start>59</start>
      <end>60</end>
      <status>modified</status>
      <modifiedWord>（</modifiedWord>
      <trackRevisions>false</trackRevisions>
    </reviewItem>
    <reviewItem>
      <errorID>8a58d09e-8fd7-410b-a5d5-5aac5ad1aaeb</errorID>
      <errorWord>)</errorWord>
      <group>L1_Format</group>
      <groupName>格式问题</groupName>
      <ability>L2_HalfPunc</ability>
      <abilityName>全半角检查</abilityName>
      <candidateList>
        <item>）</item>
      </candidateList>
      <explain>文本全半角错误。</explain>
      <paraID>75412A6F</paraID>
      <start>76</start>
      <end>77</end>
      <status>modified</status>
      <modifiedWord>）</modifiedWord>
      <trackRevisions>false</trackRevisions>
    </reviewItem>
    <reviewItem>
      <errorID>7ef4a786-6a83-455c-a6f2-f52eb0e6270f</errorID>
      <errorWord>时间</errorWord>
      <group>L1_Word</group>
      <groupName>字词问题</groupName>
      <ability>L2_Typo</ability>
      <abilityName>字词错误</abilityName>
      <candidateList>
        <item>事件</item>
      </candidateList>
      <explain>〈名〉历史上或社会上发生的不平常的大事情：政治～。</explain>
      <paraID>2F24B4DB</paraID>
      <start>46</start>
      <end>48</end>
      <status>unmodified</status>
      <modifiedWord/>
      <trackRevisions>false</trackRevisions>
    </reviewItem>
    <reviewItem>
      <errorID>e5392950-fbd5-4ace-a70c-6c23f7ed9ebf</errorID>
      <errorWord>:</errorWord>
      <group>L1_Format</group>
      <groupName>格式问题</groupName>
      <ability>L2_HalfPunc</ability>
      <abilityName>全半角检查</abilityName>
      <candidateList>
        <item>：</item>
      </candidateList>
      <explain>文本全半角错误。</explain>
      <paraID>354CB211</paraID>
      <start>17</start>
      <end>18</end>
      <status>modified</status>
      <modifiedWord>：</modifiedWord>
      <trackRevisions>false</trackRevisions>
    </reviewItem>
    <reviewItem>
      <errorID>356d8ab5-42c0-486d-ae21-68d6513df584</errorID>
      <errorWord>程</errorWord>
      <group>L1_Word</group>
      <groupName>字词问题</groupName>
      <ability>L2_Typo</ability>
      <abilityName>字词错误</abilityName>
      <candidateList>
        <item>程中</item>
      </candidateList>
      <explain/>
      <paraID>14321D0E</paraID>
      <start>16</start>
      <end>17</end>
      <status>unmodified</status>
      <modifiedWord/>
      <trackRevisions>false</trackRevisions>
    </reviewItem>
    <reviewItem>
      <errorID>0431d35b-157c-42e7-8ebd-5ae2d63906ed</errorID>
      <errorWord>投</errorWord>
      <group>L1_Word</group>
      <groupName>字词问题</groupName>
      <ability>L2_Typo</ability>
      <abilityName>字词错误</abilityName>
      <candidateList>
        <item>投资</item>
      </candidateList>
      <explain/>
      <paraID>3919D997</paraID>
      <start>4</start>
      <end>5</end>
      <status>unmodified</status>
      <modifiedWord/>
      <trackRevisions>false</trackRevisions>
    </reviewItem>
    <reviewItem>
      <errorID>2437fcd3-83c0-4081-9103-f3891dcccb62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52960F74</paraID>
      <start>71</start>
      <end>72</end>
      <status>unmodified</status>
      <modifiedWord/>
      <trackRevisions>false</trackRevisions>
    </reviewItem>
    <reviewItem>
      <errorID>5ef30c16-bb37-40e1-90dd-830f256e22c0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52960F74</paraID>
      <start>110</start>
      <end>111</end>
      <status>unmodified</status>
      <modifiedWord/>
      <trackRevisions>false</trackRevisions>
    </reviewItem>
    <reviewItem>
      <errorID>0ce9367c-a24d-4984-94d4-dbf9dbc224a7</errorID>
      <errorWord>期</errorWord>
      <group>L1_Word</group>
      <groupName>字词问题</groupName>
      <ability>L2_Typo</ability>
      <abilityName>字词错误</abilityName>
      <candidateList>
        <item>期间</item>
      </candidateList>
      <explain>〈名〉某个时期里面：农忙～｜春节～｜抗战～。</explain>
      <paraID>2AB6D954</paraID>
      <start>3</start>
      <end>5</end>
      <status>modified</status>
      <modifiedWord>期间</modifiedWord>
      <trackRevisions>false</trackRevisions>
    </reviewItem>
    <reviewItem>
      <errorID>1063074e-0aba-4144-8133-edc6424c9b25</errorID>
      <errorWord>提高</errorWord>
      <group>L1_Word</group>
      <groupName>字词问题</groupName>
      <ability>L2_Typo</ability>
      <abilityName>字词错误</abilityName>
      <candidateList>
        <item>增强</item>
      </candidateList>
      <explain>“提高～意识”搭配不当，建议修改为“增强～意识”。</explain>
      <paraID> FC24BAB</paraID>
      <start>36</start>
      <end>38</end>
      <status>unmodified</status>
      <modifiedWord/>
      <trackRevisions>false</trackRevisions>
    </reviewItem>
    <reviewItem>
      <errorID>67fea5b2-16b2-423c-bf63-523672e582d7</errorID>
      <errorWord>推广及</errorWord>
      <group>L1_Word</group>
      <groupName>字词问题</groupName>
      <ability>L2_Typo</ability>
      <abilityName>字词错误</abilityName>
      <candidateList>
        <item>推广</item>
      </candidateList>
      <explain/>
      <paraID>29D71D94</paraID>
      <start>50</start>
      <end>53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c08ab0-bf20-4a7d-afd5-8b9583c2cabf}">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62</Pages>
  <Words>22211</Words>
  <Characters>24310</Characters>
  <Lines>494</Lines>
  <Paragraphs>139</Paragraphs>
  <TotalTime>23</TotalTime>
  <ScaleCrop>false</ScaleCrop>
  <LinksUpToDate>false</LinksUpToDate>
  <CharactersWithSpaces>24682</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2021-05-08T18:29:00Z</dcterms:created>
  <dc:creator>lhj</dc:creator>
  <cp:lastModifiedBy>Administrator</cp:lastModifiedBy>
  <cp:lastPrinted>2020-12-29T02:43:00Z</cp:lastPrinted>
  <dcterms:modified xsi:type="dcterms:W3CDTF">2025-12-17T08:13:54Z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8FE53779880D4B1499B2A23C33DF89F9_13</vt:lpwstr>
  </property>
  <property fmtid="{D5CDD505-2E9C-101B-9397-08002B2CF9AE}" pid="4" name="commondata">
    <vt:lpwstr>eyJoZGlkIjoiZGZjMDU5NGJkNDZiZmQyYTlkZTQyMWM5ZjJhMWFlNmUifQ==</vt:lpwstr>
  </property>
  <property fmtid="{D5CDD505-2E9C-101B-9397-08002B2CF9AE}" pid="5" name="KSOTemplateDocerSaveRecord">
    <vt:lpwstr>eyJoZGlkIjoiZDFiZmE4Y2NmNjNmZWQ5NmE1MTMxZDlkNmY5ZDFhYmIiLCJ1c2VySWQiOiI0NTU5Mjg5ODQifQ==</vt:lpwstr>
  </property>
</Properties>
</file>