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outlineLvl w:val="0"/>
        <w:rPr>
          <w:bCs/>
          <w:color w:val="auto"/>
          <w:sz w:val="72"/>
          <w:szCs w:val="72"/>
        </w:rPr>
      </w:pPr>
    </w:p>
    <w:p>
      <w:pPr>
        <w:adjustRightInd w:val="0"/>
        <w:snapToGrid w:val="0"/>
        <w:jc w:val="center"/>
        <w:outlineLvl w:val="0"/>
        <w:rPr>
          <w:bCs/>
          <w:color w:val="auto"/>
          <w:sz w:val="72"/>
          <w:szCs w:val="72"/>
        </w:rPr>
      </w:pPr>
    </w:p>
    <w:p>
      <w:pPr>
        <w:adjustRightInd w:val="0"/>
        <w:snapToGrid w:val="0"/>
        <w:jc w:val="center"/>
        <w:outlineLvl w:val="0"/>
        <w:rPr>
          <w:bCs/>
          <w:color w:val="auto"/>
          <w:sz w:val="72"/>
          <w:szCs w:val="72"/>
        </w:rPr>
      </w:pPr>
    </w:p>
    <w:p>
      <w:pPr>
        <w:adjustRightInd w:val="0"/>
        <w:snapToGrid w:val="0"/>
        <w:jc w:val="center"/>
        <w:outlineLvl w:val="0"/>
        <w:rPr>
          <w:bCs/>
          <w:color w:val="auto"/>
          <w:sz w:val="72"/>
          <w:szCs w:val="72"/>
        </w:rPr>
      </w:pPr>
      <w:r>
        <w:rPr>
          <w:bCs/>
          <w:color w:val="auto"/>
          <w:sz w:val="72"/>
          <w:szCs w:val="72"/>
        </w:rPr>
        <w:t>建设项目环境影响报告表</w:t>
      </w:r>
    </w:p>
    <w:p>
      <w:pPr>
        <w:adjustRightInd w:val="0"/>
        <w:snapToGrid w:val="0"/>
        <w:spacing w:before="192" w:beforeLines="80"/>
        <w:jc w:val="center"/>
        <w:rPr>
          <w:bCs/>
          <w:color w:val="auto"/>
          <w:sz w:val="48"/>
          <w:szCs w:val="48"/>
        </w:rPr>
      </w:pPr>
      <w:r>
        <w:rPr>
          <w:bCs/>
          <w:color w:val="auto"/>
          <w:sz w:val="48"/>
          <w:szCs w:val="48"/>
        </w:rPr>
        <w:t>（污染影响类）</w:t>
      </w:r>
    </w:p>
    <w:p>
      <w:pPr>
        <w:adjustRightInd w:val="0"/>
        <w:snapToGrid w:val="0"/>
        <w:spacing w:line="288" w:lineRule="auto"/>
        <w:ind w:firstLine="1040"/>
        <w:rPr>
          <w:color w:val="auto"/>
          <w:sz w:val="36"/>
          <w:szCs w:val="36"/>
        </w:rPr>
      </w:pPr>
    </w:p>
    <w:p>
      <w:pPr>
        <w:adjustRightInd w:val="0"/>
        <w:snapToGrid w:val="0"/>
        <w:spacing w:line="288" w:lineRule="auto"/>
        <w:ind w:firstLine="1040"/>
        <w:rPr>
          <w:color w:val="auto"/>
          <w:sz w:val="36"/>
          <w:szCs w:val="36"/>
        </w:rPr>
      </w:pPr>
    </w:p>
    <w:p>
      <w:pPr>
        <w:adjustRightInd w:val="0"/>
        <w:snapToGrid w:val="0"/>
        <w:spacing w:line="288" w:lineRule="auto"/>
        <w:ind w:firstLine="1040"/>
        <w:rPr>
          <w:color w:val="auto"/>
          <w:sz w:val="36"/>
          <w:szCs w:val="36"/>
        </w:rPr>
      </w:pPr>
    </w:p>
    <w:p>
      <w:pPr>
        <w:adjustRightInd w:val="0"/>
        <w:snapToGrid w:val="0"/>
        <w:spacing w:line="288" w:lineRule="auto"/>
        <w:ind w:firstLine="1040"/>
        <w:rPr>
          <w:color w:val="auto"/>
          <w:sz w:val="36"/>
          <w:szCs w:val="36"/>
        </w:rPr>
      </w:pPr>
    </w:p>
    <w:p>
      <w:pPr>
        <w:adjustRightInd w:val="0"/>
        <w:snapToGrid w:val="0"/>
        <w:spacing w:line="288" w:lineRule="auto"/>
        <w:ind w:firstLine="1040"/>
        <w:rPr>
          <w:color w:val="auto"/>
          <w:sz w:val="36"/>
          <w:szCs w:val="36"/>
        </w:rPr>
      </w:pPr>
    </w:p>
    <w:p>
      <w:pPr>
        <w:adjustRightInd w:val="0"/>
        <w:snapToGrid w:val="0"/>
        <w:spacing w:line="288" w:lineRule="auto"/>
        <w:ind w:firstLine="1040"/>
        <w:rPr>
          <w:color w:val="auto"/>
          <w:sz w:val="36"/>
          <w:szCs w:val="36"/>
        </w:rPr>
      </w:pPr>
    </w:p>
    <w:p>
      <w:pPr>
        <w:adjustRightInd w:val="0"/>
        <w:snapToGrid w:val="0"/>
        <w:spacing w:line="288" w:lineRule="auto"/>
        <w:ind w:firstLine="1040"/>
        <w:rPr>
          <w:color w:val="auto"/>
          <w:sz w:val="36"/>
          <w:szCs w:val="36"/>
        </w:rPr>
      </w:pPr>
    </w:p>
    <w:p>
      <w:pPr>
        <w:adjustRightInd w:val="0"/>
        <w:snapToGrid w:val="0"/>
        <w:spacing w:line="360" w:lineRule="auto"/>
        <w:ind w:firstLine="417" w:firstLineChars="116"/>
        <w:rPr>
          <w:color w:val="auto"/>
          <w:sz w:val="36"/>
          <w:szCs w:val="36"/>
          <w:u w:val="single"/>
        </w:rPr>
      </w:pPr>
      <w:r>
        <w:rPr>
          <w:color w:val="auto"/>
          <w:sz w:val="36"/>
          <w:szCs w:val="36"/>
        </w:rPr>
        <w:t>项目名称：</w:t>
      </w:r>
      <w:r>
        <w:rPr>
          <w:color w:val="auto"/>
          <w:sz w:val="36"/>
          <w:szCs w:val="36"/>
          <w:u w:val="single"/>
        </w:rPr>
        <w:t>尉犁县祥立烟花爆竹销售有限公司烟花</w:t>
      </w:r>
    </w:p>
    <w:p>
      <w:pPr>
        <w:adjustRightInd w:val="0"/>
        <w:snapToGrid w:val="0"/>
        <w:spacing w:line="360" w:lineRule="auto"/>
        <w:ind w:firstLine="2214" w:firstLineChars="615"/>
        <w:rPr>
          <w:color w:val="auto"/>
          <w:sz w:val="36"/>
          <w:szCs w:val="36"/>
          <w:u w:val="single"/>
        </w:rPr>
      </w:pPr>
      <w:r>
        <w:rPr>
          <w:color w:val="auto"/>
          <w:sz w:val="36"/>
          <w:szCs w:val="36"/>
          <w:u w:val="single"/>
        </w:rPr>
        <w:t xml:space="preserve">爆竹库房建设项目                        </w:t>
      </w:r>
    </w:p>
    <w:p>
      <w:pPr>
        <w:adjustRightInd w:val="0"/>
        <w:snapToGrid w:val="0"/>
        <w:spacing w:line="360" w:lineRule="auto"/>
        <w:ind w:firstLine="417" w:firstLineChars="116"/>
        <w:rPr>
          <w:color w:val="auto"/>
          <w:sz w:val="36"/>
          <w:szCs w:val="36"/>
          <w:u w:val="single"/>
        </w:rPr>
      </w:pPr>
      <w:r>
        <w:rPr>
          <w:color w:val="auto"/>
          <w:sz w:val="36"/>
          <w:szCs w:val="36"/>
        </w:rPr>
        <w:t>建设单位（盖章）：</w:t>
      </w:r>
      <w:r>
        <w:rPr>
          <w:color w:val="auto"/>
          <w:sz w:val="36"/>
          <w:szCs w:val="36"/>
          <w:u w:val="single"/>
        </w:rPr>
        <w:t xml:space="preserve">尉犁县祥立烟花爆竹销售有限公司 </w:t>
      </w:r>
    </w:p>
    <w:p>
      <w:pPr>
        <w:adjustRightInd w:val="0"/>
        <w:snapToGrid w:val="0"/>
        <w:spacing w:line="360" w:lineRule="auto"/>
        <w:ind w:firstLine="417" w:firstLineChars="116"/>
        <w:rPr>
          <w:color w:val="auto"/>
          <w:sz w:val="36"/>
          <w:szCs w:val="36"/>
          <w:u w:val="single"/>
        </w:rPr>
      </w:pPr>
      <w:r>
        <w:rPr>
          <w:color w:val="auto"/>
          <w:sz w:val="36"/>
          <w:szCs w:val="36"/>
        </w:rPr>
        <w:t xml:space="preserve">编制日期： </w:t>
      </w:r>
      <w:r>
        <w:rPr>
          <w:color w:val="auto"/>
          <w:sz w:val="36"/>
          <w:szCs w:val="36"/>
          <w:u w:val="single"/>
        </w:rPr>
        <w:t xml:space="preserve">          2025年</w:t>
      </w:r>
      <w:r>
        <w:rPr>
          <w:rFonts w:hint="eastAsia"/>
          <w:color w:val="auto"/>
          <w:sz w:val="36"/>
          <w:szCs w:val="36"/>
          <w:u w:val="single"/>
        </w:rPr>
        <w:t>12</w:t>
      </w:r>
      <w:r>
        <w:rPr>
          <w:color w:val="auto"/>
          <w:sz w:val="36"/>
          <w:szCs w:val="36"/>
          <w:u w:val="single"/>
        </w:rPr>
        <w:t xml:space="preserve">月           </w:t>
      </w:r>
    </w:p>
    <w:p>
      <w:pPr>
        <w:adjustRightInd w:val="0"/>
        <w:snapToGrid w:val="0"/>
        <w:spacing w:line="288" w:lineRule="auto"/>
        <w:ind w:firstLine="1040"/>
        <w:rPr>
          <w:rFonts w:eastAsia="仿宋_GB2312"/>
          <w:color w:val="auto"/>
          <w:sz w:val="36"/>
          <w:szCs w:val="36"/>
          <w:u w:val="single"/>
        </w:rPr>
      </w:pPr>
      <w:bookmarkStart w:id="0" w:name="_Hlk57884087"/>
    </w:p>
    <w:p>
      <w:pPr>
        <w:adjustRightInd w:val="0"/>
        <w:snapToGrid w:val="0"/>
        <w:spacing w:line="288" w:lineRule="auto"/>
        <w:ind w:firstLine="1040"/>
        <w:rPr>
          <w:rFonts w:eastAsia="仿宋_GB2312"/>
          <w:color w:val="auto"/>
          <w:sz w:val="36"/>
          <w:szCs w:val="36"/>
        </w:rPr>
      </w:pPr>
    </w:p>
    <w:p>
      <w:pPr>
        <w:adjustRightInd w:val="0"/>
        <w:snapToGrid w:val="0"/>
        <w:spacing w:line="288" w:lineRule="auto"/>
        <w:ind w:firstLine="1040"/>
        <w:rPr>
          <w:rFonts w:eastAsia="仿宋_GB2312"/>
          <w:color w:val="auto"/>
          <w:sz w:val="36"/>
          <w:szCs w:val="36"/>
        </w:rPr>
      </w:pPr>
    </w:p>
    <w:bookmarkEnd w:id="0"/>
    <w:p>
      <w:pPr>
        <w:adjustRightInd w:val="0"/>
        <w:snapToGrid w:val="0"/>
        <w:spacing w:line="288" w:lineRule="auto"/>
        <w:jc w:val="center"/>
        <w:rPr>
          <w:rFonts w:eastAsia="楷体_GB2312"/>
          <w:color w:val="auto"/>
          <w:sz w:val="36"/>
          <w:szCs w:val="36"/>
        </w:rPr>
      </w:pPr>
      <w:r>
        <w:rPr>
          <w:rFonts w:eastAsia="楷体_GB2312"/>
          <w:color w:val="auto"/>
          <w:sz w:val="36"/>
          <w:szCs w:val="36"/>
        </w:rPr>
        <w:t>中华人民共和国生态环境部制</w:t>
      </w:r>
    </w:p>
    <w:p>
      <w:pPr>
        <w:adjustRightInd w:val="0"/>
        <w:snapToGrid w:val="0"/>
        <w:spacing w:line="288" w:lineRule="auto"/>
        <w:ind w:firstLine="1040"/>
        <w:rPr>
          <w:rFonts w:eastAsia="仿宋_GB2312"/>
          <w:color w:val="auto"/>
          <w:sz w:val="36"/>
          <w:szCs w:val="36"/>
        </w:rPr>
        <w:sectPr>
          <w:footerReference r:id="rId3" w:type="default"/>
          <w:footerReference r:id="rId4" w:type="even"/>
          <w:pgSz w:w="11906" w:h="16838"/>
          <w:pgMar w:top="1701" w:right="1531" w:bottom="1701" w:left="1531" w:header="851" w:footer="1077" w:gutter="0"/>
          <w:pgNumType w:start="3"/>
          <w:cols w:space="720" w:num="1"/>
          <w:docGrid w:linePitch="312" w:charSpace="0"/>
        </w:sectPr>
      </w:pPr>
    </w:p>
    <w:p>
      <w:pPr>
        <w:pStyle w:val="23"/>
        <w:jc w:val="center"/>
        <w:outlineLvl w:val="0"/>
        <w:rPr>
          <w:rFonts w:ascii="Times New Roman" w:hAnsi="Times New Roman" w:eastAsia="黑体"/>
          <w:snapToGrid w:val="0"/>
          <w:color w:val="auto"/>
          <w:sz w:val="30"/>
          <w:szCs w:val="30"/>
        </w:rPr>
      </w:pPr>
      <w:r>
        <w:rPr>
          <w:rFonts w:ascii="Times New Roman" w:hAnsi="Times New Roman" w:eastAsia="黑体"/>
          <w:snapToGrid w:val="0"/>
          <w:color w:val="auto"/>
          <w:sz w:val="30"/>
          <w:szCs w:val="30"/>
        </w:rPr>
        <w:t>一、建设项目基本情况</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570"/>
        <w:gridCol w:w="2435"/>
        <w:gridCol w:w="1097"/>
        <w:gridCol w:w="37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70" w:type="dxa"/>
            <w:tcMar>
              <w:top w:w="16" w:type="dxa"/>
              <w:left w:w="16" w:type="dxa"/>
              <w:right w:w="16" w:type="dxa"/>
            </w:tcMar>
            <w:vAlign w:val="center"/>
          </w:tcPr>
          <w:p>
            <w:pPr>
              <w:adjustRightInd w:val="0"/>
              <w:snapToGrid w:val="0"/>
              <w:jc w:val="center"/>
              <w:rPr>
                <w:color w:val="auto"/>
                <w:sz w:val="24"/>
              </w:rPr>
            </w:pPr>
            <w:r>
              <w:rPr>
                <w:color w:val="auto"/>
                <w:sz w:val="24"/>
              </w:rPr>
              <w:t>建设项目名称</w:t>
            </w:r>
          </w:p>
        </w:tc>
        <w:tc>
          <w:tcPr>
            <w:tcW w:w="7300" w:type="dxa"/>
            <w:gridSpan w:val="3"/>
            <w:vAlign w:val="center"/>
          </w:tcPr>
          <w:p>
            <w:pPr>
              <w:adjustRightInd w:val="0"/>
              <w:snapToGrid w:val="0"/>
              <w:spacing w:line="360" w:lineRule="auto"/>
              <w:ind w:firstLine="278" w:firstLineChars="116"/>
              <w:jc w:val="center"/>
              <w:rPr>
                <w:color w:val="auto"/>
                <w:sz w:val="24"/>
              </w:rPr>
            </w:pPr>
            <w:r>
              <w:rPr>
                <w:color w:val="auto"/>
                <w:sz w:val="24"/>
              </w:rPr>
              <w:t>尉犁县祥立烟花爆竹销售有限公司烟花爆竹库房建设项目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1570" w:type="dxa"/>
            <w:tcMar>
              <w:top w:w="16" w:type="dxa"/>
              <w:left w:w="16" w:type="dxa"/>
              <w:right w:w="16" w:type="dxa"/>
            </w:tcMar>
            <w:vAlign w:val="center"/>
          </w:tcPr>
          <w:p>
            <w:pPr>
              <w:adjustRightInd w:val="0"/>
              <w:snapToGrid w:val="0"/>
              <w:jc w:val="center"/>
              <w:rPr>
                <w:color w:val="auto"/>
                <w:sz w:val="24"/>
              </w:rPr>
            </w:pPr>
            <w:r>
              <w:rPr>
                <w:color w:val="auto"/>
                <w:sz w:val="24"/>
              </w:rPr>
              <w:t>项目代码</w:t>
            </w:r>
          </w:p>
        </w:tc>
        <w:tc>
          <w:tcPr>
            <w:tcW w:w="7300" w:type="dxa"/>
            <w:gridSpan w:val="3"/>
            <w:vAlign w:val="center"/>
          </w:tcPr>
          <w:p>
            <w:pPr>
              <w:adjustRightInd w:val="0"/>
              <w:snapToGrid w:val="0"/>
              <w:jc w:val="center"/>
              <w:rPr>
                <w:color w:val="auto"/>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70" w:type="dxa"/>
            <w:tcMar>
              <w:top w:w="16" w:type="dxa"/>
              <w:left w:w="16" w:type="dxa"/>
              <w:right w:w="16" w:type="dxa"/>
            </w:tcMar>
            <w:vAlign w:val="center"/>
          </w:tcPr>
          <w:p>
            <w:pPr>
              <w:adjustRightInd w:val="0"/>
              <w:snapToGrid w:val="0"/>
              <w:jc w:val="center"/>
              <w:rPr>
                <w:color w:val="auto"/>
                <w:sz w:val="24"/>
              </w:rPr>
            </w:pPr>
            <w:r>
              <w:rPr>
                <w:color w:val="auto"/>
                <w:sz w:val="24"/>
              </w:rPr>
              <w:t>建设单位联系人</w:t>
            </w:r>
          </w:p>
        </w:tc>
        <w:tc>
          <w:tcPr>
            <w:tcW w:w="2435" w:type="dxa"/>
            <w:vAlign w:val="center"/>
          </w:tcPr>
          <w:p>
            <w:pPr>
              <w:adjustRightInd w:val="0"/>
              <w:snapToGrid w:val="0"/>
              <w:jc w:val="center"/>
              <w:rPr>
                <w:color w:val="auto"/>
                <w:sz w:val="24"/>
              </w:rPr>
            </w:pPr>
          </w:p>
        </w:tc>
        <w:tc>
          <w:tcPr>
            <w:tcW w:w="1097" w:type="dxa"/>
            <w:vAlign w:val="center"/>
          </w:tcPr>
          <w:p>
            <w:pPr>
              <w:adjustRightInd w:val="0"/>
              <w:snapToGrid w:val="0"/>
              <w:jc w:val="center"/>
              <w:rPr>
                <w:color w:val="auto"/>
                <w:sz w:val="24"/>
              </w:rPr>
            </w:pPr>
          </w:p>
        </w:tc>
        <w:tc>
          <w:tcPr>
            <w:tcW w:w="3768" w:type="dxa"/>
            <w:vAlign w:val="center"/>
          </w:tcPr>
          <w:p>
            <w:pPr>
              <w:adjustRightInd w:val="0"/>
              <w:snapToGrid w:val="0"/>
              <w:jc w:val="center"/>
              <w:rPr>
                <w:color w:val="auto"/>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70" w:type="dxa"/>
            <w:tcMar>
              <w:top w:w="16" w:type="dxa"/>
              <w:left w:w="16" w:type="dxa"/>
              <w:right w:w="16" w:type="dxa"/>
            </w:tcMar>
            <w:vAlign w:val="center"/>
          </w:tcPr>
          <w:p>
            <w:pPr>
              <w:adjustRightInd w:val="0"/>
              <w:snapToGrid w:val="0"/>
              <w:jc w:val="center"/>
              <w:rPr>
                <w:color w:val="auto"/>
                <w:sz w:val="24"/>
              </w:rPr>
            </w:pPr>
            <w:r>
              <w:rPr>
                <w:color w:val="auto"/>
                <w:sz w:val="24"/>
              </w:rPr>
              <w:t>建设地点</w:t>
            </w:r>
          </w:p>
        </w:tc>
        <w:tc>
          <w:tcPr>
            <w:tcW w:w="7300" w:type="dxa"/>
            <w:gridSpan w:val="3"/>
            <w:vAlign w:val="center"/>
          </w:tcPr>
          <w:p>
            <w:pPr>
              <w:adjustRightInd w:val="0"/>
              <w:snapToGrid w:val="0"/>
              <w:jc w:val="center"/>
              <w:rPr>
                <w:color w:val="auto"/>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70" w:type="dxa"/>
            <w:tcMar>
              <w:top w:w="16" w:type="dxa"/>
              <w:left w:w="16" w:type="dxa"/>
              <w:right w:w="16" w:type="dxa"/>
            </w:tcMar>
            <w:vAlign w:val="center"/>
          </w:tcPr>
          <w:p>
            <w:pPr>
              <w:adjustRightInd w:val="0"/>
              <w:snapToGrid w:val="0"/>
              <w:jc w:val="center"/>
              <w:rPr>
                <w:color w:val="auto"/>
                <w:sz w:val="24"/>
              </w:rPr>
            </w:pPr>
            <w:r>
              <w:rPr>
                <w:color w:val="auto"/>
                <w:sz w:val="24"/>
              </w:rPr>
              <w:t>地理坐标</w:t>
            </w:r>
          </w:p>
        </w:tc>
        <w:tc>
          <w:tcPr>
            <w:tcW w:w="7300" w:type="dxa"/>
            <w:gridSpan w:val="3"/>
            <w:vAlign w:val="center"/>
          </w:tcPr>
          <w:p>
            <w:pPr>
              <w:adjustRightInd w:val="0"/>
              <w:snapToGrid w:val="0"/>
              <w:jc w:val="center"/>
              <w:rPr>
                <w:color w:val="auto"/>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570" w:type="dxa"/>
            <w:tcMar>
              <w:top w:w="16" w:type="dxa"/>
              <w:left w:w="16" w:type="dxa"/>
              <w:right w:w="16" w:type="dxa"/>
            </w:tcMar>
            <w:vAlign w:val="center"/>
          </w:tcPr>
          <w:p>
            <w:pPr>
              <w:adjustRightInd w:val="0"/>
              <w:snapToGrid w:val="0"/>
              <w:jc w:val="center"/>
              <w:rPr>
                <w:color w:val="auto"/>
                <w:sz w:val="24"/>
              </w:rPr>
            </w:pPr>
            <w:r>
              <w:rPr>
                <w:color w:val="auto"/>
                <w:sz w:val="24"/>
              </w:rPr>
              <w:t>国民经济</w:t>
            </w:r>
          </w:p>
          <w:p>
            <w:pPr>
              <w:adjustRightInd w:val="0"/>
              <w:snapToGrid w:val="0"/>
              <w:jc w:val="center"/>
              <w:rPr>
                <w:color w:val="auto"/>
                <w:sz w:val="24"/>
              </w:rPr>
            </w:pPr>
            <w:r>
              <w:rPr>
                <w:color w:val="auto"/>
                <w:sz w:val="24"/>
              </w:rPr>
              <w:t>行业类别</w:t>
            </w:r>
          </w:p>
        </w:tc>
        <w:tc>
          <w:tcPr>
            <w:tcW w:w="2435" w:type="dxa"/>
            <w:vAlign w:val="center"/>
          </w:tcPr>
          <w:p>
            <w:pPr>
              <w:adjustRightInd w:val="0"/>
              <w:snapToGrid w:val="0"/>
              <w:jc w:val="center"/>
              <w:rPr>
                <w:color w:val="auto"/>
                <w:sz w:val="24"/>
              </w:rPr>
            </w:pPr>
            <w:r>
              <w:rPr>
                <w:color w:val="auto"/>
                <w:sz w:val="24"/>
              </w:rPr>
              <w:t>C5949 其他危险品仓储</w:t>
            </w:r>
          </w:p>
        </w:tc>
        <w:tc>
          <w:tcPr>
            <w:tcW w:w="1097" w:type="dxa"/>
            <w:vAlign w:val="center"/>
          </w:tcPr>
          <w:p>
            <w:pPr>
              <w:adjustRightInd w:val="0"/>
              <w:snapToGrid w:val="0"/>
              <w:jc w:val="center"/>
              <w:rPr>
                <w:color w:val="auto"/>
                <w:sz w:val="24"/>
              </w:rPr>
            </w:pPr>
            <w:bookmarkStart w:id="1" w:name="_Hlk49843745"/>
            <w:r>
              <w:rPr>
                <w:color w:val="auto"/>
                <w:sz w:val="24"/>
              </w:rPr>
              <w:t>建设项目</w:t>
            </w:r>
          </w:p>
          <w:p>
            <w:pPr>
              <w:adjustRightInd w:val="0"/>
              <w:snapToGrid w:val="0"/>
              <w:jc w:val="center"/>
              <w:rPr>
                <w:color w:val="auto"/>
                <w:sz w:val="24"/>
              </w:rPr>
            </w:pPr>
            <w:r>
              <w:rPr>
                <w:color w:val="auto"/>
                <w:sz w:val="24"/>
              </w:rPr>
              <w:t>行业类别</w:t>
            </w:r>
            <w:bookmarkEnd w:id="1"/>
          </w:p>
        </w:tc>
        <w:tc>
          <w:tcPr>
            <w:tcW w:w="3768" w:type="dxa"/>
            <w:vAlign w:val="center"/>
          </w:tcPr>
          <w:p>
            <w:pPr>
              <w:adjustRightInd w:val="0"/>
              <w:snapToGrid w:val="0"/>
              <w:jc w:val="center"/>
              <w:rPr>
                <w:color w:val="auto"/>
                <w:sz w:val="24"/>
              </w:rPr>
            </w:pPr>
            <w:r>
              <w:rPr>
                <w:color w:val="auto"/>
                <w:sz w:val="24"/>
              </w:rPr>
              <w:t>五十三、装卸搬运和仓储业59-149 危险品仓储594-其他（含有毒、有害、危险品的仓储；含液化天然气库）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570" w:type="dxa"/>
            <w:tcMar>
              <w:top w:w="16" w:type="dxa"/>
              <w:left w:w="16" w:type="dxa"/>
              <w:right w:w="16" w:type="dxa"/>
            </w:tcMar>
            <w:vAlign w:val="center"/>
          </w:tcPr>
          <w:p>
            <w:pPr>
              <w:adjustRightInd w:val="0"/>
              <w:snapToGrid w:val="0"/>
              <w:jc w:val="center"/>
              <w:rPr>
                <w:color w:val="auto"/>
                <w:sz w:val="24"/>
              </w:rPr>
            </w:pPr>
            <w:r>
              <w:rPr>
                <w:color w:val="auto"/>
                <w:sz w:val="24"/>
              </w:rPr>
              <w:t>建设性质</w:t>
            </w:r>
          </w:p>
        </w:tc>
        <w:tc>
          <w:tcPr>
            <w:tcW w:w="2435" w:type="dxa"/>
            <w:vAlign w:val="center"/>
          </w:tcPr>
          <w:p>
            <w:pPr>
              <w:adjustRightInd w:val="0"/>
              <w:snapToGrid w:val="0"/>
              <w:jc w:val="left"/>
              <w:rPr>
                <w:color w:val="auto"/>
                <w:sz w:val="24"/>
              </w:rPr>
            </w:pPr>
            <w:r>
              <w:rPr>
                <w:color w:val="auto"/>
                <w:sz w:val="24"/>
              </w:rPr>
              <w:t>☑新建（迁建）</w:t>
            </w:r>
          </w:p>
          <w:p>
            <w:pPr>
              <w:adjustRightInd w:val="0"/>
              <w:snapToGrid w:val="0"/>
              <w:jc w:val="left"/>
              <w:rPr>
                <w:color w:val="auto"/>
                <w:sz w:val="24"/>
              </w:rPr>
            </w:pPr>
            <w:r>
              <w:rPr>
                <w:color w:val="auto"/>
                <w:sz w:val="24"/>
              </w:rPr>
              <w:t>□改建</w:t>
            </w:r>
            <w:bookmarkStart w:id="17" w:name="_GoBack"/>
            <w:bookmarkEnd w:id="17"/>
          </w:p>
          <w:p>
            <w:pPr>
              <w:adjustRightInd w:val="0"/>
              <w:snapToGrid w:val="0"/>
              <w:jc w:val="left"/>
              <w:rPr>
                <w:color w:val="auto"/>
                <w:sz w:val="24"/>
              </w:rPr>
            </w:pPr>
            <w:r>
              <w:rPr>
                <w:color w:val="auto"/>
                <w:sz w:val="24"/>
              </w:rPr>
              <w:t>□扩建</w:t>
            </w:r>
          </w:p>
          <w:p>
            <w:pPr>
              <w:adjustRightInd w:val="0"/>
              <w:snapToGrid w:val="0"/>
              <w:jc w:val="left"/>
              <w:rPr>
                <w:color w:val="auto"/>
                <w:sz w:val="24"/>
              </w:rPr>
            </w:pPr>
            <w:r>
              <w:rPr>
                <w:color w:val="auto"/>
                <w:sz w:val="24"/>
              </w:rPr>
              <w:t>□技术改造</w:t>
            </w:r>
          </w:p>
        </w:tc>
        <w:tc>
          <w:tcPr>
            <w:tcW w:w="1097" w:type="dxa"/>
            <w:vAlign w:val="center"/>
          </w:tcPr>
          <w:p>
            <w:pPr>
              <w:adjustRightInd w:val="0"/>
              <w:snapToGrid w:val="0"/>
              <w:jc w:val="center"/>
              <w:rPr>
                <w:color w:val="auto"/>
                <w:sz w:val="24"/>
              </w:rPr>
            </w:pPr>
            <w:r>
              <w:rPr>
                <w:color w:val="auto"/>
                <w:sz w:val="24"/>
              </w:rPr>
              <w:t>建设项目</w:t>
            </w:r>
          </w:p>
          <w:p>
            <w:pPr>
              <w:adjustRightInd w:val="0"/>
              <w:snapToGrid w:val="0"/>
              <w:jc w:val="center"/>
              <w:rPr>
                <w:color w:val="auto"/>
                <w:sz w:val="24"/>
              </w:rPr>
            </w:pPr>
            <w:r>
              <w:rPr>
                <w:color w:val="auto"/>
                <w:sz w:val="24"/>
              </w:rPr>
              <w:t>申报情形</w:t>
            </w:r>
          </w:p>
        </w:tc>
        <w:tc>
          <w:tcPr>
            <w:tcW w:w="3768" w:type="dxa"/>
            <w:vAlign w:val="center"/>
          </w:tcPr>
          <w:p>
            <w:pPr>
              <w:adjustRightInd w:val="0"/>
              <w:snapToGrid w:val="0"/>
              <w:jc w:val="left"/>
              <w:rPr>
                <w:color w:val="auto"/>
                <w:sz w:val="24"/>
              </w:rPr>
            </w:pPr>
            <w:r>
              <w:rPr>
                <w:color w:val="auto"/>
                <w:sz w:val="24"/>
              </w:rPr>
              <w:t>☑首次申报项目</w:t>
            </w:r>
          </w:p>
          <w:p>
            <w:pPr>
              <w:adjustRightInd w:val="0"/>
              <w:snapToGrid w:val="0"/>
              <w:jc w:val="left"/>
              <w:rPr>
                <w:color w:val="auto"/>
                <w:sz w:val="24"/>
              </w:rPr>
            </w:pPr>
            <w:r>
              <w:rPr>
                <w:color w:val="auto"/>
                <w:sz w:val="24"/>
              </w:rPr>
              <w:t>□不予批准后再次申报项目</w:t>
            </w:r>
          </w:p>
          <w:p>
            <w:pPr>
              <w:adjustRightInd w:val="0"/>
              <w:snapToGrid w:val="0"/>
              <w:jc w:val="left"/>
              <w:rPr>
                <w:color w:val="auto"/>
                <w:sz w:val="24"/>
              </w:rPr>
            </w:pPr>
            <w:r>
              <w:rPr>
                <w:color w:val="auto"/>
                <w:sz w:val="24"/>
              </w:rPr>
              <w:t>□超五年重新审核项目</w:t>
            </w:r>
          </w:p>
          <w:p>
            <w:pPr>
              <w:adjustRightInd w:val="0"/>
              <w:snapToGrid w:val="0"/>
              <w:jc w:val="left"/>
              <w:rPr>
                <w:color w:val="auto"/>
                <w:sz w:val="24"/>
              </w:rPr>
            </w:pPr>
            <w:r>
              <w:rPr>
                <w:color w:val="auto"/>
                <w:sz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570" w:type="dxa"/>
            <w:tcMar>
              <w:top w:w="16" w:type="dxa"/>
              <w:left w:w="16" w:type="dxa"/>
              <w:right w:w="16" w:type="dxa"/>
            </w:tcMar>
            <w:vAlign w:val="center"/>
          </w:tcPr>
          <w:p>
            <w:pPr>
              <w:adjustRightInd w:val="0"/>
              <w:snapToGrid w:val="0"/>
              <w:jc w:val="center"/>
              <w:rPr>
                <w:color w:val="auto"/>
                <w:sz w:val="24"/>
              </w:rPr>
            </w:pPr>
            <w:r>
              <w:rPr>
                <w:color w:val="auto"/>
                <w:sz w:val="24"/>
              </w:rPr>
              <w:t>项目审批（核准/</w:t>
            </w:r>
          </w:p>
          <w:p>
            <w:pPr>
              <w:adjustRightInd w:val="0"/>
              <w:snapToGrid w:val="0"/>
              <w:jc w:val="center"/>
              <w:rPr>
                <w:color w:val="auto"/>
                <w:sz w:val="24"/>
              </w:rPr>
            </w:pPr>
            <w:r>
              <w:rPr>
                <w:color w:val="auto"/>
                <w:sz w:val="24"/>
              </w:rPr>
              <w:t>备案）部门（选填）</w:t>
            </w:r>
          </w:p>
        </w:tc>
        <w:tc>
          <w:tcPr>
            <w:tcW w:w="2435" w:type="dxa"/>
            <w:vAlign w:val="center"/>
          </w:tcPr>
          <w:p>
            <w:pPr>
              <w:adjustRightInd w:val="0"/>
              <w:snapToGrid w:val="0"/>
              <w:jc w:val="center"/>
              <w:rPr>
                <w:color w:val="auto"/>
                <w:sz w:val="24"/>
              </w:rPr>
            </w:pPr>
            <w:r>
              <w:rPr>
                <w:color w:val="auto"/>
                <w:sz w:val="24"/>
              </w:rPr>
              <w:t>尉犁县发展和改革委员会</w:t>
            </w:r>
          </w:p>
        </w:tc>
        <w:tc>
          <w:tcPr>
            <w:tcW w:w="1097" w:type="dxa"/>
            <w:vAlign w:val="center"/>
          </w:tcPr>
          <w:p>
            <w:pPr>
              <w:adjustRightInd w:val="0"/>
              <w:snapToGrid w:val="0"/>
              <w:jc w:val="center"/>
              <w:rPr>
                <w:color w:val="auto"/>
                <w:sz w:val="24"/>
              </w:rPr>
            </w:pPr>
            <w:r>
              <w:rPr>
                <w:color w:val="auto"/>
                <w:sz w:val="24"/>
              </w:rPr>
              <w:t>项目审批（核准/备案）文号（选填）</w:t>
            </w:r>
          </w:p>
        </w:tc>
        <w:tc>
          <w:tcPr>
            <w:tcW w:w="3768" w:type="dxa"/>
            <w:vAlign w:val="center"/>
          </w:tcPr>
          <w:p>
            <w:pPr>
              <w:adjustRightInd w:val="0"/>
              <w:snapToGrid w:val="0"/>
              <w:jc w:val="center"/>
              <w:rPr>
                <w:color w:val="auto"/>
                <w:sz w:val="24"/>
              </w:rPr>
            </w:pPr>
            <w:r>
              <w:rPr>
                <w:color w:val="auto"/>
                <w:sz w:val="24"/>
              </w:rPr>
              <w:t xml:space="preserve">2404301121652800000207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70" w:type="dxa"/>
            <w:tcMar>
              <w:top w:w="16" w:type="dxa"/>
              <w:left w:w="16" w:type="dxa"/>
              <w:right w:w="16" w:type="dxa"/>
            </w:tcMar>
            <w:vAlign w:val="center"/>
          </w:tcPr>
          <w:p>
            <w:pPr>
              <w:adjustRightInd w:val="0"/>
              <w:snapToGrid w:val="0"/>
              <w:jc w:val="center"/>
              <w:rPr>
                <w:color w:val="auto"/>
                <w:sz w:val="24"/>
              </w:rPr>
            </w:pPr>
            <w:r>
              <w:rPr>
                <w:color w:val="auto"/>
                <w:sz w:val="24"/>
              </w:rPr>
              <w:t>总投资（万元）</w:t>
            </w:r>
          </w:p>
        </w:tc>
        <w:tc>
          <w:tcPr>
            <w:tcW w:w="2435" w:type="dxa"/>
            <w:vAlign w:val="center"/>
          </w:tcPr>
          <w:p>
            <w:pPr>
              <w:adjustRightInd w:val="0"/>
              <w:snapToGrid w:val="0"/>
              <w:jc w:val="center"/>
              <w:rPr>
                <w:color w:val="auto"/>
                <w:sz w:val="24"/>
              </w:rPr>
            </w:pPr>
            <w:r>
              <w:rPr>
                <w:color w:val="auto"/>
                <w:sz w:val="24"/>
              </w:rPr>
              <w:t>1200</w:t>
            </w:r>
          </w:p>
        </w:tc>
        <w:tc>
          <w:tcPr>
            <w:tcW w:w="1097" w:type="dxa"/>
            <w:tcMar>
              <w:top w:w="16" w:type="dxa"/>
              <w:left w:w="16" w:type="dxa"/>
              <w:right w:w="16" w:type="dxa"/>
            </w:tcMar>
            <w:vAlign w:val="center"/>
          </w:tcPr>
          <w:p>
            <w:pPr>
              <w:adjustRightInd w:val="0"/>
              <w:snapToGrid w:val="0"/>
              <w:jc w:val="center"/>
              <w:rPr>
                <w:color w:val="auto"/>
                <w:sz w:val="24"/>
              </w:rPr>
            </w:pPr>
            <w:r>
              <w:rPr>
                <w:color w:val="auto"/>
                <w:sz w:val="24"/>
              </w:rPr>
              <w:t>环保投资（万元）</w:t>
            </w:r>
          </w:p>
        </w:tc>
        <w:tc>
          <w:tcPr>
            <w:tcW w:w="3768" w:type="dxa"/>
            <w:vAlign w:val="center"/>
          </w:tcPr>
          <w:p>
            <w:pPr>
              <w:adjustRightInd w:val="0"/>
              <w:snapToGrid w:val="0"/>
              <w:jc w:val="center"/>
              <w:rPr>
                <w:color w:val="auto"/>
                <w:sz w:val="24"/>
              </w:rPr>
            </w:pPr>
            <w:r>
              <w:rPr>
                <w:color w:val="auto"/>
                <w:sz w:val="24"/>
              </w:rPr>
              <w:t>20.35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70" w:type="dxa"/>
            <w:tcMar>
              <w:top w:w="16" w:type="dxa"/>
              <w:left w:w="16" w:type="dxa"/>
              <w:right w:w="16" w:type="dxa"/>
            </w:tcMar>
            <w:vAlign w:val="center"/>
          </w:tcPr>
          <w:p>
            <w:pPr>
              <w:adjustRightInd w:val="0"/>
              <w:snapToGrid w:val="0"/>
              <w:jc w:val="center"/>
              <w:rPr>
                <w:color w:val="auto"/>
                <w:sz w:val="24"/>
              </w:rPr>
            </w:pPr>
            <w:r>
              <w:rPr>
                <w:color w:val="auto"/>
                <w:sz w:val="24"/>
              </w:rPr>
              <w:t>环保投资占比（%）</w:t>
            </w:r>
          </w:p>
        </w:tc>
        <w:tc>
          <w:tcPr>
            <w:tcW w:w="2435" w:type="dxa"/>
            <w:vAlign w:val="center"/>
          </w:tcPr>
          <w:p>
            <w:pPr>
              <w:adjustRightInd w:val="0"/>
              <w:snapToGrid w:val="0"/>
              <w:jc w:val="center"/>
              <w:rPr>
                <w:color w:val="auto"/>
                <w:sz w:val="24"/>
              </w:rPr>
            </w:pPr>
            <w:r>
              <w:rPr>
                <w:color w:val="auto"/>
                <w:sz w:val="24"/>
              </w:rPr>
              <w:t>1.70%</w:t>
            </w:r>
          </w:p>
        </w:tc>
        <w:tc>
          <w:tcPr>
            <w:tcW w:w="1097" w:type="dxa"/>
            <w:tcMar>
              <w:top w:w="16" w:type="dxa"/>
              <w:left w:w="16" w:type="dxa"/>
              <w:right w:w="16" w:type="dxa"/>
            </w:tcMar>
            <w:vAlign w:val="center"/>
          </w:tcPr>
          <w:p>
            <w:pPr>
              <w:adjustRightInd w:val="0"/>
              <w:snapToGrid w:val="0"/>
              <w:jc w:val="center"/>
              <w:rPr>
                <w:color w:val="auto"/>
                <w:sz w:val="24"/>
              </w:rPr>
            </w:pPr>
            <w:r>
              <w:rPr>
                <w:color w:val="auto"/>
                <w:sz w:val="24"/>
              </w:rPr>
              <w:t>施工工期</w:t>
            </w:r>
          </w:p>
        </w:tc>
        <w:tc>
          <w:tcPr>
            <w:tcW w:w="3768" w:type="dxa"/>
            <w:vAlign w:val="center"/>
          </w:tcPr>
          <w:p>
            <w:pPr>
              <w:adjustRightInd w:val="0"/>
              <w:snapToGrid w:val="0"/>
              <w:jc w:val="center"/>
              <w:rPr>
                <w:color w:val="auto"/>
                <w:sz w:val="24"/>
              </w:rPr>
            </w:pPr>
            <w:r>
              <w:rPr>
                <w:color w:val="auto"/>
                <w:sz w:val="24"/>
              </w:rPr>
              <w:t>5个月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70" w:type="dxa"/>
            <w:tcMar>
              <w:top w:w="16" w:type="dxa"/>
              <w:left w:w="16" w:type="dxa"/>
              <w:right w:w="16" w:type="dxa"/>
            </w:tcMar>
            <w:vAlign w:val="center"/>
          </w:tcPr>
          <w:p>
            <w:pPr>
              <w:adjustRightInd w:val="0"/>
              <w:snapToGrid w:val="0"/>
              <w:jc w:val="center"/>
              <w:rPr>
                <w:color w:val="auto"/>
                <w:sz w:val="24"/>
              </w:rPr>
            </w:pPr>
            <w:r>
              <w:rPr>
                <w:color w:val="auto"/>
                <w:sz w:val="24"/>
              </w:rPr>
              <w:t>是否开工建设</w:t>
            </w:r>
          </w:p>
        </w:tc>
        <w:tc>
          <w:tcPr>
            <w:tcW w:w="2435" w:type="dxa"/>
            <w:vAlign w:val="center"/>
          </w:tcPr>
          <w:p>
            <w:pPr>
              <w:adjustRightInd w:val="0"/>
              <w:snapToGrid w:val="0"/>
              <w:jc w:val="left"/>
              <w:rPr>
                <w:color w:val="auto"/>
                <w:sz w:val="24"/>
              </w:rPr>
            </w:pPr>
            <w:r>
              <w:rPr>
                <w:color w:val="auto"/>
                <w:sz w:val="24"/>
              </w:rPr>
              <w:t>☑否</w:t>
            </w:r>
          </w:p>
          <w:p>
            <w:pPr>
              <w:adjustRightInd w:val="0"/>
              <w:snapToGrid w:val="0"/>
              <w:jc w:val="left"/>
              <w:rPr>
                <w:color w:val="auto"/>
                <w:sz w:val="24"/>
              </w:rPr>
            </w:pPr>
            <w:r>
              <w:rPr>
                <w:color w:val="auto"/>
                <w:sz w:val="24"/>
              </w:rPr>
              <w:t>□是：</w:t>
            </w:r>
            <w:r>
              <w:rPr>
                <w:color w:val="auto"/>
                <w:sz w:val="24"/>
                <w:u w:val="single"/>
              </w:rPr>
              <w:t xml:space="preserve">        </w:t>
            </w:r>
            <w:r>
              <w:rPr>
                <w:color w:val="auto"/>
                <w:sz w:val="24"/>
              </w:rPr>
              <w:t>。</w:t>
            </w:r>
          </w:p>
        </w:tc>
        <w:tc>
          <w:tcPr>
            <w:tcW w:w="1097" w:type="dxa"/>
            <w:tcMar>
              <w:top w:w="16" w:type="dxa"/>
              <w:left w:w="16" w:type="dxa"/>
              <w:right w:w="16" w:type="dxa"/>
            </w:tcMar>
            <w:vAlign w:val="center"/>
          </w:tcPr>
          <w:p>
            <w:pPr>
              <w:adjustRightInd w:val="0"/>
              <w:snapToGrid w:val="0"/>
              <w:jc w:val="center"/>
              <w:rPr>
                <w:color w:val="auto"/>
                <w:sz w:val="24"/>
              </w:rPr>
            </w:pPr>
            <w:r>
              <w:rPr>
                <w:color w:val="auto"/>
                <w:sz w:val="24"/>
              </w:rPr>
              <w:t>用地（用海）面积（m</w:t>
            </w:r>
            <w:r>
              <w:rPr>
                <w:color w:val="auto"/>
                <w:sz w:val="24"/>
                <w:vertAlign w:val="superscript"/>
              </w:rPr>
              <w:t>2</w:t>
            </w:r>
            <w:r>
              <w:rPr>
                <w:color w:val="auto"/>
                <w:sz w:val="24"/>
              </w:rPr>
              <w:t>）</w:t>
            </w:r>
          </w:p>
        </w:tc>
        <w:tc>
          <w:tcPr>
            <w:tcW w:w="3768" w:type="dxa"/>
            <w:vAlign w:val="center"/>
          </w:tcPr>
          <w:p>
            <w:pPr>
              <w:adjustRightInd w:val="0"/>
              <w:snapToGrid w:val="0"/>
              <w:jc w:val="center"/>
              <w:rPr>
                <w:color w:val="auto"/>
                <w:sz w:val="24"/>
              </w:rPr>
            </w:pPr>
            <w:r>
              <w:rPr>
                <w:color w:val="auto"/>
                <w:sz w:val="24"/>
              </w:rPr>
              <w:t>7122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0" w:type="dxa"/>
            <w:vAlign w:val="center"/>
          </w:tcPr>
          <w:p>
            <w:pPr>
              <w:autoSpaceDE w:val="0"/>
              <w:autoSpaceDN w:val="0"/>
              <w:adjustRightInd w:val="0"/>
              <w:snapToGrid w:val="0"/>
              <w:jc w:val="center"/>
              <w:rPr>
                <w:color w:val="auto"/>
                <w:kern w:val="0"/>
                <w:szCs w:val="21"/>
              </w:rPr>
            </w:pPr>
            <w:r>
              <w:rPr>
                <w:color w:val="auto"/>
                <w:kern w:val="0"/>
                <w:sz w:val="24"/>
              </w:rPr>
              <w:t>专项评价设置情况</w:t>
            </w:r>
          </w:p>
        </w:tc>
        <w:tc>
          <w:tcPr>
            <w:tcW w:w="7300" w:type="dxa"/>
            <w:gridSpan w:val="3"/>
            <w:vAlign w:val="center"/>
          </w:tcPr>
          <w:p>
            <w:pPr>
              <w:autoSpaceDE w:val="0"/>
              <w:autoSpaceDN w:val="0"/>
              <w:adjustRightInd w:val="0"/>
              <w:snapToGrid w:val="0"/>
              <w:jc w:val="center"/>
              <w:rPr>
                <w:color w:val="auto"/>
                <w:kern w:val="0"/>
                <w:szCs w:val="21"/>
              </w:rPr>
            </w:pPr>
            <w:r>
              <w:rPr>
                <w:color w:val="auto"/>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570" w:type="dxa"/>
            <w:vAlign w:val="center"/>
          </w:tcPr>
          <w:p>
            <w:pPr>
              <w:autoSpaceDE w:val="0"/>
              <w:autoSpaceDN w:val="0"/>
              <w:adjustRightInd w:val="0"/>
              <w:snapToGrid w:val="0"/>
              <w:jc w:val="center"/>
              <w:rPr>
                <w:color w:val="auto"/>
                <w:kern w:val="0"/>
                <w:sz w:val="24"/>
              </w:rPr>
            </w:pPr>
            <w:r>
              <w:rPr>
                <w:color w:val="auto"/>
                <w:sz w:val="24"/>
              </w:rPr>
              <w:t>规划情况</w:t>
            </w:r>
          </w:p>
        </w:tc>
        <w:tc>
          <w:tcPr>
            <w:tcW w:w="7300" w:type="dxa"/>
            <w:gridSpan w:val="3"/>
            <w:vAlign w:val="center"/>
          </w:tcPr>
          <w:p>
            <w:pPr>
              <w:autoSpaceDE w:val="0"/>
              <w:autoSpaceDN w:val="0"/>
              <w:adjustRightInd w:val="0"/>
              <w:snapToGrid w:val="0"/>
              <w:rPr>
                <w:color w:val="auto"/>
                <w:kern w:val="0"/>
                <w:sz w:val="24"/>
              </w:rPr>
            </w:pPr>
            <w:r>
              <w:rPr>
                <w:color w:val="auto"/>
                <w:kern w:val="0"/>
                <w:sz w:val="24"/>
              </w:rPr>
              <w:t>规划名称：《尉犁县国土空间总体规划（2021—2035年）》</w:t>
            </w:r>
          </w:p>
          <w:p>
            <w:pPr>
              <w:autoSpaceDE w:val="0"/>
              <w:autoSpaceDN w:val="0"/>
              <w:adjustRightInd w:val="0"/>
              <w:snapToGrid w:val="0"/>
              <w:rPr>
                <w:color w:val="auto"/>
                <w:kern w:val="0"/>
                <w:sz w:val="24"/>
              </w:rPr>
            </w:pPr>
            <w:r>
              <w:rPr>
                <w:color w:val="auto"/>
                <w:kern w:val="0"/>
                <w:sz w:val="24"/>
              </w:rPr>
              <w:t>审批机关：巴音郭楞蒙古自治州人民政府</w:t>
            </w:r>
          </w:p>
          <w:p>
            <w:pPr>
              <w:autoSpaceDE w:val="0"/>
              <w:autoSpaceDN w:val="0"/>
              <w:adjustRightInd w:val="0"/>
              <w:snapToGrid w:val="0"/>
              <w:rPr>
                <w:color w:val="auto"/>
                <w:kern w:val="0"/>
                <w:sz w:val="24"/>
              </w:rPr>
            </w:pPr>
            <w:r>
              <w:rPr>
                <w:color w:val="auto"/>
                <w:kern w:val="0"/>
                <w:sz w:val="24"/>
              </w:rPr>
              <w:t>审批文件：《关于〈尉犁县国土空间总体规划（2021—2035年）〉的批复》</w:t>
            </w:r>
          </w:p>
          <w:p>
            <w:pPr>
              <w:autoSpaceDE w:val="0"/>
              <w:autoSpaceDN w:val="0"/>
              <w:adjustRightInd w:val="0"/>
              <w:snapToGrid w:val="0"/>
              <w:rPr>
                <w:color w:val="auto"/>
                <w:kern w:val="0"/>
                <w:szCs w:val="21"/>
              </w:rPr>
            </w:pPr>
            <w:r>
              <w:rPr>
                <w:color w:val="auto"/>
                <w:kern w:val="0"/>
                <w:sz w:val="24"/>
              </w:rPr>
              <w:t>审批文号：巴政函〔2024〕117号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570" w:type="dxa"/>
            <w:vAlign w:val="center"/>
          </w:tcPr>
          <w:p>
            <w:pPr>
              <w:adjustRightInd w:val="0"/>
              <w:snapToGrid w:val="0"/>
              <w:jc w:val="center"/>
              <w:rPr>
                <w:color w:val="auto"/>
                <w:kern w:val="0"/>
                <w:sz w:val="24"/>
              </w:rPr>
            </w:pPr>
            <w:r>
              <w:rPr>
                <w:color w:val="auto"/>
                <w:sz w:val="24"/>
              </w:rPr>
              <w:t>规划环境影响评价情况</w:t>
            </w:r>
          </w:p>
        </w:tc>
        <w:tc>
          <w:tcPr>
            <w:tcW w:w="7300" w:type="dxa"/>
            <w:gridSpan w:val="3"/>
            <w:vAlign w:val="center"/>
          </w:tcPr>
          <w:p>
            <w:pPr>
              <w:autoSpaceDE w:val="0"/>
              <w:autoSpaceDN w:val="0"/>
              <w:adjustRightInd w:val="0"/>
              <w:snapToGrid w:val="0"/>
              <w:jc w:val="center"/>
              <w:rPr>
                <w:color w:val="auto"/>
                <w:kern w:val="0"/>
                <w:szCs w:val="21"/>
              </w:rPr>
            </w:pPr>
            <w:r>
              <w:rPr>
                <w:color w:val="auto"/>
                <w:kern w:val="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70" w:type="dxa"/>
            <w:vAlign w:val="center"/>
          </w:tcPr>
          <w:p>
            <w:pPr>
              <w:autoSpaceDE w:val="0"/>
              <w:autoSpaceDN w:val="0"/>
              <w:adjustRightInd w:val="0"/>
              <w:snapToGrid w:val="0"/>
              <w:jc w:val="center"/>
              <w:rPr>
                <w:color w:val="auto"/>
                <w:kern w:val="0"/>
                <w:sz w:val="24"/>
              </w:rPr>
            </w:pPr>
            <w:r>
              <w:rPr>
                <w:color w:val="auto"/>
                <w:kern w:val="0"/>
                <w:sz w:val="24"/>
              </w:rPr>
              <w:t>规划及规划环境影响评价符合性分析</w:t>
            </w:r>
          </w:p>
        </w:tc>
        <w:tc>
          <w:tcPr>
            <w:tcW w:w="7300" w:type="dxa"/>
            <w:gridSpan w:val="3"/>
            <w:vAlign w:val="center"/>
          </w:tcPr>
          <w:p>
            <w:pPr>
              <w:autoSpaceDE w:val="0"/>
              <w:autoSpaceDN w:val="0"/>
              <w:spacing w:line="520" w:lineRule="exact"/>
              <w:rPr>
                <w:b/>
                <w:color w:val="auto"/>
                <w:kern w:val="0"/>
                <w:sz w:val="24"/>
              </w:rPr>
            </w:pPr>
            <w:r>
              <w:rPr>
                <w:b/>
                <w:color w:val="auto"/>
                <w:kern w:val="0"/>
                <w:sz w:val="24"/>
              </w:rPr>
              <w:t>1、与《尉犁县国土空间总体规划（2021—2035年）》符合性分析</w:t>
            </w:r>
          </w:p>
          <w:p>
            <w:pPr>
              <w:spacing w:line="520" w:lineRule="exact"/>
              <w:ind w:firstLine="480" w:firstLineChars="200"/>
              <w:rPr>
                <w:color w:val="auto"/>
                <w:kern w:val="0"/>
                <w:sz w:val="24"/>
              </w:rPr>
            </w:pPr>
            <w:r>
              <w:rPr>
                <w:color w:val="auto"/>
                <w:kern w:val="0"/>
                <w:sz w:val="24"/>
              </w:rPr>
              <w:t>尉犁县国土空间总体规划在县域产业发展中提出：以“做优一产，做强二产，做精三产”为目标，坚持一二三产联合，以促进农业生产、加工、物流、商贸、旅游服务全产业链融合发展。构建尉犁特色现代产业体系，依托工业园区，打造纺织服装、农副产品深加工、装备制造、新能源四大“优势产业集群”，积极发展仓储物流产业，承接库尔勒物流枢纽功能，基于现状资源分布，充分结合现有产业分布特征，调整优化产业布局。引导产业选择适宜的发展空间，促进产业集聚，加快产业转型升级。形成空间布局合理、产业特色鲜明、环境友好协调的县域产业空间结构。形成“轴带串联，一心引领，一区集聚，三片支撑”的县域产业空间。</w:t>
            </w:r>
          </w:p>
          <w:p>
            <w:pPr>
              <w:spacing w:line="520" w:lineRule="exact"/>
              <w:ind w:firstLine="480" w:firstLineChars="200"/>
              <w:rPr>
                <w:color w:val="auto"/>
                <w:szCs w:val="21"/>
              </w:rPr>
            </w:pPr>
            <w:r>
              <w:rPr>
                <w:color w:val="auto"/>
                <w:kern w:val="0"/>
                <w:sz w:val="24"/>
              </w:rPr>
              <w:t>本项目为烟花爆竹仓储、批发项目，属于商贸物流业，符合尉犁县国土空间总体规划中提出的促进仓储物流产业，承接库尔勒物流枢纽功能，项目选址位于尉犁县工业园化工产业集中区以南，符合产业总体布局规划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0" w:type="dxa"/>
            <w:vAlign w:val="center"/>
          </w:tcPr>
          <w:p>
            <w:pPr>
              <w:autoSpaceDE w:val="0"/>
              <w:autoSpaceDN w:val="0"/>
              <w:adjustRightInd w:val="0"/>
              <w:snapToGrid w:val="0"/>
              <w:jc w:val="center"/>
              <w:rPr>
                <w:color w:val="auto"/>
                <w:kern w:val="0"/>
                <w:szCs w:val="21"/>
              </w:rPr>
            </w:pPr>
            <w:r>
              <w:rPr>
                <w:color w:val="auto"/>
                <w:kern w:val="0"/>
                <w:sz w:val="24"/>
              </w:rPr>
              <w:t>其他符合性分析</w:t>
            </w:r>
          </w:p>
        </w:tc>
        <w:tc>
          <w:tcPr>
            <w:tcW w:w="7300" w:type="dxa"/>
            <w:gridSpan w:val="3"/>
            <w:vAlign w:val="center"/>
          </w:tcPr>
          <w:p>
            <w:pPr>
              <w:autoSpaceDE w:val="0"/>
              <w:autoSpaceDN w:val="0"/>
              <w:spacing w:line="520" w:lineRule="exact"/>
              <w:rPr>
                <w:b/>
                <w:color w:val="auto"/>
                <w:kern w:val="0"/>
                <w:sz w:val="24"/>
              </w:rPr>
            </w:pPr>
            <w:r>
              <w:rPr>
                <w:b/>
                <w:color w:val="auto"/>
                <w:kern w:val="0"/>
                <w:sz w:val="24"/>
              </w:rPr>
              <w:t>1、产业政策相符性分析</w:t>
            </w:r>
          </w:p>
          <w:p>
            <w:pPr>
              <w:spacing w:line="520" w:lineRule="exact"/>
              <w:ind w:firstLine="480" w:firstLineChars="200"/>
              <w:rPr>
                <w:color w:val="auto"/>
                <w:kern w:val="0"/>
                <w:sz w:val="24"/>
              </w:rPr>
            </w:pPr>
            <w:r>
              <w:rPr>
                <w:color w:val="auto"/>
                <w:kern w:val="0"/>
                <w:sz w:val="24"/>
              </w:rPr>
              <w:t>本项目属于烟花爆竹仓储，不含加工生产，根据《产业结构调整指导目录（2024年本）》对照分析，不在目录中的“鼓励类、限制类、淘汰类”项目，可视为允许类，因此项目建设符合国家产业政策。</w:t>
            </w:r>
          </w:p>
          <w:p>
            <w:pPr>
              <w:autoSpaceDE w:val="0"/>
              <w:autoSpaceDN w:val="0"/>
              <w:spacing w:line="520" w:lineRule="exact"/>
              <w:rPr>
                <w:b/>
                <w:color w:val="auto"/>
                <w:kern w:val="0"/>
                <w:sz w:val="24"/>
              </w:rPr>
            </w:pPr>
            <w:r>
              <w:rPr>
                <w:b/>
                <w:color w:val="auto"/>
                <w:kern w:val="0"/>
                <w:sz w:val="24"/>
              </w:rPr>
              <w:t>2、项目选址与周边环境</w:t>
            </w:r>
          </w:p>
          <w:p>
            <w:pPr>
              <w:spacing w:line="520" w:lineRule="exact"/>
              <w:ind w:firstLine="480" w:firstLineChars="200"/>
              <w:rPr>
                <w:color w:val="auto"/>
                <w:kern w:val="0"/>
                <w:sz w:val="24"/>
              </w:rPr>
            </w:pPr>
            <w:r>
              <w:rPr>
                <w:color w:val="auto"/>
                <w:kern w:val="0"/>
                <w:sz w:val="24"/>
              </w:rPr>
              <w:t>本项目选址位于尉犁县尉东园区以南0.8km处，根据尉犁县自然资源局出具的项目建设用地规划许可证，项目土地性质为仓储用地。</w:t>
            </w:r>
          </w:p>
          <w:p>
            <w:pPr>
              <w:spacing w:line="520" w:lineRule="exact"/>
              <w:ind w:firstLine="480" w:firstLineChars="200"/>
              <w:rPr>
                <w:color w:val="auto"/>
                <w:kern w:val="0"/>
                <w:sz w:val="24"/>
              </w:rPr>
            </w:pPr>
            <w:r>
              <w:rPr>
                <w:color w:val="auto"/>
                <w:kern w:val="0"/>
                <w:sz w:val="24"/>
              </w:rPr>
              <w:t>项目选址区域外环境较为简单，周边500m范围内无居民区和人群密集区域，选址区域及周边均不涉及生态保护红线，无自然保护区、永久基本农田、基本草原、自然公园、重要湿地、天然林等生态敏感区，也不涉及重点保护野生动物的栖息地、重点保护野生植物生长繁殖地以及居住医疗及行政办公区等制约因素，项目选址区域供电、通讯以及交通设施完善，用水可由尉犁县供水管网解决，能满足项目建设需要。本项目为危险品仓储项目，运营期产生的废气、废水及固废对周边环境影响很小。</w:t>
            </w:r>
          </w:p>
          <w:p>
            <w:pPr>
              <w:spacing w:line="520" w:lineRule="exact"/>
              <w:ind w:firstLine="480" w:firstLineChars="200"/>
              <w:rPr>
                <w:color w:val="auto"/>
              </w:rPr>
            </w:pPr>
            <w:r>
              <w:rPr>
                <w:color w:val="auto"/>
                <w:kern w:val="0"/>
                <w:sz w:val="24"/>
              </w:rPr>
              <w:t>项目选址及设计满足《烟花爆竹工程设计安全标准》（GB50161-2022）、《建筑设计防火规范（2018年版）》（GB50016-2014）要求。综上所述，项目选址基本合理。</w:t>
            </w:r>
          </w:p>
          <w:p>
            <w:pPr>
              <w:spacing w:line="520" w:lineRule="exact"/>
              <w:rPr>
                <w:b/>
                <w:color w:val="auto"/>
                <w:kern w:val="0"/>
                <w:sz w:val="24"/>
              </w:rPr>
            </w:pPr>
            <w:r>
              <w:rPr>
                <w:b/>
                <w:color w:val="auto"/>
                <w:kern w:val="0"/>
                <w:sz w:val="24"/>
              </w:rPr>
              <w:t>3、生态环境分区管控要求符合性分析</w:t>
            </w:r>
          </w:p>
          <w:p>
            <w:pPr>
              <w:spacing w:line="520" w:lineRule="exact"/>
              <w:ind w:firstLine="482" w:firstLineChars="200"/>
              <w:rPr>
                <w:b/>
                <w:bCs/>
                <w:color w:val="auto"/>
                <w:sz w:val="24"/>
              </w:rPr>
            </w:pPr>
            <w:r>
              <w:rPr>
                <w:b/>
                <w:bCs/>
                <w:color w:val="auto"/>
                <w:sz w:val="24"/>
              </w:rPr>
              <w:t>3.1《新疆维吾尔自治区“三线一单”生态环境分区管控方案》符合性分析。</w:t>
            </w:r>
          </w:p>
          <w:p>
            <w:pPr>
              <w:spacing w:line="520" w:lineRule="exact"/>
              <w:ind w:firstLine="480" w:firstLineChars="200"/>
              <w:rPr>
                <w:color w:val="auto"/>
                <w:sz w:val="24"/>
              </w:rPr>
            </w:pPr>
            <w:r>
              <w:rPr>
                <w:color w:val="auto"/>
                <w:sz w:val="24"/>
              </w:rPr>
              <w:t>根据《关于印发〈新疆维吾尔自治区“三线一单”生态环境分区管控方案〉通知》（新政发〔2021〕18号）以及《关于印发〈新疆维吾尔自治区生态环境分区管控动态更新成果〉的通知》，将本工程与生态保护红线、环境质量底线、资源利用上线和生态环境准入清单相关要求对比分析，详见表1-1。</w:t>
            </w:r>
          </w:p>
          <w:p>
            <w:pPr>
              <w:pStyle w:val="52"/>
              <w:rPr>
                <w:color w:val="auto"/>
              </w:rPr>
            </w:pPr>
            <w:r>
              <w:rPr>
                <w:color w:val="auto"/>
              </w:rPr>
              <w:t>表1-1  本项目与《新疆维吾尔自治区“三线一单”生态环境分区管控方案》相符性分析</w:t>
            </w:r>
          </w:p>
          <w:tbl>
            <w:tblPr>
              <w:tblStyle w:val="27"/>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614"/>
              <w:gridCol w:w="2345"/>
              <w:gridCol w:w="47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7" w:type="pct"/>
                  <w:tcBorders>
                    <w:tl2br w:val="nil"/>
                    <w:tr2bl w:val="nil"/>
                  </w:tcBorders>
                  <w:vAlign w:val="center"/>
                </w:tcPr>
                <w:p>
                  <w:pPr>
                    <w:pStyle w:val="53"/>
                    <w:adjustRightInd/>
                    <w:snapToGrid/>
                    <w:spacing w:line="300" w:lineRule="exact"/>
                    <w:rPr>
                      <w:color w:val="auto"/>
                    </w:rPr>
                  </w:pPr>
                  <w:r>
                    <w:rPr>
                      <w:color w:val="auto"/>
                    </w:rPr>
                    <w:t>管控要求</w:t>
                  </w:r>
                </w:p>
              </w:tc>
              <w:tc>
                <w:tcPr>
                  <w:tcW w:w="2551" w:type="pct"/>
                  <w:tcBorders>
                    <w:tl2br w:val="nil"/>
                    <w:tr2bl w:val="nil"/>
                  </w:tcBorders>
                  <w:vAlign w:val="center"/>
                </w:tcPr>
                <w:p>
                  <w:pPr>
                    <w:pStyle w:val="53"/>
                    <w:adjustRightInd/>
                    <w:snapToGrid/>
                    <w:spacing w:line="300" w:lineRule="exact"/>
                    <w:rPr>
                      <w:color w:val="auto"/>
                    </w:rPr>
                  </w:pPr>
                  <w:r>
                    <w:rPr>
                      <w:color w:val="auto"/>
                    </w:rPr>
                    <w:t>环境管理政策有关要求</w:t>
                  </w:r>
                </w:p>
              </w:tc>
              <w:tc>
                <w:tcPr>
                  <w:tcW w:w="1656" w:type="pct"/>
                  <w:tcBorders>
                    <w:tl2br w:val="nil"/>
                    <w:tr2bl w:val="nil"/>
                  </w:tcBorders>
                  <w:vAlign w:val="center"/>
                </w:tcPr>
                <w:p>
                  <w:pPr>
                    <w:pStyle w:val="53"/>
                    <w:adjustRightInd/>
                    <w:snapToGrid/>
                    <w:spacing w:line="300" w:lineRule="exact"/>
                    <w:rPr>
                      <w:color w:val="auto"/>
                    </w:rPr>
                  </w:pPr>
                  <w:r>
                    <w:rPr>
                      <w:color w:val="auto"/>
                    </w:rPr>
                    <w:t>本项目情况</w:t>
                  </w:r>
                </w:p>
              </w:tc>
              <w:tc>
                <w:tcPr>
                  <w:tcW w:w="331" w:type="pct"/>
                  <w:tcBorders>
                    <w:tl2br w:val="nil"/>
                    <w:tr2bl w:val="nil"/>
                  </w:tcBorders>
                  <w:vAlign w:val="center"/>
                </w:tcPr>
                <w:p>
                  <w:pPr>
                    <w:pStyle w:val="53"/>
                    <w:adjustRightInd/>
                    <w:snapToGrid/>
                    <w:spacing w:line="300" w:lineRule="exact"/>
                    <w:rPr>
                      <w:color w:val="auto"/>
                    </w:rPr>
                  </w:pPr>
                  <w:r>
                    <w:rPr>
                      <w:color w:val="auto"/>
                    </w:rPr>
                    <w:t>相符性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457" w:type="pct"/>
                  <w:tcBorders>
                    <w:tl2br w:val="nil"/>
                    <w:tr2bl w:val="nil"/>
                  </w:tcBorders>
                  <w:vAlign w:val="center"/>
                </w:tcPr>
                <w:p>
                  <w:pPr>
                    <w:pStyle w:val="53"/>
                    <w:adjustRightInd/>
                    <w:snapToGrid/>
                    <w:spacing w:line="300" w:lineRule="exact"/>
                    <w:rPr>
                      <w:color w:val="auto"/>
                    </w:rPr>
                  </w:pPr>
                  <w:r>
                    <w:rPr>
                      <w:color w:val="auto"/>
                    </w:rPr>
                    <w:t>生态保护红线</w:t>
                  </w:r>
                </w:p>
              </w:tc>
              <w:tc>
                <w:tcPr>
                  <w:tcW w:w="2551" w:type="pct"/>
                  <w:tcBorders>
                    <w:tl2br w:val="nil"/>
                    <w:tr2bl w:val="nil"/>
                  </w:tcBorders>
                  <w:vAlign w:val="center"/>
                </w:tcPr>
                <w:p>
                  <w:pPr>
                    <w:pStyle w:val="53"/>
                    <w:adjustRightInd/>
                    <w:snapToGrid/>
                    <w:spacing w:line="300" w:lineRule="exact"/>
                    <w:rPr>
                      <w:color w:val="auto"/>
                    </w:rPr>
                  </w:pPr>
                  <w:r>
                    <w:rPr>
                      <w:color w:val="auto"/>
                    </w:rPr>
                    <w:t>按照“生态功能不降低、面积不减少、性质不改变”的基本要求，对划定的生态保护红线实施严格管控，保障和维护国家生态安全的底线和生命线。</w:t>
                  </w:r>
                </w:p>
              </w:tc>
              <w:tc>
                <w:tcPr>
                  <w:tcW w:w="1656" w:type="pct"/>
                  <w:tcBorders>
                    <w:tl2br w:val="nil"/>
                    <w:tr2bl w:val="nil"/>
                  </w:tcBorders>
                  <w:vAlign w:val="center"/>
                </w:tcPr>
                <w:p>
                  <w:pPr>
                    <w:pStyle w:val="53"/>
                    <w:adjustRightInd/>
                    <w:snapToGrid/>
                    <w:spacing w:line="300" w:lineRule="exact"/>
                    <w:rPr>
                      <w:color w:val="auto"/>
                    </w:rPr>
                  </w:pPr>
                  <w:r>
                    <w:rPr>
                      <w:color w:val="auto"/>
                    </w:rPr>
                    <w:t>本项目为危险品仓储项目，建设地点位于新疆维吾尔自治区巴音郭楞蒙古自治州尉犁县，周边无自然保护区、风景名胜区、同时不在生态保护红线范围内。</w:t>
                  </w:r>
                </w:p>
              </w:tc>
              <w:tc>
                <w:tcPr>
                  <w:tcW w:w="333" w:type="pct"/>
                  <w:tcBorders>
                    <w:tl2br w:val="nil"/>
                    <w:tr2bl w:val="nil"/>
                  </w:tcBorders>
                  <w:vAlign w:val="center"/>
                </w:tcPr>
                <w:p>
                  <w:pPr>
                    <w:pStyle w:val="53"/>
                    <w:adjustRightInd/>
                    <w:snapToGrid/>
                    <w:spacing w:line="300" w:lineRule="exact"/>
                    <w:rPr>
                      <w:color w:val="auto"/>
                    </w:rPr>
                  </w:pPr>
                  <w:r>
                    <w:rPr>
                      <w:color w:val="auto"/>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Borders>
                    <w:tl2br w:val="nil"/>
                    <w:tr2bl w:val="nil"/>
                  </w:tcBorders>
                  <w:vAlign w:val="center"/>
                </w:tcPr>
                <w:p>
                  <w:pPr>
                    <w:pStyle w:val="53"/>
                    <w:adjustRightInd/>
                    <w:snapToGrid/>
                    <w:spacing w:line="300" w:lineRule="exact"/>
                    <w:rPr>
                      <w:color w:val="auto"/>
                    </w:rPr>
                  </w:pPr>
                  <w:r>
                    <w:rPr>
                      <w:color w:val="auto"/>
                    </w:rPr>
                    <w:t>环境质量底线</w:t>
                  </w:r>
                </w:p>
              </w:tc>
              <w:tc>
                <w:tcPr>
                  <w:tcW w:w="2551" w:type="pct"/>
                  <w:tcBorders>
                    <w:tl2br w:val="nil"/>
                    <w:tr2bl w:val="nil"/>
                  </w:tcBorders>
                  <w:vAlign w:val="center"/>
                </w:tcPr>
                <w:p>
                  <w:pPr>
                    <w:pStyle w:val="53"/>
                    <w:adjustRightInd/>
                    <w:snapToGrid/>
                    <w:spacing w:line="300" w:lineRule="exact"/>
                    <w:rPr>
                      <w:color w:val="auto"/>
                    </w:rPr>
                  </w:pPr>
                  <w:r>
                    <w:rPr>
                      <w:color w:val="auto"/>
                    </w:rPr>
                    <w:t>全区水环境质量持续改善，受污染地表水体得到有效治理，饮用水安全保障水平持续提升，地下水超采得到严格控制，地下水水质保持稳定；全区环境空气质量有所提升，重污染天数持续减少，已达标城市环境空气质量保持稳定，未达标城市环境空气质量持续改善，沙尘影响严重地区做好防风固沙、生态环境保护修复等工作；全区土壤环境质量保持稳定，污染地块安全利用水平稳中有升，土壤环境风险得到进一步管控。</w:t>
                  </w:r>
                </w:p>
              </w:tc>
              <w:tc>
                <w:tcPr>
                  <w:tcW w:w="1656" w:type="pct"/>
                  <w:tcBorders>
                    <w:tl2br w:val="nil"/>
                    <w:tr2bl w:val="nil"/>
                  </w:tcBorders>
                  <w:vAlign w:val="center"/>
                </w:tcPr>
                <w:p>
                  <w:pPr>
                    <w:pStyle w:val="53"/>
                    <w:adjustRightInd/>
                    <w:snapToGrid/>
                    <w:spacing w:line="300" w:lineRule="exact"/>
                    <w:rPr>
                      <w:color w:val="auto"/>
                    </w:rPr>
                  </w:pPr>
                  <w:r>
                    <w:rPr>
                      <w:color w:val="auto"/>
                    </w:rPr>
                    <w:t>本项目产生的废气、废水、噪声等污染物均能达标排放，固废能得到妥善处置，能够满足相关标准要求，符合环境质量底线的要求，不会对环境质量底线产生冲击。</w:t>
                  </w:r>
                </w:p>
              </w:tc>
              <w:tc>
                <w:tcPr>
                  <w:tcW w:w="333" w:type="pct"/>
                  <w:tcBorders>
                    <w:tl2br w:val="nil"/>
                    <w:tr2bl w:val="nil"/>
                  </w:tcBorders>
                  <w:vAlign w:val="center"/>
                </w:tcPr>
                <w:p>
                  <w:pPr>
                    <w:pStyle w:val="53"/>
                    <w:adjustRightInd/>
                    <w:snapToGrid/>
                    <w:spacing w:line="300" w:lineRule="exact"/>
                    <w:rPr>
                      <w:color w:val="auto"/>
                    </w:rPr>
                  </w:pPr>
                  <w:r>
                    <w:rPr>
                      <w:color w:val="auto"/>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Borders>
                    <w:tl2br w:val="nil"/>
                    <w:tr2bl w:val="nil"/>
                  </w:tcBorders>
                  <w:vAlign w:val="center"/>
                </w:tcPr>
                <w:p>
                  <w:pPr>
                    <w:pStyle w:val="53"/>
                    <w:adjustRightInd/>
                    <w:snapToGrid/>
                    <w:spacing w:line="300" w:lineRule="exact"/>
                    <w:rPr>
                      <w:color w:val="auto"/>
                    </w:rPr>
                  </w:pPr>
                  <w:r>
                    <w:rPr>
                      <w:color w:val="auto"/>
                    </w:rPr>
                    <w:t>资源利用上线</w:t>
                  </w:r>
                </w:p>
              </w:tc>
              <w:tc>
                <w:tcPr>
                  <w:tcW w:w="2551" w:type="pct"/>
                  <w:tcBorders>
                    <w:tl2br w:val="nil"/>
                    <w:tr2bl w:val="nil"/>
                  </w:tcBorders>
                  <w:vAlign w:val="center"/>
                </w:tcPr>
                <w:p>
                  <w:pPr>
                    <w:pStyle w:val="53"/>
                    <w:adjustRightInd/>
                    <w:snapToGrid/>
                    <w:spacing w:line="300" w:lineRule="exact"/>
                    <w:rPr>
                      <w:color w:val="auto"/>
                    </w:rPr>
                  </w:pPr>
                  <w:r>
                    <w:rPr>
                      <w:color w:val="auto"/>
                    </w:rPr>
                    <w:t>强化节约集约利用，持续提升资源能源利用效率，水资源、土地资源、能源消耗等达到国家、自治区下达的总量和强度控制目标。加快区域低碳发展，积极推动乌鲁木齐市、昌吉市、伊宁市、和田市等4个国家级低碳试点城市发挥低碳试点示范和引领作用。</w:t>
                  </w:r>
                </w:p>
              </w:tc>
              <w:tc>
                <w:tcPr>
                  <w:tcW w:w="1656" w:type="pct"/>
                  <w:tcBorders>
                    <w:tl2br w:val="nil"/>
                    <w:tr2bl w:val="nil"/>
                  </w:tcBorders>
                  <w:vAlign w:val="center"/>
                </w:tcPr>
                <w:p>
                  <w:pPr>
                    <w:pStyle w:val="53"/>
                    <w:adjustRightInd/>
                    <w:snapToGrid/>
                    <w:spacing w:line="300" w:lineRule="exact"/>
                    <w:rPr>
                      <w:color w:val="auto"/>
                    </w:rPr>
                  </w:pPr>
                  <w:r>
                    <w:rPr>
                      <w:color w:val="auto"/>
                    </w:rPr>
                    <w:t>本项目为危险品仓储项目，用水及用电量较少，项目符合资源利用上线要求。</w:t>
                  </w:r>
                </w:p>
              </w:tc>
              <w:tc>
                <w:tcPr>
                  <w:tcW w:w="333" w:type="pct"/>
                  <w:tcBorders>
                    <w:tl2br w:val="nil"/>
                    <w:tr2bl w:val="nil"/>
                  </w:tcBorders>
                  <w:vAlign w:val="center"/>
                </w:tcPr>
                <w:p>
                  <w:pPr>
                    <w:pStyle w:val="53"/>
                    <w:adjustRightInd/>
                    <w:snapToGrid/>
                    <w:spacing w:line="300" w:lineRule="exact"/>
                    <w:rPr>
                      <w:color w:val="auto"/>
                    </w:rPr>
                  </w:pPr>
                  <w:r>
                    <w:rPr>
                      <w:color w:val="auto"/>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7" w:type="pct"/>
                  <w:tcBorders>
                    <w:tl2br w:val="nil"/>
                    <w:tr2bl w:val="nil"/>
                  </w:tcBorders>
                  <w:vAlign w:val="center"/>
                </w:tcPr>
                <w:p>
                  <w:pPr>
                    <w:pStyle w:val="53"/>
                    <w:adjustRightInd/>
                    <w:snapToGrid/>
                    <w:spacing w:line="300" w:lineRule="exact"/>
                    <w:rPr>
                      <w:color w:val="auto"/>
                    </w:rPr>
                  </w:pPr>
                  <w:r>
                    <w:rPr>
                      <w:color w:val="auto"/>
                    </w:rPr>
                    <w:t>生态环境准入清单</w:t>
                  </w:r>
                </w:p>
              </w:tc>
              <w:tc>
                <w:tcPr>
                  <w:tcW w:w="2551" w:type="pct"/>
                  <w:tcBorders>
                    <w:tl2br w:val="nil"/>
                    <w:tr2bl w:val="nil"/>
                  </w:tcBorders>
                  <w:vAlign w:val="center"/>
                </w:tcPr>
                <w:p>
                  <w:pPr>
                    <w:pStyle w:val="53"/>
                    <w:adjustRightInd/>
                    <w:snapToGrid/>
                    <w:spacing w:line="300" w:lineRule="exact"/>
                    <w:rPr>
                      <w:color w:val="auto"/>
                    </w:rPr>
                  </w:pPr>
                  <w:r>
                    <w:rPr>
                      <w:color w:val="auto"/>
                    </w:rPr>
                    <w:t>自治区共划定1777个环境管控单元，分为优先保护单元、重点管控单元和一般管控单元三类，实施分类管控。优先保护单元925个，主要包括生态保护红线区和生态保护红线区以外的饮用水水源保护区、水源涵养区、防风固沙区、土地沙化防控区、水土流失防控区等一般生态空间管控区。生态保护红线区执行生态保护红线管理办法的有关要求；一般生态空间管控区应以生态环境保护优先为原则，开发建设活动应严格执行相关法律法规要求，严守生态环境质量底线，确保生态功能不降低。重点管控单元713个，主要包括城镇建成区、工业园区和开发强度大、污染物排放强度高的工业聚集区等。重点管控单元要着力优化空间布局，不断提升资源利用效率，有针对性地加强污染物排放管控和环境风险防控，解决生态环境质量不达标、生态环境风险高等问题。一般管控单元139个，主要包括优先保护单元和重点管控单元之外的其他区域。一般管控单元主要落实生态环境保护基本要求，推动区域环境质量持续改善。</w:t>
                  </w:r>
                </w:p>
              </w:tc>
              <w:tc>
                <w:tcPr>
                  <w:tcW w:w="1656" w:type="pct"/>
                  <w:tcBorders>
                    <w:tl2br w:val="nil"/>
                    <w:tr2bl w:val="nil"/>
                  </w:tcBorders>
                  <w:vAlign w:val="center"/>
                </w:tcPr>
                <w:p>
                  <w:pPr>
                    <w:pStyle w:val="53"/>
                    <w:adjustRightInd/>
                    <w:snapToGrid/>
                    <w:spacing w:line="300" w:lineRule="exact"/>
                    <w:rPr>
                      <w:color w:val="auto"/>
                    </w:rPr>
                  </w:pPr>
                  <w:r>
                    <w:rPr>
                      <w:color w:val="auto"/>
                    </w:rPr>
                    <w:t>本项目为危险品仓储项目，行业为装卸搬运和仓储业。位于尉犁县一般管控单元，单元编码：ZH65282330001，单元名称：尉犁县一般管控区。项目建设和运营期间严格执行相关法律法规要求，严守生态环境质量底线，生态功能不会降低。项目区的废气、噪声、固废通过采取完善的污染治理措施，不会对项目区周围大气环境、地表水环境、声环境、地下水、土壤环境产生明显影响。</w:t>
                  </w:r>
                </w:p>
              </w:tc>
              <w:tc>
                <w:tcPr>
                  <w:tcW w:w="333" w:type="pct"/>
                  <w:tcBorders>
                    <w:tl2br w:val="nil"/>
                    <w:tr2bl w:val="nil"/>
                  </w:tcBorders>
                  <w:vAlign w:val="center"/>
                </w:tcPr>
                <w:p>
                  <w:pPr>
                    <w:pStyle w:val="53"/>
                    <w:adjustRightInd/>
                    <w:snapToGrid/>
                    <w:spacing w:line="300" w:lineRule="exact"/>
                    <w:rPr>
                      <w:color w:val="auto"/>
                    </w:rPr>
                  </w:pPr>
                  <w:r>
                    <w:rPr>
                      <w:color w:val="auto"/>
                    </w:rPr>
                    <w:t>符合</w:t>
                  </w:r>
                </w:p>
              </w:tc>
            </w:tr>
          </w:tbl>
          <w:p>
            <w:pPr>
              <w:spacing w:line="520" w:lineRule="exact"/>
              <w:ind w:firstLine="480" w:firstLineChars="200"/>
              <w:rPr>
                <w:color w:val="auto"/>
                <w:sz w:val="24"/>
              </w:rPr>
            </w:pPr>
            <w:r>
              <w:rPr>
                <w:color w:val="auto"/>
                <w:sz w:val="24"/>
              </w:rPr>
              <w:t>根据《关于印发〈新疆维吾尔自治区生态环境分区管控动态更新成果〉的通知》（新环环评发〔2024〕157号），本项目与文件的符合性分析见下表。</w:t>
            </w:r>
          </w:p>
          <w:p>
            <w:pPr>
              <w:pStyle w:val="52"/>
              <w:rPr>
                <w:color w:val="auto"/>
              </w:rPr>
            </w:pPr>
            <w:r>
              <w:rPr>
                <w:color w:val="auto"/>
              </w:rPr>
              <w:t>表1-2  与《新疆维吾尔自治区生态环境分区管控总体要求》相符性分析</w:t>
            </w:r>
          </w:p>
          <w:tbl>
            <w:tblPr>
              <w:tblStyle w:val="27"/>
              <w:tblW w:w="48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02"/>
              <w:gridCol w:w="2356"/>
              <w:gridCol w:w="2792"/>
              <w:gridCol w:w="36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1028" w:type="pct"/>
                  <w:gridSpan w:val="2"/>
                  <w:tcBorders>
                    <w:tl2br w:val="nil"/>
                    <w:tr2bl w:val="nil"/>
                  </w:tcBorders>
                  <w:vAlign w:val="center"/>
                </w:tcPr>
                <w:p>
                  <w:pPr>
                    <w:pStyle w:val="53"/>
                    <w:adjustRightInd/>
                    <w:snapToGrid/>
                    <w:spacing w:line="300" w:lineRule="exact"/>
                    <w:rPr>
                      <w:color w:val="auto"/>
                    </w:rPr>
                  </w:pPr>
                  <w:r>
                    <w:rPr>
                      <w:color w:val="auto"/>
                    </w:rPr>
                    <w:t>管控维度</w:t>
                  </w:r>
                </w:p>
              </w:tc>
              <w:tc>
                <w:tcPr>
                  <w:tcW w:w="1698" w:type="pct"/>
                  <w:tcBorders>
                    <w:tl2br w:val="nil"/>
                    <w:tr2bl w:val="nil"/>
                  </w:tcBorders>
                  <w:vAlign w:val="center"/>
                </w:tcPr>
                <w:p>
                  <w:pPr>
                    <w:pStyle w:val="53"/>
                    <w:adjustRightInd/>
                    <w:snapToGrid/>
                    <w:spacing w:line="300" w:lineRule="exact"/>
                    <w:rPr>
                      <w:color w:val="auto"/>
                    </w:rPr>
                  </w:pPr>
                  <w:r>
                    <w:rPr>
                      <w:color w:val="auto"/>
                    </w:rPr>
                    <w:t>管控要求</w:t>
                  </w:r>
                </w:p>
              </w:tc>
              <w:tc>
                <w:tcPr>
                  <w:tcW w:w="2012" w:type="pct"/>
                  <w:tcBorders>
                    <w:tl2br w:val="nil"/>
                    <w:tr2bl w:val="nil"/>
                  </w:tcBorders>
                  <w:vAlign w:val="center"/>
                </w:tcPr>
                <w:p>
                  <w:pPr>
                    <w:pStyle w:val="53"/>
                    <w:adjustRightInd/>
                    <w:snapToGrid/>
                    <w:spacing w:line="300" w:lineRule="exact"/>
                    <w:rPr>
                      <w:color w:val="auto"/>
                    </w:rPr>
                  </w:pPr>
                  <w:r>
                    <w:rPr>
                      <w:color w:val="auto"/>
                    </w:rPr>
                    <w:t>本项目情况</w:t>
                  </w:r>
                </w:p>
              </w:tc>
              <w:tc>
                <w:tcPr>
                  <w:tcW w:w="261" w:type="pct"/>
                  <w:tcBorders>
                    <w:tl2br w:val="nil"/>
                    <w:tr2bl w:val="nil"/>
                  </w:tcBorders>
                  <w:vAlign w:val="center"/>
                </w:tcPr>
                <w:p>
                  <w:pPr>
                    <w:pStyle w:val="53"/>
                    <w:adjustRightInd/>
                    <w:snapToGrid/>
                    <w:spacing w:line="300" w:lineRule="exact"/>
                    <w:rPr>
                      <w:color w:val="auto"/>
                    </w:rPr>
                  </w:pPr>
                  <w:r>
                    <w:rPr>
                      <w:color w:val="auto"/>
                    </w:rPr>
                    <w:t>相符性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523" w:type="pct"/>
                  <w:vMerge w:val="restart"/>
                  <w:tcBorders>
                    <w:tl2br w:val="nil"/>
                    <w:tr2bl w:val="nil"/>
                  </w:tcBorders>
                  <w:vAlign w:val="center"/>
                </w:tcPr>
                <w:p>
                  <w:pPr>
                    <w:pStyle w:val="53"/>
                    <w:adjustRightInd/>
                    <w:snapToGrid/>
                    <w:spacing w:line="300" w:lineRule="exact"/>
                    <w:rPr>
                      <w:color w:val="auto"/>
                    </w:rPr>
                  </w:pPr>
                  <w:r>
                    <w:rPr>
                      <w:color w:val="auto"/>
                    </w:rPr>
                    <w:t>A1空间布局约束</w:t>
                  </w:r>
                </w:p>
              </w:tc>
              <w:tc>
                <w:tcPr>
                  <w:tcW w:w="505" w:type="pct"/>
                  <w:tcBorders>
                    <w:tl2br w:val="nil"/>
                    <w:tr2bl w:val="nil"/>
                  </w:tcBorders>
                  <w:vAlign w:val="center"/>
                </w:tcPr>
                <w:p>
                  <w:pPr>
                    <w:pStyle w:val="53"/>
                    <w:adjustRightInd/>
                    <w:snapToGrid/>
                    <w:spacing w:line="300" w:lineRule="exact"/>
                    <w:rPr>
                      <w:color w:val="auto"/>
                    </w:rPr>
                  </w:pPr>
                  <w:r>
                    <w:rPr>
                      <w:color w:val="auto"/>
                    </w:rPr>
                    <w:t>A1.1禁止开发建设的活动</w:t>
                  </w:r>
                </w:p>
              </w:tc>
              <w:tc>
                <w:tcPr>
                  <w:tcW w:w="1698" w:type="pct"/>
                  <w:tcBorders>
                    <w:tl2br w:val="nil"/>
                    <w:tr2bl w:val="nil"/>
                  </w:tcBorders>
                  <w:vAlign w:val="center"/>
                </w:tcPr>
                <w:p>
                  <w:pPr>
                    <w:pStyle w:val="53"/>
                    <w:adjustRightInd/>
                    <w:snapToGrid/>
                    <w:spacing w:line="300" w:lineRule="exact"/>
                    <w:rPr>
                      <w:color w:val="auto"/>
                    </w:rPr>
                  </w:pPr>
                  <w:r>
                    <w:rPr>
                      <w:color w:val="auto"/>
                    </w:rPr>
                    <w:t>A1.1-1禁止新建、扩建《产业结构调整指导目录（2024年本）》中淘汰类。禁止引入《市场准入负面清单（2025年版）》禁止准入类事项</w:t>
                  </w:r>
                </w:p>
              </w:tc>
              <w:tc>
                <w:tcPr>
                  <w:tcW w:w="2012" w:type="pct"/>
                  <w:tcBorders>
                    <w:tl2br w:val="nil"/>
                    <w:tr2bl w:val="nil"/>
                  </w:tcBorders>
                  <w:vAlign w:val="center"/>
                </w:tcPr>
                <w:p>
                  <w:pPr>
                    <w:pStyle w:val="53"/>
                    <w:adjustRightInd/>
                    <w:snapToGrid/>
                    <w:spacing w:line="300" w:lineRule="exact"/>
                    <w:rPr>
                      <w:color w:val="auto"/>
                    </w:rPr>
                  </w:pPr>
                  <w:r>
                    <w:rPr>
                      <w:color w:val="auto"/>
                    </w:rPr>
                    <w:t>根据《产业结构调整指导目录（2024年本）》中规定，本项目不属于鼓励类、限制类和淘汰类，属于允许类，本项目不属于《市场准入负面清单（2025年版）》，故项目建设符合国家的产业政策要求。</w:t>
                  </w:r>
                </w:p>
              </w:tc>
              <w:tc>
                <w:tcPr>
                  <w:tcW w:w="261" w:type="pct"/>
                  <w:tcBorders>
                    <w:tl2br w:val="nil"/>
                    <w:tr2bl w:val="nil"/>
                  </w:tcBorders>
                  <w:vAlign w:val="center"/>
                </w:tcPr>
                <w:p>
                  <w:pPr>
                    <w:pStyle w:val="53"/>
                    <w:adjustRightInd/>
                    <w:snapToGrid/>
                    <w:spacing w:line="300" w:lineRule="exact"/>
                    <w:rPr>
                      <w:color w:val="auto"/>
                    </w:rPr>
                  </w:pPr>
                  <w:r>
                    <w:rPr>
                      <w:color w:val="auto"/>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23" w:type="pct"/>
                  <w:vMerge w:val="continue"/>
                  <w:tcBorders>
                    <w:tl2br w:val="nil"/>
                    <w:tr2bl w:val="nil"/>
                  </w:tcBorders>
                  <w:vAlign w:val="center"/>
                </w:tcPr>
                <w:p>
                  <w:pPr>
                    <w:pStyle w:val="53"/>
                    <w:adjustRightInd/>
                    <w:snapToGrid/>
                    <w:spacing w:line="300" w:lineRule="exact"/>
                    <w:rPr>
                      <w:color w:val="auto"/>
                    </w:rPr>
                  </w:pPr>
                </w:p>
              </w:tc>
              <w:tc>
                <w:tcPr>
                  <w:tcW w:w="505" w:type="pct"/>
                  <w:tcBorders>
                    <w:tl2br w:val="nil"/>
                    <w:tr2bl w:val="nil"/>
                  </w:tcBorders>
                  <w:vAlign w:val="center"/>
                </w:tcPr>
                <w:p>
                  <w:pPr>
                    <w:pStyle w:val="53"/>
                    <w:adjustRightInd/>
                    <w:snapToGrid/>
                    <w:spacing w:line="300" w:lineRule="exact"/>
                    <w:rPr>
                      <w:color w:val="auto"/>
                    </w:rPr>
                  </w:pPr>
                  <w:r>
                    <w:rPr>
                      <w:color w:val="auto"/>
                    </w:rPr>
                    <w:t>A1.2限制开发建设的活动</w:t>
                  </w:r>
                </w:p>
              </w:tc>
              <w:tc>
                <w:tcPr>
                  <w:tcW w:w="1698" w:type="pct"/>
                  <w:tcBorders>
                    <w:tl2br w:val="nil"/>
                    <w:tr2bl w:val="nil"/>
                  </w:tcBorders>
                  <w:vAlign w:val="center"/>
                </w:tcPr>
                <w:p>
                  <w:pPr>
                    <w:pStyle w:val="53"/>
                    <w:adjustRightInd/>
                    <w:snapToGrid/>
                    <w:spacing w:line="300" w:lineRule="exact"/>
                    <w:rPr>
                      <w:color w:val="auto"/>
                    </w:rPr>
                  </w:pPr>
                  <w:r>
                    <w:rPr>
                      <w:color w:val="auto"/>
                    </w:rPr>
                    <w:t>A1.2-1严格控制缺水地区、水污染严重区域和敏感区域高耗水、高污染行业发展。</w:t>
                  </w:r>
                </w:p>
              </w:tc>
              <w:tc>
                <w:tcPr>
                  <w:tcW w:w="2012" w:type="pct"/>
                  <w:tcBorders>
                    <w:tl2br w:val="nil"/>
                    <w:tr2bl w:val="nil"/>
                  </w:tcBorders>
                  <w:vAlign w:val="center"/>
                </w:tcPr>
                <w:p>
                  <w:pPr>
                    <w:pStyle w:val="53"/>
                    <w:adjustRightInd/>
                    <w:snapToGrid/>
                    <w:spacing w:line="300" w:lineRule="exact"/>
                    <w:rPr>
                      <w:color w:val="auto"/>
                    </w:rPr>
                  </w:pPr>
                  <w:r>
                    <w:rPr>
                      <w:color w:val="auto"/>
                    </w:rPr>
                    <w:t>本项目为危险品仓储项目，运营期间污染物排放量较少，各项污染物均能达标排放。在运营过程中仅有生活用水、绿化用水以及消防用水，总用水量较少，因此本项目不属于高污染（排放）、高能（水）耗行业。</w:t>
                  </w:r>
                </w:p>
              </w:tc>
              <w:tc>
                <w:tcPr>
                  <w:tcW w:w="261" w:type="pct"/>
                  <w:tcBorders>
                    <w:tl2br w:val="nil"/>
                    <w:tr2bl w:val="nil"/>
                  </w:tcBorders>
                  <w:vAlign w:val="center"/>
                </w:tcPr>
                <w:p>
                  <w:pPr>
                    <w:pStyle w:val="53"/>
                    <w:adjustRightInd/>
                    <w:snapToGrid/>
                    <w:spacing w:line="300" w:lineRule="exact"/>
                    <w:rPr>
                      <w:color w:val="auto"/>
                    </w:rPr>
                  </w:pPr>
                  <w:r>
                    <w:rPr>
                      <w:color w:val="auto"/>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23" w:type="pct"/>
                  <w:tcBorders>
                    <w:tl2br w:val="nil"/>
                    <w:tr2bl w:val="nil"/>
                  </w:tcBorders>
                  <w:vAlign w:val="center"/>
                </w:tcPr>
                <w:p>
                  <w:pPr>
                    <w:pStyle w:val="53"/>
                    <w:adjustRightInd/>
                    <w:snapToGrid/>
                    <w:spacing w:line="300" w:lineRule="exact"/>
                    <w:rPr>
                      <w:color w:val="auto"/>
                    </w:rPr>
                  </w:pPr>
                  <w:r>
                    <w:rPr>
                      <w:color w:val="auto"/>
                    </w:rPr>
                    <w:t>A2 污染物排放管控</w:t>
                  </w:r>
                </w:p>
              </w:tc>
              <w:tc>
                <w:tcPr>
                  <w:tcW w:w="505" w:type="pct"/>
                  <w:tcBorders>
                    <w:tl2br w:val="nil"/>
                    <w:tr2bl w:val="nil"/>
                  </w:tcBorders>
                  <w:vAlign w:val="center"/>
                </w:tcPr>
                <w:p>
                  <w:pPr>
                    <w:pStyle w:val="53"/>
                    <w:adjustRightInd/>
                    <w:snapToGrid/>
                    <w:spacing w:line="300" w:lineRule="exact"/>
                    <w:rPr>
                      <w:color w:val="auto"/>
                    </w:rPr>
                  </w:pPr>
                  <w:r>
                    <w:rPr>
                      <w:color w:val="auto"/>
                    </w:rPr>
                    <w:t>A2.1 污染物削减/替代要求</w:t>
                  </w:r>
                </w:p>
              </w:tc>
              <w:tc>
                <w:tcPr>
                  <w:tcW w:w="1698" w:type="pct"/>
                  <w:tcBorders>
                    <w:tl2br w:val="nil"/>
                    <w:tr2bl w:val="nil"/>
                  </w:tcBorders>
                  <w:vAlign w:val="center"/>
                </w:tcPr>
                <w:p>
                  <w:pPr>
                    <w:pStyle w:val="53"/>
                    <w:adjustRightInd/>
                    <w:snapToGrid/>
                    <w:spacing w:line="300" w:lineRule="exact"/>
                    <w:rPr>
                      <w:color w:val="auto"/>
                    </w:rPr>
                  </w:pPr>
                  <w:r>
                    <w:rPr>
                      <w:color w:val="auto"/>
                    </w:rPr>
                    <w:t>A2.2-7强化重点区域地下水环境风险管控，对化学品生产企业、工业集聚区、尾矿库、矿山开采区、危险废物处置场、垃圾填埋场等地下水污染源及周边区域，逐步开展地下水环境状况调查评估加强风险管控。</w:t>
                  </w:r>
                </w:p>
              </w:tc>
              <w:tc>
                <w:tcPr>
                  <w:tcW w:w="2012" w:type="pct"/>
                  <w:tcBorders>
                    <w:tl2br w:val="nil"/>
                    <w:tr2bl w:val="nil"/>
                  </w:tcBorders>
                  <w:vAlign w:val="center"/>
                </w:tcPr>
                <w:p>
                  <w:pPr>
                    <w:pStyle w:val="53"/>
                    <w:adjustRightInd/>
                    <w:snapToGrid/>
                    <w:spacing w:line="300" w:lineRule="exact"/>
                    <w:rPr>
                      <w:color w:val="auto"/>
                    </w:rPr>
                  </w:pPr>
                  <w:r>
                    <w:rPr>
                      <w:color w:val="auto"/>
                    </w:rPr>
                    <w:t>本项目为危险品仓储项目，不涉及化学品的生产，项目在运营过程中无地下水的污染途径，基本不会对地下水环境造成影响。</w:t>
                  </w:r>
                </w:p>
              </w:tc>
              <w:tc>
                <w:tcPr>
                  <w:tcW w:w="261" w:type="pct"/>
                  <w:tcBorders>
                    <w:tl2br w:val="nil"/>
                    <w:tr2bl w:val="nil"/>
                  </w:tcBorders>
                  <w:vAlign w:val="center"/>
                </w:tcPr>
                <w:p>
                  <w:pPr>
                    <w:pStyle w:val="53"/>
                    <w:adjustRightInd/>
                    <w:snapToGrid/>
                    <w:spacing w:line="300" w:lineRule="exact"/>
                    <w:rPr>
                      <w:color w:val="auto"/>
                    </w:rPr>
                  </w:pPr>
                  <w:r>
                    <w:rPr>
                      <w:color w:val="auto"/>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23" w:type="pct"/>
                  <w:tcBorders>
                    <w:tl2br w:val="nil"/>
                    <w:tr2bl w:val="nil"/>
                  </w:tcBorders>
                  <w:vAlign w:val="center"/>
                </w:tcPr>
                <w:p>
                  <w:pPr>
                    <w:pStyle w:val="53"/>
                    <w:adjustRightInd/>
                    <w:snapToGrid/>
                    <w:spacing w:line="300" w:lineRule="exact"/>
                    <w:rPr>
                      <w:color w:val="auto"/>
                    </w:rPr>
                  </w:pPr>
                  <w:r>
                    <w:rPr>
                      <w:color w:val="auto"/>
                    </w:rPr>
                    <w:t>A3环境风险防控</w:t>
                  </w:r>
                </w:p>
              </w:tc>
              <w:tc>
                <w:tcPr>
                  <w:tcW w:w="505" w:type="pct"/>
                  <w:tcBorders>
                    <w:tl2br w:val="nil"/>
                    <w:tr2bl w:val="nil"/>
                  </w:tcBorders>
                  <w:vAlign w:val="center"/>
                </w:tcPr>
                <w:p>
                  <w:pPr>
                    <w:pStyle w:val="53"/>
                    <w:adjustRightInd/>
                    <w:snapToGrid/>
                    <w:spacing w:line="300" w:lineRule="exact"/>
                    <w:rPr>
                      <w:color w:val="auto"/>
                    </w:rPr>
                  </w:pPr>
                  <w:r>
                    <w:rPr>
                      <w:color w:val="auto"/>
                    </w:rPr>
                    <w:t>A3.2联防联控要求</w:t>
                  </w:r>
                </w:p>
              </w:tc>
              <w:tc>
                <w:tcPr>
                  <w:tcW w:w="1698" w:type="pct"/>
                  <w:tcBorders>
                    <w:tl2br w:val="nil"/>
                    <w:tr2bl w:val="nil"/>
                  </w:tcBorders>
                  <w:vAlign w:val="center"/>
                </w:tcPr>
                <w:p>
                  <w:pPr>
                    <w:pStyle w:val="53"/>
                    <w:adjustRightInd/>
                    <w:snapToGrid/>
                    <w:spacing w:line="300" w:lineRule="exact"/>
                    <w:rPr>
                      <w:color w:val="auto"/>
                    </w:rPr>
                  </w:pPr>
                  <w:r>
                    <w:rPr>
                      <w:color w:val="auto"/>
                    </w:rPr>
                    <w:t>A3.2-5强化生态环境应急管理。实施企业</w:t>
                  </w:r>
                  <w:bookmarkStart w:id="2" w:name="OLE_LINK6"/>
                  <w:r>
                    <w:rPr>
                      <w:color w:val="auto"/>
                    </w:rPr>
                    <w:t>突发生态环境应急预案</w:t>
                  </w:r>
                  <w:bookmarkEnd w:id="2"/>
                  <w:r>
                    <w:rPr>
                      <w:color w:val="auto"/>
                    </w:rPr>
                    <w:t>电子化备案，完成县级以上政府突发环境事件应急预案修编。完善区域和企业应急处置物资储备系统，结合新疆各地特征污染物的特性，加强应急物资储备及应急物资信息化建设，掌握社会应急物资储备动态信息，妥善应对各类突发生态环境事件。加强应急监测装备配置，定期开展应急演练，增强实战能力。</w:t>
                  </w:r>
                </w:p>
              </w:tc>
              <w:tc>
                <w:tcPr>
                  <w:tcW w:w="2012" w:type="pct"/>
                  <w:tcBorders>
                    <w:tl2br w:val="nil"/>
                    <w:tr2bl w:val="nil"/>
                  </w:tcBorders>
                  <w:vAlign w:val="center"/>
                </w:tcPr>
                <w:p>
                  <w:pPr>
                    <w:pStyle w:val="53"/>
                    <w:adjustRightInd/>
                    <w:snapToGrid/>
                    <w:spacing w:line="300" w:lineRule="exact"/>
                    <w:rPr>
                      <w:color w:val="auto"/>
                    </w:rPr>
                  </w:pPr>
                  <w:r>
                    <w:rPr>
                      <w:color w:val="auto"/>
                    </w:rPr>
                    <w:t>本报告要求企业编制突发环境应急预案并向当地主管部门备案，定时依据预案进行演练培训，核查企业应急物资等。</w:t>
                  </w:r>
                </w:p>
              </w:tc>
              <w:tc>
                <w:tcPr>
                  <w:tcW w:w="261" w:type="pct"/>
                  <w:tcBorders>
                    <w:tl2br w:val="nil"/>
                    <w:tr2bl w:val="nil"/>
                  </w:tcBorders>
                  <w:vAlign w:val="center"/>
                </w:tcPr>
                <w:p>
                  <w:pPr>
                    <w:pStyle w:val="53"/>
                    <w:adjustRightInd/>
                    <w:snapToGrid/>
                    <w:spacing w:line="300" w:lineRule="exact"/>
                    <w:rPr>
                      <w:color w:val="auto"/>
                    </w:rPr>
                  </w:pPr>
                  <w:r>
                    <w:rPr>
                      <w:color w:val="auto"/>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23" w:type="pct"/>
                  <w:tcBorders>
                    <w:tl2br w:val="nil"/>
                    <w:tr2bl w:val="nil"/>
                  </w:tcBorders>
                  <w:vAlign w:val="center"/>
                </w:tcPr>
                <w:p>
                  <w:pPr>
                    <w:pStyle w:val="53"/>
                    <w:adjustRightInd/>
                    <w:snapToGrid/>
                    <w:spacing w:line="300" w:lineRule="exact"/>
                    <w:rPr>
                      <w:color w:val="auto"/>
                    </w:rPr>
                  </w:pPr>
                  <w:r>
                    <w:rPr>
                      <w:color w:val="auto"/>
                    </w:rPr>
                    <w:t>A4资源利用要求</w:t>
                  </w:r>
                </w:p>
              </w:tc>
              <w:tc>
                <w:tcPr>
                  <w:tcW w:w="505" w:type="pct"/>
                  <w:tcBorders>
                    <w:tl2br w:val="nil"/>
                    <w:tr2bl w:val="nil"/>
                  </w:tcBorders>
                  <w:vAlign w:val="center"/>
                </w:tcPr>
                <w:p>
                  <w:pPr>
                    <w:pStyle w:val="53"/>
                    <w:adjustRightInd/>
                    <w:snapToGrid/>
                    <w:spacing w:line="300" w:lineRule="exact"/>
                    <w:rPr>
                      <w:color w:val="auto"/>
                    </w:rPr>
                  </w:pPr>
                  <w:r>
                    <w:rPr>
                      <w:color w:val="auto"/>
                    </w:rPr>
                    <w:t>A4.3能源利用</w:t>
                  </w:r>
                </w:p>
              </w:tc>
              <w:tc>
                <w:tcPr>
                  <w:tcW w:w="1698" w:type="pct"/>
                  <w:tcBorders>
                    <w:tl2br w:val="nil"/>
                    <w:tr2bl w:val="nil"/>
                  </w:tcBorders>
                  <w:vAlign w:val="center"/>
                </w:tcPr>
                <w:p>
                  <w:pPr>
                    <w:pStyle w:val="53"/>
                    <w:adjustRightInd/>
                    <w:snapToGrid/>
                    <w:spacing w:line="300" w:lineRule="exact"/>
                    <w:rPr>
                      <w:color w:val="auto"/>
                    </w:rPr>
                  </w:pPr>
                  <w:r>
                    <w:rPr>
                      <w:color w:val="auto"/>
                    </w:rPr>
                    <w:t>A4.3-4鼓励使用清洁能源或电厂热力、工业余热等替代锅炉炉窑燃料用煤。</w:t>
                  </w:r>
                </w:p>
              </w:tc>
              <w:tc>
                <w:tcPr>
                  <w:tcW w:w="2012" w:type="pct"/>
                  <w:tcBorders>
                    <w:tl2br w:val="nil"/>
                    <w:tr2bl w:val="nil"/>
                  </w:tcBorders>
                  <w:vAlign w:val="center"/>
                </w:tcPr>
                <w:p>
                  <w:pPr>
                    <w:pStyle w:val="53"/>
                    <w:adjustRightInd/>
                    <w:snapToGrid/>
                    <w:spacing w:line="300" w:lineRule="exact"/>
                    <w:rPr>
                      <w:color w:val="auto"/>
                    </w:rPr>
                  </w:pPr>
                  <w:r>
                    <w:rPr>
                      <w:color w:val="auto"/>
                    </w:rPr>
                    <w:t>本项目为危险品仓储项目，运营期间无需生产供热，值班人员生活供热及供暖均采用电采暖，不涉及使用高污染燃料。</w:t>
                  </w:r>
                </w:p>
              </w:tc>
              <w:tc>
                <w:tcPr>
                  <w:tcW w:w="261" w:type="pct"/>
                  <w:tcBorders>
                    <w:tl2br w:val="nil"/>
                    <w:tr2bl w:val="nil"/>
                  </w:tcBorders>
                  <w:vAlign w:val="center"/>
                </w:tcPr>
                <w:p>
                  <w:pPr>
                    <w:pStyle w:val="53"/>
                    <w:adjustRightInd/>
                    <w:snapToGrid/>
                    <w:spacing w:line="300" w:lineRule="exact"/>
                    <w:rPr>
                      <w:color w:val="auto"/>
                    </w:rPr>
                  </w:pPr>
                  <w:r>
                    <w:rPr>
                      <w:color w:val="auto"/>
                    </w:rPr>
                    <w:t>符合</w:t>
                  </w:r>
                </w:p>
              </w:tc>
            </w:tr>
          </w:tbl>
          <w:p>
            <w:pPr>
              <w:pStyle w:val="5"/>
              <w:keepNext w:val="0"/>
              <w:keepLines w:val="0"/>
              <w:tabs>
                <w:tab w:val="left" w:pos="0"/>
              </w:tabs>
              <w:spacing w:line="360" w:lineRule="auto"/>
              <w:ind w:firstLine="482" w:firstLineChars="200"/>
              <w:rPr>
                <w:rFonts w:ascii="Times New Roman" w:hAnsi="Times New Roman"/>
                <w:bCs w:val="0"/>
                <w:color w:val="auto"/>
                <w:sz w:val="24"/>
                <w:szCs w:val="24"/>
              </w:rPr>
            </w:pPr>
            <w:r>
              <w:rPr>
                <w:rFonts w:ascii="Times New Roman" w:hAnsi="Times New Roman"/>
                <w:bCs w:val="0"/>
                <w:color w:val="auto"/>
                <w:sz w:val="24"/>
                <w:szCs w:val="24"/>
              </w:rPr>
              <w:t>3.2《巴音郭楞蒙古自治州生态环境准入清单（2023年）》符合性分析。</w:t>
            </w:r>
          </w:p>
          <w:p>
            <w:pPr>
              <w:spacing w:line="360" w:lineRule="auto"/>
              <w:ind w:firstLine="480" w:firstLineChars="200"/>
              <w:rPr>
                <w:color w:val="auto"/>
                <w:sz w:val="24"/>
              </w:rPr>
            </w:pPr>
            <w:r>
              <w:rPr>
                <w:color w:val="auto"/>
                <w:sz w:val="24"/>
              </w:rPr>
              <w:t>本项目位于新疆维吾尔自治区巴音郭楞蒙古自治州尉犁县，根据《巴音郭楞蒙古自治州生态环境准入清单》，本工程所在环境管控单元管控要求详见表1-5。</w:t>
            </w:r>
          </w:p>
          <w:p>
            <w:pPr>
              <w:pStyle w:val="52"/>
              <w:rPr>
                <w:color w:val="auto"/>
              </w:rPr>
            </w:pPr>
            <w:r>
              <w:rPr>
                <w:color w:val="auto"/>
              </w:rPr>
              <w:t>表1-3  生态环境管控方案及生态环境准入清单符合性分析一览表</w:t>
            </w:r>
          </w:p>
          <w:tbl>
            <w:tblPr>
              <w:tblStyle w:val="27"/>
              <w:tblW w:w="4999" w:type="pct"/>
              <w:tblInd w:w="5" w:type="dxa"/>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51"/>
              <w:gridCol w:w="704"/>
              <w:gridCol w:w="3016"/>
              <w:gridCol w:w="2325"/>
              <w:gridCol w:w="487"/>
            </w:tblGrid>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6" w:type="pct"/>
                  <w:gridSpan w:val="2"/>
                  <w:tcBorders>
                    <w:tl2br w:val="nil"/>
                    <w:tr2bl w:val="nil"/>
                  </w:tcBorders>
                  <w:vAlign w:val="center"/>
                </w:tcPr>
                <w:p>
                  <w:pPr>
                    <w:pStyle w:val="53"/>
                    <w:adjustRightInd/>
                    <w:snapToGrid/>
                    <w:rPr>
                      <w:color w:val="auto"/>
                    </w:rPr>
                  </w:pPr>
                  <w:r>
                    <w:rPr>
                      <w:color w:val="auto"/>
                    </w:rPr>
                    <w:t>环境管控单元编码</w:t>
                  </w:r>
                </w:p>
              </w:tc>
              <w:tc>
                <w:tcPr>
                  <w:tcW w:w="2128" w:type="pct"/>
                  <w:tcBorders>
                    <w:tl2br w:val="nil"/>
                    <w:tr2bl w:val="nil"/>
                  </w:tcBorders>
                  <w:vAlign w:val="center"/>
                </w:tcPr>
                <w:p>
                  <w:pPr>
                    <w:pStyle w:val="53"/>
                    <w:adjustRightInd/>
                    <w:snapToGrid/>
                    <w:rPr>
                      <w:color w:val="auto"/>
                    </w:rPr>
                  </w:pPr>
                  <w:r>
                    <w:rPr>
                      <w:color w:val="auto"/>
                    </w:rPr>
                    <w:t>ZH652823330001</w:t>
                  </w:r>
                </w:p>
              </w:tc>
              <w:tc>
                <w:tcPr>
                  <w:tcW w:w="1640" w:type="pct"/>
                  <w:vMerge w:val="restart"/>
                  <w:tcBorders>
                    <w:tl2br w:val="nil"/>
                    <w:tr2bl w:val="nil"/>
                  </w:tcBorders>
                  <w:vAlign w:val="center"/>
                </w:tcPr>
                <w:p>
                  <w:pPr>
                    <w:pStyle w:val="53"/>
                    <w:adjustRightInd/>
                    <w:snapToGrid/>
                    <w:rPr>
                      <w:color w:val="auto"/>
                    </w:rPr>
                  </w:pPr>
                  <w:r>
                    <w:rPr>
                      <w:color w:val="auto"/>
                    </w:rPr>
                    <w:t>本工程情况</w:t>
                  </w:r>
                </w:p>
              </w:tc>
              <w:tc>
                <w:tcPr>
                  <w:tcW w:w="344" w:type="pct"/>
                  <w:vMerge w:val="restart"/>
                  <w:tcBorders>
                    <w:tl2br w:val="nil"/>
                    <w:tr2bl w:val="nil"/>
                  </w:tcBorders>
                  <w:vAlign w:val="center"/>
                </w:tcPr>
                <w:p>
                  <w:pPr>
                    <w:pStyle w:val="53"/>
                    <w:adjustRightInd/>
                    <w:snapToGrid/>
                    <w:rPr>
                      <w:color w:val="auto"/>
                    </w:rPr>
                  </w:pPr>
                  <w:r>
                    <w:rPr>
                      <w:color w:val="auto"/>
                    </w:rPr>
                    <w:t>相符性</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6" w:type="pct"/>
                  <w:gridSpan w:val="2"/>
                  <w:tcBorders>
                    <w:tl2br w:val="nil"/>
                    <w:tr2bl w:val="nil"/>
                  </w:tcBorders>
                  <w:vAlign w:val="center"/>
                </w:tcPr>
                <w:p>
                  <w:pPr>
                    <w:pStyle w:val="53"/>
                    <w:adjustRightInd/>
                    <w:snapToGrid/>
                    <w:rPr>
                      <w:color w:val="auto"/>
                    </w:rPr>
                  </w:pPr>
                  <w:r>
                    <w:rPr>
                      <w:color w:val="auto"/>
                    </w:rPr>
                    <w:t>环境管控单元名称</w:t>
                  </w:r>
                </w:p>
              </w:tc>
              <w:tc>
                <w:tcPr>
                  <w:tcW w:w="2128" w:type="pct"/>
                  <w:tcBorders>
                    <w:tl2br w:val="nil"/>
                    <w:tr2bl w:val="nil"/>
                  </w:tcBorders>
                  <w:vAlign w:val="center"/>
                </w:tcPr>
                <w:p>
                  <w:pPr>
                    <w:pStyle w:val="53"/>
                    <w:adjustRightInd/>
                    <w:snapToGrid/>
                    <w:rPr>
                      <w:color w:val="auto"/>
                    </w:rPr>
                  </w:pPr>
                  <w:r>
                    <w:rPr>
                      <w:color w:val="auto"/>
                    </w:rPr>
                    <w:t>尉犁县一般管控区</w:t>
                  </w:r>
                </w:p>
              </w:tc>
              <w:tc>
                <w:tcPr>
                  <w:tcW w:w="1640" w:type="pct"/>
                  <w:vMerge w:val="continue"/>
                  <w:tcBorders>
                    <w:tl2br w:val="nil"/>
                    <w:tr2bl w:val="nil"/>
                  </w:tcBorders>
                  <w:vAlign w:val="center"/>
                </w:tcPr>
                <w:p>
                  <w:pPr>
                    <w:pStyle w:val="53"/>
                    <w:adjustRightInd/>
                    <w:snapToGrid/>
                    <w:rPr>
                      <w:color w:val="auto"/>
                    </w:rPr>
                  </w:pPr>
                </w:p>
              </w:tc>
              <w:tc>
                <w:tcPr>
                  <w:tcW w:w="344" w:type="pct"/>
                  <w:vMerge w:val="continue"/>
                  <w:tcBorders>
                    <w:tl2br w:val="nil"/>
                    <w:tr2bl w:val="nil"/>
                  </w:tcBorders>
                  <w:vAlign w:val="center"/>
                </w:tcPr>
                <w:p>
                  <w:pPr>
                    <w:pStyle w:val="53"/>
                    <w:adjustRightInd/>
                    <w:snapToGrid/>
                    <w:rPr>
                      <w:color w:val="auto"/>
                    </w:rPr>
                  </w:pP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6" w:type="pct"/>
                  <w:gridSpan w:val="2"/>
                  <w:tcBorders>
                    <w:tl2br w:val="nil"/>
                    <w:tr2bl w:val="nil"/>
                  </w:tcBorders>
                  <w:vAlign w:val="center"/>
                </w:tcPr>
                <w:p>
                  <w:pPr>
                    <w:pStyle w:val="53"/>
                    <w:adjustRightInd/>
                    <w:snapToGrid/>
                    <w:rPr>
                      <w:color w:val="auto"/>
                    </w:rPr>
                  </w:pPr>
                  <w:r>
                    <w:rPr>
                      <w:color w:val="auto"/>
                    </w:rPr>
                    <w:t>环境管控单元类别</w:t>
                  </w:r>
                </w:p>
              </w:tc>
              <w:tc>
                <w:tcPr>
                  <w:tcW w:w="2128" w:type="pct"/>
                  <w:tcBorders>
                    <w:tl2br w:val="nil"/>
                    <w:tr2bl w:val="nil"/>
                  </w:tcBorders>
                  <w:vAlign w:val="center"/>
                </w:tcPr>
                <w:p>
                  <w:pPr>
                    <w:pStyle w:val="53"/>
                    <w:adjustRightInd/>
                    <w:snapToGrid/>
                    <w:rPr>
                      <w:color w:val="auto"/>
                    </w:rPr>
                  </w:pPr>
                  <w:r>
                    <w:rPr>
                      <w:color w:val="auto"/>
                    </w:rPr>
                    <w:t>一般管控单元</w:t>
                  </w:r>
                </w:p>
              </w:tc>
              <w:tc>
                <w:tcPr>
                  <w:tcW w:w="1640" w:type="pct"/>
                  <w:vMerge w:val="continue"/>
                  <w:tcBorders>
                    <w:tl2br w:val="nil"/>
                    <w:tr2bl w:val="nil"/>
                  </w:tcBorders>
                  <w:vAlign w:val="center"/>
                </w:tcPr>
                <w:p>
                  <w:pPr>
                    <w:pStyle w:val="53"/>
                    <w:adjustRightInd/>
                    <w:snapToGrid/>
                    <w:rPr>
                      <w:color w:val="auto"/>
                    </w:rPr>
                  </w:pPr>
                </w:p>
              </w:tc>
              <w:tc>
                <w:tcPr>
                  <w:tcW w:w="344" w:type="pct"/>
                  <w:vMerge w:val="continue"/>
                  <w:tcBorders>
                    <w:tl2br w:val="nil"/>
                    <w:tr2bl w:val="nil"/>
                  </w:tcBorders>
                  <w:vAlign w:val="center"/>
                </w:tcPr>
                <w:p>
                  <w:pPr>
                    <w:pStyle w:val="53"/>
                    <w:adjustRightInd/>
                    <w:snapToGrid/>
                    <w:rPr>
                      <w:color w:val="auto"/>
                    </w:rPr>
                  </w:pP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9" w:type="pct"/>
                  <w:vMerge w:val="restart"/>
                  <w:tcBorders>
                    <w:tl2br w:val="nil"/>
                    <w:tr2bl w:val="nil"/>
                  </w:tcBorders>
                  <w:vAlign w:val="center"/>
                </w:tcPr>
                <w:p>
                  <w:pPr>
                    <w:pStyle w:val="53"/>
                    <w:adjustRightInd/>
                    <w:snapToGrid/>
                    <w:rPr>
                      <w:color w:val="auto"/>
                    </w:rPr>
                  </w:pPr>
                  <w:r>
                    <w:rPr>
                      <w:color w:val="auto"/>
                    </w:rPr>
                    <w:t>管控要求</w:t>
                  </w:r>
                </w:p>
              </w:tc>
              <w:tc>
                <w:tcPr>
                  <w:tcW w:w="497" w:type="pct"/>
                  <w:tcBorders>
                    <w:tl2br w:val="nil"/>
                    <w:tr2bl w:val="nil"/>
                  </w:tcBorders>
                  <w:vAlign w:val="center"/>
                </w:tcPr>
                <w:p>
                  <w:pPr>
                    <w:pStyle w:val="53"/>
                    <w:adjustRightInd/>
                    <w:snapToGrid/>
                    <w:rPr>
                      <w:color w:val="auto"/>
                    </w:rPr>
                  </w:pPr>
                  <w:r>
                    <w:rPr>
                      <w:color w:val="auto"/>
                    </w:rPr>
                    <w:t>空间布局约束</w:t>
                  </w:r>
                </w:p>
              </w:tc>
              <w:tc>
                <w:tcPr>
                  <w:tcW w:w="2128" w:type="pct"/>
                  <w:tcBorders>
                    <w:tl2br w:val="nil"/>
                    <w:tr2bl w:val="nil"/>
                  </w:tcBorders>
                  <w:vAlign w:val="center"/>
                </w:tcPr>
                <w:p>
                  <w:pPr>
                    <w:pStyle w:val="5"/>
                    <w:spacing w:before="0" w:after="0" w:line="240" w:lineRule="auto"/>
                    <w:rPr>
                      <w:rFonts w:ascii="Times New Roman" w:hAnsi="Times New Roman"/>
                      <w:b w:val="0"/>
                      <w:bCs w:val="0"/>
                      <w:color w:val="auto"/>
                      <w:sz w:val="21"/>
                      <w:szCs w:val="21"/>
                    </w:rPr>
                  </w:pPr>
                  <w:r>
                    <w:rPr>
                      <w:rFonts w:ascii="Times New Roman" w:hAnsi="Times New Roman"/>
                      <w:b w:val="0"/>
                      <w:bCs w:val="0"/>
                      <w:color w:val="auto"/>
                      <w:sz w:val="21"/>
                      <w:szCs w:val="21"/>
                    </w:rPr>
                    <w:t>1.建设项目用地原则上不得占用基本农田，确需占用基本农田的建设项目须符合《中华人民共和国基本农田保护条例》中相关要求，占用耕地、林地或草地的建设项目须按照国家、自治区相关补偿要求进行补偿。</w:t>
                  </w:r>
                </w:p>
                <w:p>
                  <w:pPr>
                    <w:pStyle w:val="5"/>
                    <w:spacing w:before="0" w:after="0" w:line="240" w:lineRule="auto"/>
                    <w:rPr>
                      <w:rFonts w:ascii="Times New Roman" w:hAnsi="Times New Roman"/>
                      <w:b w:val="0"/>
                      <w:bCs w:val="0"/>
                      <w:color w:val="auto"/>
                      <w:sz w:val="21"/>
                      <w:szCs w:val="21"/>
                    </w:rPr>
                  </w:pPr>
                  <w:r>
                    <w:rPr>
                      <w:rFonts w:ascii="Times New Roman" w:hAnsi="Times New Roman"/>
                      <w:b w:val="0"/>
                      <w:bCs w:val="0"/>
                      <w:color w:val="auto"/>
                      <w:sz w:val="21"/>
                      <w:szCs w:val="21"/>
                    </w:rPr>
                    <w:t>2.对违反资源环境法律法规、规划，污染环境、破坏生态、乱采滥挖的露天矿山，依法整治；对污染治理不规范的露天矿山，依法责令停产整治，对拒不停产或擅自恢复生产的依法强制关闭；对责任主体灭失的露天矿山，要加强修复绿化、减尘抑尘。</w:t>
                  </w:r>
                </w:p>
                <w:p>
                  <w:pPr>
                    <w:pStyle w:val="5"/>
                    <w:spacing w:before="0" w:after="0" w:line="240" w:lineRule="auto"/>
                    <w:rPr>
                      <w:rFonts w:ascii="Times New Roman" w:hAnsi="Times New Roman"/>
                      <w:b w:val="0"/>
                      <w:bCs w:val="0"/>
                      <w:color w:val="auto"/>
                      <w:sz w:val="21"/>
                      <w:szCs w:val="21"/>
                    </w:rPr>
                  </w:pPr>
                  <w:r>
                    <w:rPr>
                      <w:rFonts w:ascii="Times New Roman" w:hAnsi="Times New Roman"/>
                      <w:b w:val="0"/>
                      <w:bCs w:val="0"/>
                      <w:color w:val="auto"/>
                      <w:sz w:val="21"/>
                      <w:szCs w:val="21"/>
                    </w:rPr>
                    <w:t>3.永久基本农田集中区域禁止规划新建可能造成土壤污染的建设项目。涉及有毒有害物质可能造成土壤污染的新（改、扩）建项目，提出并落实土壤和地下水污染防治要求。</w:t>
                  </w:r>
                </w:p>
                <w:p>
                  <w:pPr>
                    <w:pStyle w:val="5"/>
                    <w:spacing w:before="0" w:after="0" w:line="240" w:lineRule="auto"/>
                    <w:rPr>
                      <w:rFonts w:ascii="Times New Roman" w:hAnsi="Times New Roman"/>
                      <w:b w:val="0"/>
                      <w:bCs w:val="0"/>
                      <w:color w:val="auto"/>
                      <w:sz w:val="21"/>
                      <w:szCs w:val="21"/>
                    </w:rPr>
                  </w:pPr>
                  <w:r>
                    <w:rPr>
                      <w:rFonts w:ascii="Times New Roman" w:hAnsi="Times New Roman"/>
                      <w:b w:val="0"/>
                      <w:bCs w:val="0"/>
                      <w:color w:val="auto"/>
                      <w:sz w:val="21"/>
                      <w:szCs w:val="21"/>
                    </w:rPr>
                    <w:t>4.严格执行畜禽养殖禁养区规定，根据区域用地和消纳水平，合理确定养殖规模</w:t>
                  </w:r>
                </w:p>
                <w:p>
                  <w:pPr>
                    <w:pStyle w:val="5"/>
                    <w:spacing w:before="0" w:after="0" w:line="240" w:lineRule="auto"/>
                    <w:rPr>
                      <w:rFonts w:ascii="Times New Roman" w:hAnsi="Times New Roman"/>
                      <w:b w:val="0"/>
                      <w:bCs w:val="0"/>
                      <w:color w:val="auto"/>
                      <w:sz w:val="21"/>
                      <w:szCs w:val="21"/>
                    </w:rPr>
                  </w:pPr>
                  <w:r>
                    <w:rPr>
                      <w:rFonts w:ascii="Times New Roman" w:hAnsi="Times New Roman"/>
                      <w:b w:val="0"/>
                      <w:bCs w:val="0"/>
                      <w:color w:val="auto"/>
                      <w:sz w:val="21"/>
                      <w:szCs w:val="21"/>
                    </w:rPr>
                    <w:t>5.禁止向沙漠、滩涂、盐碱地、沼泽地等非法排污、倾倒有毒有害物质</w:t>
                  </w:r>
                </w:p>
                <w:p>
                  <w:pPr>
                    <w:pStyle w:val="53"/>
                    <w:adjustRightInd/>
                    <w:snapToGrid/>
                    <w:jc w:val="both"/>
                    <w:rPr>
                      <w:color w:val="auto"/>
                    </w:rPr>
                  </w:pPr>
                  <w:r>
                    <w:rPr>
                      <w:color w:val="auto"/>
                    </w:rPr>
                    <w:t>6.禁止利用渗坑、裂隙、溶洞或者采用稀释等方法处置危险废物</w:t>
                  </w:r>
                </w:p>
              </w:tc>
              <w:tc>
                <w:tcPr>
                  <w:tcW w:w="1640" w:type="pct"/>
                  <w:tcBorders>
                    <w:tl2br w:val="nil"/>
                    <w:tr2bl w:val="nil"/>
                  </w:tcBorders>
                  <w:vAlign w:val="center"/>
                </w:tcPr>
                <w:p>
                  <w:pPr>
                    <w:pStyle w:val="53"/>
                    <w:adjustRightInd/>
                    <w:snapToGrid/>
                    <w:rPr>
                      <w:color w:val="auto"/>
                    </w:rPr>
                  </w:pPr>
                  <w:r>
                    <w:rPr>
                      <w:color w:val="auto"/>
                    </w:rPr>
                    <w:t>本项目占地内不涉及基本农田、不占用耕地、林地、草地。</w:t>
                  </w:r>
                </w:p>
                <w:p>
                  <w:pPr>
                    <w:pStyle w:val="53"/>
                    <w:adjustRightInd/>
                    <w:snapToGrid/>
                    <w:rPr>
                      <w:color w:val="auto"/>
                    </w:rPr>
                  </w:pPr>
                  <w:r>
                    <w:rPr>
                      <w:color w:val="auto"/>
                    </w:rPr>
                    <w:t>本项目将厂区内各个区域采取分区防渗措施，在正常生产运营过程中，不存在土壤污染途径，不会对土壤环境造成影响。</w:t>
                  </w:r>
                </w:p>
                <w:p>
                  <w:pPr>
                    <w:pStyle w:val="53"/>
                    <w:adjustRightInd/>
                    <w:snapToGrid/>
                    <w:rPr>
                      <w:color w:val="auto"/>
                    </w:rPr>
                  </w:pPr>
                  <w:r>
                    <w:rPr>
                      <w:color w:val="auto"/>
                    </w:rPr>
                    <w:t>本项目为危险品仓储项目，不涉及化学品的生产，项目在运营过程中无地下水的污染途径，基本不会对地下水环境造成影响。</w:t>
                  </w:r>
                </w:p>
              </w:tc>
              <w:tc>
                <w:tcPr>
                  <w:tcW w:w="344" w:type="pct"/>
                  <w:tcBorders>
                    <w:tl2br w:val="nil"/>
                    <w:tr2bl w:val="nil"/>
                  </w:tcBorders>
                  <w:vAlign w:val="center"/>
                </w:tcPr>
                <w:p>
                  <w:pPr>
                    <w:pStyle w:val="53"/>
                    <w:adjustRightInd/>
                    <w:snapToGrid/>
                    <w:rPr>
                      <w:color w:val="auto"/>
                    </w:rPr>
                  </w:pPr>
                  <w:r>
                    <w:rPr>
                      <w:color w:val="auto"/>
                    </w:rPr>
                    <w:t>符合</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89" w:type="pct"/>
                  <w:vMerge w:val="continue"/>
                  <w:tcBorders>
                    <w:tl2br w:val="nil"/>
                    <w:tr2bl w:val="nil"/>
                  </w:tcBorders>
                  <w:vAlign w:val="center"/>
                </w:tcPr>
                <w:p>
                  <w:pPr>
                    <w:pStyle w:val="53"/>
                    <w:adjustRightInd/>
                    <w:snapToGrid/>
                    <w:rPr>
                      <w:color w:val="auto"/>
                    </w:rPr>
                  </w:pPr>
                </w:p>
              </w:tc>
              <w:tc>
                <w:tcPr>
                  <w:tcW w:w="497" w:type="pct"/>
                  <w:tcBorders>
                    <w:tl2br w:val="nil"/>
                    <w:tr2bl w:val="nil"/>
                  </w:tcBorders>
                  <w:vAlign w:val="center"/>
                </w:tcPr>
                <w:p>
                  <w:pPr>
                    <w:pStyle w:val="53"/>
                    <w:adjustRightInd/>
                    <w:snapToGrid/>
                    <w:rPr>
                      <w:color w:val="auto"/>
                    </w:rPr>
                  </w:pPr>
                  <w:r>
                    <w:rPr>
                      <w:color w:val="auto"/>
                    </w:rPr>
                    <w:t>污染物排放管控</w:t>
                  </w:r>
                </w:p>
              </w:tc>
              <w:tc>
                <w:tcPr>
                  <w:tcW w:w="2128" w:type="pct"/>
                  <w:tcBorders>
                    <w:tl2br w:val="nil"/>
                    <w:tr2bl w:val="nil"/>
                  </w:tcBorders>
                  <w:vAlign w:val="center"/>
                </w:tcPr>
                <w:p>
                  <w:pPr>
                    <w:pStyle w:val="5"/>
                    <w:spacing w:before="0" w:after="0" w:line="240" w:lineRule="auto"/>
                    <w:rPr>
                      <w:rFonts w:ascii="Times New Roman" w:hAnsi="Times New Roman"/>
                      <w:b w:val="0"/>
                      <w:bCs w:val="0"/>
                      <w:color w:val="auto"/>
                      <w:sz w:val="21"/>
                      <w:szCs w:val="21"/>
                    </w:rPr>
                  </w:pPr>
                  <w:r>
                    <w:rPr>
                      <w:rFonts w:ascii="Times New Roman" w:hAnsi="Times New Roman"/>
                      <w:b w:val="0"/>
                      <w:bCs w:val="0"/>
                      <w:color w:val="auto"/>
                      <w:sz w:val="21"/>
                      <w:szCs w:val="21"/>
                    </w:rPr>
                    <w:t>1.强化畜禽粪污资源化利用，改善养殖场通风环境，提高畜禽粪污综合利用率，减少氨挥发排放。鼓励和支持散养密集区实行畜禽粪污分户收集、集中处理。</w:t>
                  </w:r>
                </w:p>
                <w:p>
                  <w:pPr>
                    <w:pStyle w:val="5"/>
                    <w:spacing w:before="0" w:after="0" w:line="240" w:lineRule="auto"/>
                    <w:rPr>
                      <w:rFonts w:ascii="Times New Roman" w:hAnsi="Times New Roman"/>
                      <w:b w:val="0"/>
                      <w:bCs w:val="0"/>
                      <w:color w:val="auto"/>
                      <w:sz w:val="21"/>
                      <w:szCs w:val="21"/>
                    </w:rPr>
                  </w:pPr>
                  <w:r>
                    <w:rPr>
                      <w:rFonts w:ascii="Times New Roman" w:hAnsi="Times New Roman"/>
                      <w:b w:val="0"/>
                      <w:bCs w:val="0"/>
                      <w:color w:val="auto"/>
                      <w:sz w:val="21"/>
                      <w:szCs w:val="21"/>
                    </w:rPr>
                    <w:t>2.严格控制林地、草地、园地农药使用量，禁止使用高毒、高残留农药。</w:t>
                  </w:r>
                </w:p>
                <w:p>
                  <w:pPr>
                    <w:pStyle w:val="5"/>
                    <w:spacing w:before="0" w:after="0" w:line="240" w:lineRule="auto"/>
                    <w:rPr>
                      <w:rFonts w:ascii="Times New Roman" w:hAnsi="Times New Roman"/>
                      <w:b w:val="0"/>
                      <w:bCs w:val="0"/>
                      <w:color w:val="auto"/>
                      <w:sz w:val="21"/>
                      <w:szCs w:val="21"/>
                    </w:rPr>
                  </w:pPr>
                  <w:r>
                    <w:rPr>
                      <w:rFonts w:ascii="Times New Roman" w:hAnsi="Times New Roman"/>
                      <w:b w:val="0"/>
                      <w:bCs w:val="0"/>
                      <w:color w:val="auto"/>
                      <w:sz w:val="21"/>
                      <w:szCs w:val="21"/>
                    </w:rPr>
                    <w:t>3.加强种植业污染防治。深入推进化肥农药减量增效，全面推广测土配方施肥，引导推动有机肥、绿肥替代化肥，集成推广化肥减量增效技术模式，加强农药包装废弃物管理。实施农膜回收行动，健全农田废旧地膜回收利用体系，提高废旧地膜回收率。推进农作物秸秆综合利用，不断完善秸秆收储运用体系，形成布局合理、多元利用的秸秆综合利用格局。</w:t>
                  </w:r>
                </w:p>
                <w:p>
                  <w:pPr>
                    <w:pStyle w:val="5"/>
                    <w:spacing w:before="0" w:after="0" w:line="240" w:lineRule="auto"/>
                    <w:rPr>
                      <w:rFonts w:ascii="Times New Roman" w:hAnsi="Times New Roman"/>
                      <w:b w:val="0"/>
                      <w:bCs w:val="0"/>
                      <w:color w:val="auto"/>
                      <w:sz w:val="21"/>
                      <w:szCs w:val="21"/>
                    </w:rPr>
                  </w:pPr>
                  <w:r>
                    <w:rPr>
                      <w:rFonts w:ascii="Times New Roman" w:hAnsi="Times New Roman"/>
                      <w:b w:val="0"/>
                      <w:bCs w:val="0"/>
                      <w:color w:val="auto"/>
                      <w:sz w:val="21"/>
                      <w:szCs w:val="21"/>
                    </w:rPr>
                    <w:t>4.对化学品生产企业、工业集聚区、尾矿库、矿山开采区、危险废物处置场、垃圾填埋场等地下水污染源及周边区域，逐步开展地下水环境状况调查评估，加强风险管控。</w:t>
                  </w:r>
                </w:p>
                <w:p>
                  <w:pPr>
                    <w:pStyle w:val="5"/>
                    <w:spacing w:before="0" w:after="0" w:line="240" w:lineRule="auto"/>
                    <w:rPr>
                      <w:rFonts w:ascii="Times New Roman" w:hAnsi="Times New Roman"/>
                      <w:b w:val="0"/>
                      <w:bCs w:val="0"/>
                      <w:color w:val="auto"/>
                      <w:sz w:val="21"/>
                      <w:szCs w:val="21"/>
                    </w:rPr>
                  </w:pPr>
                  <w:r>
                    <w:rPr>
                      <w:rFonts w:ascii="Times New Roman" w:hAnsi="Times New Roman"/>
                      <w:b w:val="0"/>
                      <w:bCs w:val="0"/>
                      <w:color w:val="auto"/>
                      <w:sz w:val="21"/>
                      <w:szCs w:val="21"/>
                    </w:rPr>
                    <w:t>5.严控土壤重金属污染，加强油（气）田开发土壤污染防治，以历史遗留工业企业污染场地为重点，开展土壤污染风险管控与修复工程。</w:t>
                  </w:r>
                </w:p>
                <w:p>
                  <w:pPr>
                    <w:pStyle w:val="53"/>
                    <w:adjustRightInd/>
                    <w:snapToGrid/>
                    <w:rPr>
                      <w:color w:val="auto"/>
                    </w:rPr>
                  </w:pPr>
                  <w:r>
                    <w:rPr>
                      <w:color w:val="auto"/>
                    </w:rPr>
                    <w:t>6.因地制宜推进农村厕所革命，分类分区推进农村生活污水治理，全面提升农村生活垃圾治理水平，建立健全农村人居环境长效管护机制。实施化肥农药减量增效行动和农膜回收、秸秆综合利用行动。加强种养结合，整县推进畜禽粪污资源化利用。</w:t>
                  </w:r>
                </w:p>
              </w:tc>
              <w:tc>
                <w:tcPr>
                  <w:tcW w:w="1640" w:type="pct"/>
                  <w:tcBorders>
                    <w:tl2br w:val="nil"/>
                    <w:tr2bl w:val="nil"/>
                  </w:tcBorders>
                  <w:vAlign w:val="center"/>
                </w:tcPr>
                <w:p>
                  <w:pPr>
                    <w:pStyle w:val="53"/>
                    <w:adjustRightInd/>
                    <w:snapToGrid/>
                    <w:rPr>
                      <w:color w:val="auto"/>
                    </w:rPr>
                  </w:pPr>
                  <w:r>
                    <w:rPr>
                      <w:color w:val="auto"/>
                    </w:rPr>
                    <w:t>本项目为危险品仓储项目，在运营过程中无土壤污染途径，基本不会对地下水环境造成影响。</w:t>
                  </w:r>
                </w:p>
                <w:p>
                  <w:pPr>
                    <w:pStyle w:val="53"/>
                    <w:adjustRightInd/>
                    <w:snapToGrid/>
                    <w:rPr>
                      <w:color w:val="auto"/>
                    </w:rPr>
                  </w:pPr>
                  <w:r>
                    <w:rPr>
                      <w:color w:val="auto"/>
                    </w:rPr>
                    <w:t>本项目将厂区内各个区域采取分区防渗措施，在正常生产运营过程中，不存在土壤污染途径，不会对土壤环境造成影响。</w:t>
                  </w:r>
                </w:p>
              </w:tc>
              <w:tc>
                <w:tcPr>
                  <w:tcW w:w="344" w:type="pct"/>
                  <w:tcBorders>
                    <w:tl2br w:val="nil"/>
                    <w:tr2bl w:val="nil"/>
                  </w:tcBorders>
                  <w:vAlign w:val="center"/>
                </w:tcPr>
                <w:p>
                  <w:pPr>
                    <w:pStyle w:val="53"/>
                    <w:adjustRightInd/>
                    <w:snapToGrid/>
                    <w:rPr>
                      <w:color w:val="auto"/>
                    </w:rPr>
                  </w:pPr>
                  <w:r>
                    <w:rPr>
                      <w:color w:val="auto"/>
                    </w:rPr>
                    <w:t>符合</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89" w:type="pct"/>
                  <w:vMerge w:val="continue"/>
                  <w:tcBorders>
                    <w:tl2br w:val="nil"/>
                    <w:tr2bl w:val="nil"/>
                  </w:tcBorders>
                  <w:vAlign w:val="center"/>
                </w:tcPr>
                <w:p>
                  <w:pPr>
                    <w:pStyle w:val="53"/>
                    <w:adjustRightInd/>
                    <w:snapToGrid/>
                    <w:rPr>
                      <w:color w:val="auto"/>
                    </w:rPr>
                  </w:pPr>
                </w:p>
              </w:tc>
              <w:tc>
                <w:tcPr>
                  <w:tcW w:w="497" w:type="pct"/>
                  <w:tcBorders>
                    <w:tl2br w:val="nil"/>
                    <w:tr2bl w:val="nil"/>
                  </w:tcBorders>
                  <w:vAlign w:val="center"/>
                </w:tcPr>
                <w:p>
                  <w:pPr>
                    <w:pStyle w:val="53"/>
                    <w:adjustRightInd/>
                    <w:snapToGrid/>
                    <w:rPr>
                      <w:color w:val="auto"/>
                    </w:rPr>
                  </w:pPr>
                  <w:r>
                    <w:rPr>
                      <w:color w:val="auto"/>
                    </w:rPr>
                    <w:t>环境风险防控</w:t>
                  </w:r>
                </w:p>
              </w:tc>
              <w:tc>
                <w:tcPr>
                  <w:tcW w:w="2128" w:type="pct"/>
                  <w:tcBorders>
                    <w:tl2br w:val="nil"/>
                    <w:tr2bl w:val="nil"/>
                  </w:tcBorders>
                  <w:vAlign w:val="center"/>
                </w:tcPr>
                <w:p>
                  <w:pPr>
                    <w:pStyle w:val="5"/>
                    <w:spacing w:before="0" w:after="0" w:line="240" w:lineRule="auto"/>
                    <w:rPr>
                      <w:rFonts w:ascii="Times New Roman" w:hAnsi="Times New Roman"/>
                      <w:b w:val="0"/>
                      <w:bCs w:val="0"/>
                      <w:color w:val="auto"/>
                      <w:sz w:val="21"/>
                      <w:szCs w:val="21"/>
                    </w:rPr>
                  </w:pPr>
                  <w:r>
                    <w:rPr>
                      <w:rFonts w:ascii="Times New Roman" w:hAnsi="Times New Roman"/>
                      <w:b w:val="0"/>
                      <w:bCs w:val="0"/>
                      <w:color w:val="auto"/>
                      <w:sz w:val="21"/>
                      <w:szCs w:val="21"/>
                    </w:rPr>
                    <w:t>1.加强对矿山、油田等矿产资源开采影响区域内未利用地的环境监管，发现土壤污染问题的，要坚决查处，并及时督促有关单位采取有效防治措施消除或减轻污染。</w:t>
                  </w:r>
                </w:p>
                <w:p>
                  <w:pPr>
                    <w:pStyle w:val="5"/>
                    <w:spacing w:before="0" w:after="0" w:line="240" w:lineRule="auto"/>
                    <w:rPr>
                      <w:rFonts w:ascii="Times New Roman" w:hAnsi="Times New Roman"/>
                      <w:b w:val="0"/>
                      <w:bCs w:val="0"/>
                      <w:color w:val="auto"/>
                      <w:sz w:val="21"/>
                      <w:szCs w:val="21"/>
                    </w:rPr>
                  </w:pPr>
                  <w:r>
                    <w:rPr>
                      <w:rFonts w:ascii="Times New Roman" w:hAnsi="Times New Roman"/>
                      <w:b w:val="0"/>
                      <w:bCs w:val="0"/>
                      <w:color w:val="auto"/>
                      <w:sz w:val="21"/>
                      <w:szCs w:val="21"/>
                    </w:rPr>
                    <w:t>2.对排查出的危库和病库以及风险评估有严重环境安全隐患的尾矿库，要求企业完善污染治理设施、进行治理和修复。全面整治历史遗留尾矿库，完善覆膜、压土、排洪、堤坝加固等</w:t>
                  </w:r>
                </w:p>
                <w:p>
                  <w:pPr>
                    <w:pStyle w:val="5"/>
                    <w:spacing w:before="0" w:after="0" w:line="240" w:lineRule="auto"/>
                    <w:rPr>
                      <w:rFonts w:ascii="Times New Roman" w:hAnsi="Times New Roman"/>
                      <w:b w:val="0"/>
                      <w:bCs w:val="0"/>
                      <w:color w:val="auto"/>
                      <w:sz w:val="21"/>
                      <w:szCs w:val="21"/>
                    </w:rPr>
                  </w:pPr>
                  <w:r>
                    <w:rPr>
                      <w:rFonts w:ascii="Times New Roman" w:hAnsi="Times New Roman"/>
                      <w:b w:val="0"/>
                      <w:bCs w:val="0"/>
                      <w:color w:val="auto"/>
                      <w:sz w:val="21"/>
                      <w:szCs w:val="21"/>
                    </w:rPr>
                    <w:t>隐患治理和闭库措施。</w:t>
                  </w:r>
                </w:p>
                <w:p>
                  <w:pPr>
                    <w:pStyle w:val="53"/>
                    <w:adjustRightInd/>
                    <w:snapToGrid/>
                    <w:rPr>
                      <w:color w:val="auto"/>
                    </w:rPr>
                  </w:pPr>
                  <w:r>
                    <w:rPr>
                      <w:color w:val="auto"/>
                    </w:rPr>
                    <w:t>3.依法推行农用地分类管理制度，强化受污染耕地安全利用和风险管控。因地制宜制定实施安全利用方案，鼓励采取种植结构调整等措施，确保受污染耕地全部实现安全利用。</w:t>
                  </w:r>
                </w:p>
              </w:tc>
              <w:tc>
                <w:tcPr>
                  <w:tcW w:w="1640" w:type="pct"/>
                  <w:tcBorders>
                    <w:tl2br w:val="nil"/>
                    <w:tr2bl w:val="nil"/>
                  </w:tcBorders>
                  <w:vAlign w:val="center"/>
                </w:tcPr>
                <w:p>
                  <w:pPr>
                    <w:pStyle w:val="53"/>
                    <w:adjustRightInd/>
                    <w:snapToGrid/>
                    <w:rPr>
                      <w:color w:val="auto"/>
                    </w:rPr>
                  </w:pPr>
                  <w:r>
                    <w:rPr>
                      <w:color w:val="auto"/>
                    </w:rPr>
                    <w:t>本项目将厂区内各个区域采取分区防渗措施，在正常生产运营过程中，不存在土壤污染途径，不会对土壤环境造成影响。</w:t>
                  </w:r>
                </w:p>
              </w:tc>
              <w:tc>
                <w:tcPr>
                  <w:tcW w:w="344" w:type="pct"/>
                  <w:tcBorders>
                    <w:tl2br w:val="nil"/>
                    <w:tr2bl w:val="nil"/>
                  </w:tcBorders>
                  <w:vAlign w:val="center"/>
                </w:tcPr>
                <w:p>
                  <w:pPr>
                    <w:pStyle w:val="53"/>
                    <w:adjustRightInd/>
                    <w:snapToGrid/>
                    <w:rPr>
                      <w:color w:val="auto"/>
                    </w:rPr>
                  </w:pPr>
                  <w:r>
                    <w:rPr>
                      <w:color w:val="auto"/>
                    </w:rPr>
                    <w:t>符合</w:t>
                  </w:r>
                </w:p>
              </w:tc>
            </w:tr>
            <w:tr>
              <w:tblPrEx>
                <w:tblBorders>
                  <w:top w:val="single" w:color="auto" w:sz="4"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89" w:type="pct"/>
                  <w:vMerge w:val="continue"/>
                  <w:tcBorders>
                    <w:tl2br w:val="nil"/>
                    <w:tr2bl w:val="nil"/>
                  </w:tcBorders>
                  <w:vAlign w:val="center"/>
                </w:tcPr>
                <w:p>
                  <w:pPr>
                    <w:pStyle w:val="53"/>
                    <w:adjustRightInd/>
                    <w:snapToGrid/>
                    <w:rPr>
                      <w:color w:val="auto"/>
                    </w:rPr>
                  </w:pPr>
                </w:p>
              </w:tc>
              <w:tc>
                <w:tcPr>
                  <w:tcW w:w="497" w:type="pct"/>
                  <w:tcBorders>
                    <w:tl2br w:val="nil"/>
                    <w:tr2bl w:val="nil"/>
                  </w:tcBorders>
                  <w:vAlign w:val="center"/>
                </w:tcPr>
                <w:p>
                  <w:pPr>
                    <w:pStyle w:val="53"/>
                    <w:adjustRightInd/>
                    <w:snapToGrid/>
                    <w:rPr>
                      <w:color w:val="auto"/>
                    </w:rPr>
                  </w:pPr>
                  <w:r>
                    <w:rPr>
                      <w:color w:val="auto"/>
                    </w:rPr>
                    <w:t>资源利用效率</w:t>
                  </w:r>
                </w:p>
              </w:tc>
              <w:tc>
                <w:tcPr>
                  <w:tcW w:w="2128" w:type="pct"/>
                  <w:tcBorders>
                    <w:tl2br w:val="nil"/>
                    <w:tr2bl w:val="nil"/>
                  </w:tcBorders>
                  <w:vAlign w:val="center"/>
                </w:tcPr>
                <w:p>
                  <w:pPr>
                    <w:pStyle w:val="5"/>
                    <w:spacing w:before="0" w:after="0" w:line="240" w:lineRule="auto"/>
                    <w:rPr>
                      <w:rFonts w:ascii="Times New Roman" w:hAnsi="Times New Roman"/>
                      <w:b w:val="0"/>
                      <w:bCs w:val="0"/>
                      <w:color w:val="auto"/>
                      <w:sz w:val="21"/>
                      <w:szCs w:val="21"/>
                    </w:rPr>
                  </w:pPr>
                  <w:r>
                    <w:rPr>
                      <w:rFonts w:ascii="Times New Roman" w:hAnsi="Times New Roman"/>
                      <w:b w:val="0"/>
                      <w:bCs w:val="0"/>
                      <w:color w:val="auto"/>
                      <w:sz w:val="21"/>
                      <w:szCs w:val="21"/>
                    </w:rPr>
                    <w:t>1.全面推进秸秆综合利用，鼓励秸秆资源化、饲料化、肥料化利用，推动秸秆还田与离田收集。</w:t>
                  </w:r>
                </w:p>
                <w:p>
                  <w:pPr>
                    <w:pStyle w:val="5"/>
                    <w:spacing w:before="0" w:after="0" w:line="240" w:lineRule="auto"/>
                    <w:rPr>
                      <w:rFonts w:ascii="Times New Roman" w:hAnsi="Times New Roman"/>
                      <w:b w:val="0"/>
                      <w:bCs w:val="0"/>
                      <w:color w:val="auto"/>
                      <w:sz w:val="21"/>
                      <w:szCs w:val="21"/>
                    </w:rPr>
                  </w:pPr>
                  <w:r>
                    <w:rPr>
                      <w:rFonts w:ascii="Times New Roman" w:hAnsi="Times New Roman"/>
                      <w:b w:val="0"/>
                      <w:bCs w:val="0"/>
                      <w:color w:val="auto"/>
                      <w:sz w:val="21"/>
                      <w:szCs w:val="21"/>
                    </w:rPr>
                    <w:t>2.减少化肥农药使用量，增加有机肥使用量，实现化肥农药使用量负增长。</w:t>
                  </w:r>
                </w:p>
                <w:p>
                  <w:pPr>
                    <w:pStyle w:val="53"/>
                    <w:adjustRightInd/>
                    <w:snapToGrid/>
                    <w:rPr>
                      <w:color w:val="auto"/>
                    </w:rPr>
                  </w:pPr>
                  <w:r>
                    <w:rPr>
                      <w:color w:val="auto"/>
                    </w:rPr>
                    <w:t>3.推广渠道防渗、管道输水、喷灌、微灌等节水灌溉技术，完善灌溉用水计量设施。推进规模化高效节水灌溉，推广农作物节水抗旱技术。建立灌区墒情测报网络，提高农业用水效率，降低农业用水比重。</w:t>
                  </w:r>
                </w:p>
              </w:tc>
              <w:tc>
                <w:tcPr>
                  <w:tcW w:w="1640" w:type="pct"/>
                  <w:tcBorders>
                    <w:tl2br w:val="nil"/>
                    <w:tr2bl w:val="nil"/>
                  </w:tcBorders>
                  <w:vAlign w:val="center"/>
                </w:tcPr>
                <w:p>
                  <w:pPr>
                    <w:pStyle w:val="53"/>
                    <w:adjustRightInd/>
                    <w:snapToGrid/>
                    <w:rPr>
                      <w:color w:val="auto"/>
                    </w:rPr>
                  </w:pPr>
                  <w:r>
                    <w:rPr>
                      <w:color w:val="auto"/>
                    </w:rPr>
                    <w:t>项目生活污水排入化粪池后，定期拉运至尉犁县城镇污水处理厂；生活垃圾集中收集后由环卫部门定期清运。项目生活垃圾及生活污水均有效处置，不会对项目所在区域环境造成影响。</w:t>
                  </w:r>
                </w:p>
              </w:tc>
              <w:tc>
                <w:tcPr>
                  <w:tcW w:w="344" w:type="pct"/>
                  <w:tcBorders>
                    <w:tl2br w:val="nil"/>
                    <w:tr2bl w:val="nil"/>
                  </w:tcBorders>
                  <w:vAlign w:val="center"/>
                </w:tcPr>
                <w:p>
                  <w:pPr>
                    <w:pStyle w:val="53"/>
                    <w:adjustRightInd/>
                    <w:snapToGrid/>
                    <w:rPr>
                      <w:color w:val="auto"/>
                    </w:rPr>
                  </w:pPr>
                  <w:r>
                    <w:rPr>
                      <w:color w:val="auto"/>
                    </w:rPr>
                    <w:t>符合</w:t>
                  </w:r>
                </w:p>
              </w:tc>
            </w:tr>
          </w:tbl>
          <w:p>
            <w:pPr>
              <w:widowControl/>
              <w:spacing w:line="360" w:lineRule="auto"/>
              <w:jc w:val="left"/>
              <w:rPr>
                <w:b/>
                <w:color w:val="auto"/>
                <w:kern w:val="0"/>
                <w:sz w:val="24"/>
              </w:rPr>
            </w:pPr>
            <w:r>
              <w:rPr>
                <w:b/>
                <w:color w:val="auto"/>
                <w:kern w:val="0"/>
                <w:sz w:val="24"/>
              </w:rPr>
              <w:t>4、</w:t>
            </w:r>
            <w:r>
              <w:rPr>
                <w:b/>
                <w:bCs/>
                <w:color w:val="auto"/>
                <w:kern w:val="0"/>
                <w:sz w:val="24"/>
              </w:rPr>
              <w:t>与《烟花爆竹工程设计安全标准》（GB50161-2022）符合性分析</w:t>
            </w:r>
          </w:p>
          <w:p>
            <w:pPr>
              <w:spacing w:line="520" w:lineRule="exact"/>
              <w:ind w:firstLine="480" w:firstLineChars="200"/>
              <w:rPr>
                <w:color w:val="auto"/>
                <w:kern w:val="0"/>
                <w:sz w:val="24"/>
              </w:rPr>
            </w:pPr>
            <w:r>
              <w:rPr>
                <w:color w:val="auto"/>
                <w:kern w:val="0"/>
                <w:sz w:val="24"/>
              </w:rPr>
              <w:t>根据《烟花爆竹工程设计安全标准》（GB50161-2022）要求，仓库外部距离见表1-</w:t>
            </w:r>
            <w:r>
              <w:rPr>
                <w:rFonts w:hint="eastAsia"/>
                <w:color w:val="auto"/>
                <w:kern w:val="0"/>
                <w:sz w:val="24"/>
              </w:rPr>
              <w:t>4</w:t>
            </w:r>
            <w:r>
              <w:rPr>
                <w:color w:val="auto"/>
                <w:kern w:val="0"/>
                <w:sz w:val="24"/>
              </w:rPr>
              <w:t>，仓库外部距离满足《烟花爆竹工程设计安全标准》（GB50161-2022）相关要求。</w:t>
            </w:r>
          </w:p>
          <w:p>
            <w:pPr>
              <w:pStyle w:val="52"/>
              <w:rPr>
                <w:color w:val="auto"/>
              </w:rPr>
            </w:pPr>
            <w:r>
              <w:rPr>
                <w:color w:val="auto"/>
              </w:rPr>
              <w:t>表1-4  1.3级仓库外部距离表（m）</w:t>
            </w:r>
          </w:p>
          <w:tbl>
            <w:tblPr>
              <w:tblStyle w:val="27"/>
              <w:tblW w:w="4997"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7"/>
              <w:gridCol w:w="3174"/>
              <w:gridCol w:w="1113"/>
              <w:gridCol w:w="1155"/>
              <w:gridCol w:w="121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01" w:type="pct"/>
                  <w:vMerge w:val="restart"/>
                  <w:tcBorders>
                    <w:tl2br w:val="nil"/>
                    <w:tr2bl w:val="nil"/>
                  </w:tcBorders>
                  <w:vAlign w:val="center"/>
                </w:tcPr>
                <w:p>
                  <w:pPr>
                    <w:pStyle w:val="53"/>
                    <w:adjustRightInd/>
                    <w:snapToGrid/>
                    <w:spacing w:line="300" w:lineRule="exact"/>
                    <w:rPr>
                      <w:color w:val="auto"/>
                    </w:rPr>
                  </w:pPr>
                  <w:r>
                    <w:rPr>
                      <w:color w:val="auto"/>
                    </w:rPr>
                    <w:t>序号</w:t>
                  </w:r>
                </w:p>
              </w:tc>
              <w:tc>
                <w:tcPr>
                  <w:tcW w:w="3027" w:type="pct"/>
                  <w:gridSpan w:val="2"/>
                  <w:tcBorders>
                    <w:tl2br w:val="nil"/>
                    <w:tr2bl w:val="nil"/>
                  </w:tcBorders>
                  <w:vAlign w:val="center"/>
                </w:tcPr>
                <w:p>
                  <w:pPr>
                    <w:pStyle w:val="53"/>
                    <w:adjustRightInd/>
                    <w:snapToGrid/>
                    <w:spacing w:line="300" w:lineRule="exact"/>
                    <w:rPr>
                      <w:color w:val="auto"/>
                    </w:rPr>
                  </w:pPr>
                  <w:r>
                    <w:rPr>
                      <w:rFonts w:hint="eastAsia"/>
                      <w:color w:val="auto"/>
                    </w:rPr>
                    <w:t>文件要求</w:t>
                  </w:r>
                </w:p>
              </w:tc>
              <w:tc>
                <w:tcPr>
                  <w:tcW w:w="1671" w:type="pct"/>
                  <w:gridSpan w:val="2"/>
                  <w:tcBorders>
                    <w:tl2br w:val="nil"/>
                    <w:tr2bl w:val="nil"/>
                  </w:tcBorders>
                  <w:vAlign w:val="center"/>
                </w:tcPr>
                <w:p>
                  <w:pPr>
                    <w:pStyle w:val="53"/>
                    <w:adjustRightInd/>
                    <w:snapToGrid/>
                    <w:spacing w:line="300" w:lineRule="exact"/>
                    <w:rPr>
                      <w:color w:val="auto"/>
                    </w:rPr>
                  </w:pPr>
                  <w:r>
                    <w:rPr>
                      <w:rFonts w:hint="eastAsia"/>
                      <w:color w:val="auto"/>
                    </w:rPr>
                    <w:t>本项目建设情况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01" w:type="pct"/>
                  <w:vMerge w:val="continue"/>
                  <w:tcBorders>
                    <w:tl2br w:val="nil"/>
                    <w:tr2bl w:val="nil"/>
                  </w:tcBorders>
                  <w:vAlign w:val="center"/>
                </w:tcPr>
                <w:p>
                  <w:pPr>
                    <w:pStyle w:val="53"/>
                    <w:adjustRightInd/>
                    <w:snapToGrid/>
                    <w:spacing w:line="300" w:lineRule="exact"/>
                    <w:rPr>
                      <w:color w:val="auto"/>
                    </w:rPr>
                  </w:pPr>
                </w:p>
              </w:tc>
              <w:tc>
                <w:tcPr>
                  <w:tcW w:w="2241" w:type="pct"/>
                  <w:tcBorders>
                    <w:tl2br w:val="nil"/>
                    <w:tr2bl w:val="nil"/>
                  </w:tcBorders>
                  <w:vAlign w:val="center"/>
                </w:tcPr>
                <w:p>
                  <w:pPr>
                    <w:pStyle w:val="53"/>
                    <w:adjustRightInd/>
                    <w:snapToGrid/>
                    <w:spacing w:line="300" w:lineRule="exact"/>
                    <w:rPr>
                      <w:color w:val="auto"/>
                    </w:rPr>
                  </w:pPr>
                  <w:r>
                    <w:rPr>
                      <w:color w:val="auto"/>
                    </w:rPr>
                    <w:t>项目</w:t>
                  </w:r>
                </w:p>
              </w:tc>
              <w:tc>
                <w:tcPr>
                  <w:tcW w:w="786" w:type="pct"/>
                  <w:tcBorders>
                    <w:tl2br w:val="nil"/>
                    <w:tr2bl w:val="nil"/>
                  </w:tcBorders>
                  <w:vAlign w:val="center"/>
                </w:tcPr>
                <w:p>
                  <w:pPr>
                    <w:pStyle w:val="53"/>
                    <w:adjustRightInd/>
                    <w:snapToGrid/>
                    <w:spacing w:line="300" w:lineRule="exact"/>
                    <w:rPr>
                      <w:color w:val="auto"/>
                    </w:rPr>
                  </w:pPr>
                  <w:r>
                    <w:rPr>
                      <w:color w:val="auto"/>
                    </w:rPr>
                    <w:t>最小距离（m）</w:t>
                  </w:r>
                </w:p>
              </w:tc>
              <w:tc>
                <w:tcPr>
                  <w:tcW w:w="816" w:type="pct"/>
                  <w:tcBorders>
                    <w:tl2br w:val="nil"/>
                    <w:tr2bl w:val="nil"/>
                  </w:tcBorders>
                  <w:vAlign w:val="center"/>
                </w:tcPr>
                <w:p>
                  <w:pPr>
                    <w:pStyle w:val="53"/>
                    <w:adjustRightInd/>
                    <w:snapToGrid/>
                    <w:spacing w:line="300" w:lineRule="exact"/>
                    <w:rPr>
                      <w:color w:val="auto"/>
                    </w:rPr>
                  </w:pPr>
                  <w:r>
                    <w:rPr>
                      <w:color w:val="auto"/>
                    </w:rPr>
                    <w:t>1#仓库（1.3级，10t）</w:t>
                  </w:r>
                </w:p>
              </w:tc>
              <w:tc>
                <w:tcPr>
                  <w:tcW w:w="855" w:type="pct"/>
                  <w:tcBorders>
                    <w:tl2br w:val="nil"/>
                    <w:tr2bl w:val="nil"/>
                  </w:tcBorders>
                  <w:vAlign w:val="center"/>
                </w:tcPr>
                <w:p>
                  <w:pPr>
                    <w:pStyle w:val="53"/>
                    <w:adjustRightInd/>
                    <w:snapToGrid/>
                    <w:spacing w:line="300" w:lineRule="exact"/>
                    <w:rPr>
                      <w:color w:val="auto"/>
                    </w:rPr>
                  </w:pPr>
                  <w:r>
                    <w:rPr>
                      <w:color w:val="auto"/>
                    </w:rPr>
                    <w:t>2#仓库（1.3级，10t）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1" w:type="pct"/>
                  <w:tcBorders>
                    <w:tl2br w:val="nil"/>
                    <w:tr2bl w:val="nil"/>
                  </w:tcBorders>
                  <w:vAlign w:val="center"/>
                </w:tcPr>
                <w:p>
                  <w:pPr>
                    <w:pStyle w:val="53"/>
                    <w:adjustRightInd/>
                    <w:snapToGrid/>
                    <w:spacing w:line="300" w:lineRule="exact"/>
                    <w:rPr>
                      <w:color w:val="auto"/>
                    </w:rPr>
                  </w:pPr>
                  <w:r>
                    <w:rPr>
                      <w:color w:val="auto"/>
                    </w:rPr>
                    <w:t>1</w:t>
                  </w:r>
                </w:p>
              </w:tc>
              <w:tc>
                <w:tcPr>
                  <w:tcW w:w="2241" w:type="pct"/>
                  <w:tcBorders>
                    <w:tl2br w:val="nil"/>
                    <w:tr2bl w:val="nil"/>
                  </w:tcBorders>
                  <w:vAlign w:val="center"/>
                </w:tcPr>
                <w:p>
                  <w:pPr>
                    <w:pStyle w:val="53"/>
                    <w:adjustRightInd/>
                    <w:snapToGrid/>
                    <w:spacing w:line="300" w:lineRule="exact"/>
                    <w:rPr>
                      <w:color w:val="auto"/>
                    </w:rPr>
                  </w:pPr>
                  <w:r>
                    <w:rPr>
                      <w:color w:val="auto"/>
                    </w:rPr>
                    <w:t>人数小于或等于50人或户数小于或等于10户的零散住户边缘、职工总数小于或等于50人的企业围墙、本企业生产区建（构）筑物边缘、无摘挂作业铁路中间站界及建筑物边缘、110kV架空输电线路</w:t>
                  </w:r>
                </w:p>
              </w:tc>
              <w:tc>
                <w:tcPr>
                  <w:tcW w:w="786" w:type="pct"/>
                  <w:tcBorders>
                    <w:tl2br w:val="nil"/>
                    <w:tr2bl w:val="nil"/>
                  </w:tcBorders>
                  <w:vAlign w:val="center"/>
                </w:tcPr>
                <w:p>
                  <w:pPr>
                    <w:pStyle w:val="53"/>
                    <w:adjustRightInd/>
                    <w:snapToGrid/>
                    <w:spacing w:line="300" w:lineRule="exact"/>
                    <w:rPr>
                      <w:color w:val="auto"/>
                    </w:rPr>
                  </w:pPr>
                  <w:r>
                    <w:rPr>
                      <w:color w:val="auto"/>
                    </w:rPr>
                    <w:t>78</w:t>
                  </w:r>
                </w:p>
              </w:tc>
              <w:tc>
                <w:tcPr>
                  <w:tcW w:w="816" w:type="pct"/>
                  <w:tcBorders>
                    <w:tl2br w:val="nil"/>
                    <w:tr2bl w:val="nil"/>
                  </w:tcBorders>
                  <w:vAlign w:val="center"/>
                </w:tcPr>
                <w:p>
                  <w:pPr>
                    <w:pStyle w:val="53"/>
                    <w:adjustRightInd/>
                    <w:snapToGrid/>
                    <w:spacing w:line="300" w:lineRule="exact"/>
                    <w:rPr>
                      <w:color w:val="auto"/>
                    </w:rPr>
                  </w:pPr>
                  <w:r>
                    <w:rPr>
                      <w:color w:val="auto"/>
                    </w:rPr>
                    <w:t>东面10kV高压电力线102m</w:t>
                  </w:r>
                </w:p>
              </w:tc>
              <w:tc>
                <w:tcPr>
                  <w:tcW w:w="855" w:type="pct"/>
                  <w:tcBorders>
                    <w:tl2br w:val="nil"/>
                    <w:tr2bl w:val="nil"/>
                  </w:tcBorders>
                  <w:vAlign w:val="center"/>
                </w:tcPr>
                <w:p>
                  <w:pPr>
                    <w:pStyle w:val="53"/>
                    <w:adjustRightInd/>
                    <w:snapToGrid/>
                    <w:spacing w:line="300" w:lineRule="exact"/>
                    <w:rPr>
                      <w:color w:val="auto"/>
                    </w:rPr>
                  </w:pPr>
                  <w:r>
                    <w:rPr>
                      <w:color w:val="auto"/>
                    </w:rPr>
                    <w:t>东面10kV高压电力线119m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01" w:type="pct"/>
                  <w:tcBorders>
                    <w:tl2br w:val="nil"/>
                    <w:tr2bl w:val="nil"/>
                  </w:tcBorders>
                  <w:vAlign w:val="center"/>
                </w:tcPr>
                <w:p>
                  <w:pPr>
                    <w:pStyle w:val="53"/>
                    <w:adjustRightInd/>
                    <w:snapToGrid/>
                    <w:spacing w:line="300" w:lineRule="exact"/>
                    <w:rPr>
                      <w:color w:val="auto"/>
                    </w:rPr>
                  </w:pPr>
                  <w:r>
                    <w:rPr>
                      <w:color w:val="auto"/>
                    </w:rPr>
                    <w:t>2</w:t>
                  </w:r>
                </w:p>
              </w:tc>
              <w:tc>
                <w:tcPr>
                  <w:tcW w:w="2241" w:type="pct"/>
                  <w:tcBorders>
                    <w:tl2br w:val="nil"/>
                    <w:tr2bl w:val="nil"/>
                  </w:tcBorders>
                  <w:vAlign w:val="center"/>
                </w:tcPr>
                <w:p>
                  <w:pPr>
                    <w:pStyle w:val="53"/>
                    <w:adjustRightInd/>
                    <w:snapToGrid/>
                    <w:spacing w:line="300" w:lineRule="exact"/>
                    <w:rPr>
                      <w:color w:val="auto"/>
                    </w:rPr>
                  </w:pPr>
                  <w:r>
                    <w:rPr>
                      <w:color w:val="auto"/>
                    </w:rPr>
                    <w:t>人数大于50人的居民点边缘、职工人数大于50人的企业围墙、有摘挂作业的铁路车站站界及建筑物边缘、110kV区域变电站围墙、220kV架空输电线路</w:t>
                  </w:r>
                </w:p>
              </w:tc>
              <w:tc>
                <w:tcPr>
                  <w:tcW w:w="786" w:type="pct"/>
                  <w:tcBorders>
                    <w:tl2br w:val="nil"/>
                    <w:tr2bl w:val="nil"/>
                  </w:tcBorders>
                  <w:vAlign w:val="center"/>
                </w:tcPr>
                <w:p>
                  <w:pPr>
                    <w:pStyle w:val="53"/>
                    <w:adjustRightInd/>
                    <w:snapToGrid/>
                    <w:spacing w:line="300" w:lineRule="exact"/>
                    <w:rPr>
                      <w:color w:val="auto"/>
                    </w:rPr>
                  </w:pPr>
                  <w:r>
                    <w:rPr>
                      <w:color w:val="auto"/>
                    </w:rPr>
                    <w:t>110</w:t>
                  </w:r>
                </w:p>
              </w:tc>
              <w:tc>
                <w:tcPr>
                  <w:tcW w:w="816" w:type="pct"/>
                  <w:tcBorders>
                    <w:tl2br w:val="nil"/>
                    <w:tr2bl w:val="nil"/>
                  </w:tcBorders>
                  <w:vAlign w:val="center"/>
                </w:tcPr>
                <w:p>
                  <w:pPr>
                    <w:pStyle w:val="53"/>
                    <w:adjustRightInd/>
                    <w:snapToGrid/>
                    <w:spacing w:line="300" w:lineRule="exact"/>
                    <w:rPr>
                      <w:color w:val="auto"/>
                    </w:rPr>
                  </w:pPr>
                  <w:r>
                    <w:rPr>
                      <w:color w:val="auto"/>
                    </w:rPr>
                    <w:t>无</w:t>
                  </w:r>
                </w:p>
              </w:tc>
              <w:tc>
                <w:tcPr>
                  <w:tcW w:w="855" w:type="pct"/>
                  <w:tcBorders>
                    <w:tl2br w:val="nil"/>
                    <w:tr2bl w:val="nil"/>
                  </w:tcBorders>
                  <w:vAlign w:val="center"/>
                </w:tcPr>
                <w:p>
                  <w:pPr>
                    <w:pStyle w:val="53"/>
                    <w:adjustRightInd/>
                    <w:snapToGrid/>
                    <w:spacing w:line="300" w:lineRule="exact"/>
                    <w:rPr>
                      <w:color w:val="auto"/>
                    </w:rPr>
                  </w:pPr>
                  <w:r>
                    <w:rPr>
                      <w:color w:val="auto"/>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01" w:type="pct"/>
                  <w:tcBorders>
                    <w:tl2br w:val="nil"/>
                    <w:tr2bl w:val="nil"/>
                  </w:tcBorders>
                  <w:vAlign w:val="center"/>
                </w:tcPr>
                <w:p>
                  <w:pPr>
                    <w:pStyle w:val="53"/>
                    <w:adjustRightInd/>
                    <w:snapToGrid/>
                    <w:spacing w:line="300" w:lineRule="exact"/>
                    <w:rPr>
                      <w:color w:val="auto"/>
                    </w:rPr>
                  </w:pPr>
                  <w:r>
                    <w:rPr>
                      <w:color w:val="auto"/>
                    </w:rPr>
                    <w:t>3</w:t>
                  </w:r>
                </w:p>
              </w:tc>
              <w:tc>
                <w:tcPr>
                  <w:tcW w:w="2241" w:type="pct"/>
                  <w:tcBorders>
                    <w:tl2br w:val="nil"/>
                    <w:tr2bl w:val="nil"/>
                  </w:tcBorders>
                  <w:vAlign w:val="center"/>
                </w:tcPr>
                <w:p>
                  <w:pPr>
                    <w:pStyle w:val="53"/>
                    <w:adjustRightInd/>
                    <w:snapToGrid/>
                    <w:spacing w:line="300" w:lineRule="exact"/>
                    <w:rPr>
                      <w:color w:val="auto"/>
                    </w:rPr>
                  </w:pPr>
                  <w:r>
                    <w:rPr>
                      <w:color w:val="auto"/>
                    </w:rPr>
                    <w:t>城镇规划边缘、学校220kV及以上的区域变电站围墙、220kV以上的架空输电线路</w:t>
                  </w:r>
                </w:p>
              </w:tc>
              <w:tc>
                <w:tcPr>
                  <w:tcW w:w="786" w:type="pct"/>
                  <w:tcBorders>
                    <w:tl2br w:val="nil"/>
                    <w:tr2bl w:val="nil"/>
                  </w:tcBorders>
                  <w:vAlign w:val="center"/>
                </w:tcPr>
                <w:p>
                  <w:pPr>
                    <w:pStyle w:val="53"/>
                    <w:adjustRightInd/>
                    <w:snapToGrid/>
                    <w:spacing w:line="300" w:lineRule="exact"/>
                    <w:rPr>
                      <w:color w:val="auto"/>
                    </w:rPr>
                  </w:pPr>
                  <w:r>
                    <w:rPr>
                      <w:color w:val="auto"/>
                    </w:rPr>
                    <w:t>190</w:t>
                  </w:r>
                </w:p>
              </w:tc>
              <w:tc>
                <w:tcPr>
                  <w:tcW w:w="816" w:type="pct"/>
                  <w:tcBorders>
                    <w:tl2br w:val="nil"/>
                    <w:tr2bl w:val="nil"/>
                  </w:tcBorders>
                  <w:vAlign w:val="center"/>
                </w:tcPr>
                <w:p>
                  <w:pPr>
                    <w:pStyle w:val="53"/>
                    <w:adjustRightInd/>
                    <w:snapToGrid/>
                    <w:spacing w:line="300" w:lineRule="exact"/>
                    <w:rPr>
                      <w:color w:val="auto"/>
                    </w:rPr>
                  </w:pPr>
                  <w:r>
                    <w:rPr>
                      <w:color w:val="auto"/>
                    </w:rPr>
                    <w:t>无</w:t>
                  </w:r>
                </w:p>
              </w:tc>
              <w:tc>
                <w:tcPr>
                  <w:tcW w:w="855" w:type="pct"/>
                  <w:tcBorders>
                    <w:tl2br w:val="nil"/>
                    <w:tr2bl w:val="nil"/>
                  </w:tcBorders>
                  <w:vAlign w:val="center"/>
                </w:tcPr>
                <w:p>
                  <w:pPr>
                    <w:pStyle w:val="53"/>
                    <w:adjustRightInd/>
                    <w:snapToGrid/>
                    <w:spacing w:line="300" w:lineRule="exact"/>
                    <w:rPr>
                      <w:color w:val="auto"/>
                    </w:rPr>
                  </w:pPr>
                  <w:r>
                    <w:rPr>
                      <w:color w:val="auto"/>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301" w:type="pct"/>
                  <w:tcBorders>
                    <w:tl2br w:val="nil"/>
                    <w:tr2bl w:val="nil"/>
                  </w:tcBorders>
                  <w:vAlign w:val="center"/>
                </w:tcPr>
                <w:p>
                  <w:pPr>
                    <w:pStyle w:val="53"/>
                    <w:adjustRightInd/>
                    <w:snapToGrid/>
                    <w:spacing w:line="300" w:lineRule="exact"/>
                    <w:rPr>
                      <w:color w:val="auto"/>
                    </w:rPr>
                  </w:pPr>
                  <w:r>
                    <w:rPr>
                      <w:color w:val="auto"/>
                    </w:rPr>
                    <w:t>4</w:t>
                  </w:r>
                </w:p>
              </w:tc>
              <w:tc>
                <w:tcPr>
                  <w:tcW w:w="2241" w:type="pct"/>
                  <w:tcBorders>
                    <w:tl2br w:val="nil"/>
                    <w:tr2bl w:val="nil"/>
                  </w:tcBorders>
                  <w:vAlign w:val="center"/>
                </w:tcPr>
                <w:p>
                  <w:pPr>
                    <w:pStyle w:val="53"/>
                    <w:adjustRightInd/>
                    <w:snapToGrid/>
                    <w:spacing w:line="300" w:lineRule="exact"/>
                    <w:rPr>
                      <w:color w:val="auto"/>
                    </w:rPr>
                  </w:pPr>
                  <w:r>
                    <w:rPr>
                      <w:color w:val="auto"/>
                    </w:rPr>
                    <w:t>国家铁路线、省级以上公路用地外缘、通航的河流航道边缘</w:t>
                  </w:r>
                </w:p>
              </w:tc>
              <w:tc>
                <w:tcPr>
                  <w:tcW w:w="786" w:type="pct"/>
                  <w:tcBorders>
                    <w:tl2br w:val="nil"/>
                    <w:tr2bl w:val="nil"/>
                  </w:tcBorders>
                  <w:vAlign w:val="center"/>
                </w:tcPr>
                <w:p>
                  <w:pPr>
                    <w:pStyle w:val="53"/>
                    <w:adjustRightInd/>
                    <w:snapToGrid/>
                    <w:spacing w:line="300" w:lineRule="exact"/>
                    <w:rPr>
                      <w:color w:val="auto"/>
                    </w:rPr>
                  </w:pPr>
                  <w:r>
                    <w:rPr>
                      <w:color w:val="auto"/>
                    </w:rPr>
                    <w:t>55</w:t>
                  </w:r>
                </w:p>
              </w:tc>
              <w:tc>
                <w:tcPr>
                  <w:tcW w:w="816" w:type="pct"/>
                  <w:tcBorders>
                    <w:tl2br w:val="nil"/>
                    <w:tr2bl w:val="nil"/>
                  </w:tcBorders>
                  <w:vAlign w:val="center"/>
                </w:tcPr>
                <w:p>
                  <w:pPr>
                    <w:pStyle w:val="53"/>
                    <w:adjustRightInd/>
                    <w:snapToGrid/>
                    <w:spacing w:line="300" w:lineRule="exact"/>
                    <w:rPr>
                      <w:color w:val="auto"/>
                    </w:rPr>
                  </w:pPr>
                  <w:r>
                    <w:rPr>
                      <w:color w:val="auto"/>
                    </w:rPr>
                    <w:t>无</w:t>
                  </w:r>
                </w:p>
              </w:tc>
              <w:tc>
                <w:tcPr>
                  <w:tcW w:w="855" w:type="pct"/>
                  <w:tcBorders>
                    <w:tl2br w:val="nil"/>
                    <w:tr2bl w:val="nil"/>
                  </w:tcBorders>
                  <w:vAlign w:val="center"/>
                </w:tcPr>
                <w:p>
                  <w:pPr>
                    <w:pStyle w:val="53"/>
                    <w:adjustRightInd/>
                    <w:snapToGrid/>
                    <w:spacing w:line="300" w:lineRule="exact"/>
                    <w:rPr>
                      <w:color w:val="auto"/>
                    </w:rPr>
                  </w:pPr>
                  <w:r>
                    <w:rPr>
                      <w:color w:val="auto"/>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01" w:type="pct"/>
                  <w:tcBorders>
                    <w:tl2br w:val="nil"/>
                    <w:tr2bl w:val="nil"/>
                  </w:tcBorders>
                  <w:vAlign w:val="center"/>
                </w:tcPr>
                <w:p>
                  <w:pPr>
                    <w:pStyle w:val="53"/>
                    <w:adjustRightInd/>
                    <w:snapToGrid/>
                    <w:spacing w:line="300" w:lineRule="exact"/>
                    <w:rPr>
                      <w:color w:val="auto"/>
                    </w:rPr>
                  </w:pPr>
                  <w:r>
                    <w:rPr>
                      <w:color w:val="auto"/>
                    </w:rPr>
                    <w:t>5</w:t>
                  </w:r>
                </w:p>
              </w:tc>
              <w:tc>
                <w:tcPr>
                  <w:tcW w:w="2241" w:type="pct"/>
                  <w:tcBorders>
                    <w:tl2br w:val="nil"/>
                    <w:tr2bl w:val="nil"/>
                  </w:tcBorders>
                  <w:vAlign w:val="center"/>
                </w:tcPr>
                <w:p>
                  <w:pPr>
                    <w:pStyle w:val="53"/>
                    <w:adjustRightInd/>
                    <w:snapToGrid/>
                    <w:spacing w:line="300" w:lineRule="exact"/>
                    <w:rPr>
                      <w:color w:val="auto"/>
                    </w:rPr>
                  </w:pPr>
                  <w:r>
                    <w:rPr>
                      <w:color w:val="auto"/>
                    </w:rPr>
                    <w:t>非本厂的工厂铁路支线、县级公路用地外缘、35kV架空输电线路</w:t>
                  </w:r>
                </w:p>
              </w:tc>
              <w:tc>
                <w:tcPr>
                  <w:tcW w:w="786" w:type="pct"/>
                  <w:tcBorders>
                    <w:tl2br w:val="nil"/>
                    <w:tr2bl w:val="nil"/>
                  </w:tcBorders>
                  <w:vAlign w:val="center"/>
                </w:tcPr>
                <w:p>
                  <w:pPr>
                    <w:pStyle w:val="53"/>
                    <w:adjustRightInd/>
                    <w:snapToGrid/>
                    <w:spacing w:line="300" w:lineRule="exact"/>
                    <w:rPr>
                      <w:color w:val="auto"/>
                    </w:rPr>
                  </w:pPr>
                  <w:r>
                    <w:rPr>
                      <w:color w:val="auto"/>
                    </w:rPr>
                    <w:t>55</w:t>
                  </w:r>
                </w:p>
              </w:tc>
              <w:tc>
                <w:tcPr>
                  <w:tcW w:w="816" w:type="pct"/>
                  <w:tcBorders>
                    <w:tl2br w:val="nil"/>
                    <w:tr2bl w:val="nil"/>
                  </w:tcBorders>
                  <w:vAlign w:val="center"/>
                </w:tcPr>
                <w:p>
                  <w:pPr>
                    <w:pStyle w:val="53"/>
                    <w:adjustRightInd/>
                    <w:snapToGrid/>
                    <w:spacing w:line="300" w:lineRule="exact"/>
                    <w:rPr>
                      <w:color w:val="auto"/>
                    </w:rPr>
                  </w:pPr>
                  <w:r>
                    <w:rPr>
                      <w:color w:val="auto"/>
                    </w:rPr>
                    <w:t>无</w:t>
                  </w:r>
                </w:p>
              </w:tc>
              <w:tc>
                <w:tcPr>
                  <w:tcW w:w="855" w:type="pct"/>
                  <w:tcBorders>
                    <w:tl2br w:val="nil"/>
                    <w:tr2bl w:val="nil"/>
                  </w:tcBorders>
                  <w:vAlign w:val="center"/>
                </w:tcPr>
                <w:p>
                  <w:pPr>
                    <w:pStyle w:val="53"/>
                    <w:adjustRightInd/>
                    <w:snapToGrid/>
                    <w:spacing w:line="300" w:lineRule="exact"/>
                    <w:rPr>
                      <w:color w:val="auto"/>
                    </w:rPr>
                  </w:pPr>
                  <w:r>
                    <w:rPr>
                      <w:color w:val="auto"/>
                    </w:rPr>
                    <w:t>无</w:t>
                  </w:r>
                </w:p>
              </w:tc>
            </w:tr>
          </w:tbl>
          <w:p>
            <w:pPr>
              <w:pStyle w:val="53"/>
              <w:adjustRightInd/>
              <w:snapToGrid/>
              <w:spacing w:line="300" w:lineRule="exact"/>
              <w:jc w:val="both"/>
              <w:rPr>
                <w:color w:val="auto"/>
              </w:rPr>
            </w:pPr>
            <w:r>
              <w:rPr>
                <w:color w:val="auto"/>
              </w:rPr>
              <w:t>注：1）实际距离为评价人员依据Google Earh 影像图上量取，并经评价组现场核实的距离；规范规定距离是《烟花爆竹工程设计安全标准》（GB50161-2022)表4.3.3规定的外部最小允许距离；</w:t>
            </w:r>
          </w:p>
          <w:p>
            <w:pPr>
              <w:numPr>
                <w:ilvl w:val="0"/>
                <w:numId w:val="3"/>
              </w:numPr>
              <w:autoSpaceDE w:val="0"/>
              <w:autoSpaceDN w:val="0"/>
              <w:spacing w:line="520" w:lineRule="exact"/>
              <w:rPr>
                <w:color w:val="auto"/>
              </w:rPr>
            </w:pPr>
            <w:r>
              <w:rPr>
                <w:color w:val="auto"/>
              </w:rPr>
              <w:t>表中“无”表示项目区附近未见相应建筑物或设施。</w:t>
            </w:r>
          </w:p>
          <w:p>
            <w:pPr>
              <w:pStyle w:val="7"/>
              <w:ind w:firstLine="0"/>
              <w:rPr>
                <w:rFonts w:ascii="Times New Roman" w:hAnsi="Times New Roman"/>
                <w:color w:val="auto"/>
              </w:rPr>
            </w:pPr>
          </w:p>
          <w:p>
            <w:pPr>
              <w:widowControl/>
              <w:spacing w:line="360" w:lineRule="auto"/>
              <w:jc w:val="left"/>
              <w:rPr>
                <w:b/>
                <w:bCs/>
                <w:color w:val="auto"/>
                <w:kern w:val="0"/>
                <w:sz w:val="24"/>
              </w:rPr>
            </w:pPr>
            <w:r>
              <w:rPr>
                <w:b/>
                <w:bCs/>
                <w:color w:val="auto"/>
                <w:kern w:val="0"/>
                <w:sz w:val="24"/>
              </w:rPr>
              <w:t>5、与《烟花爆竹安全管理办法》符合性分析</w:t>
            </w:r>
          </w:p>
          <w:p>
            <w:pPr>
              <w:pStyle w:val="52"/>
              <w:rPr>
                <w:color w:val="auto"/>
              </w:rPr>
            </w:pPr>
            <w:r>
              <w:rPr>
                <w:color w:val="auto"/>
              </w:rPr>
              <w:t>表 1-5 与《烟花爆竹安全管理办法》的符合性分析</w:t>
            </w:r>
          </w:p>
          <w:tbl>
            <w:tblPr>
              <w:tblStyle w:val="27"/>
              <w:tblW w:w="4918"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88"/>
              <w:gridCol w:w="3210"/>
              <w:gridCol w:w="2493"/>
              <w:gridCol w:w="67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21" w:type="pct"/>
                  <w:tcBorders>
                    <w:tl2br w:val="nil"/>
                    <w:tr2bl w:val="nil"/>
                  </w:tcBorders>
                  <w:vAlign w:val="center"/>
                </w:tcPr>
                <w:p>
                  <w:pPr>
                    <w:autoSpaceDE w:val="0"/>
                    <w:autoSpaceDN w:val="0"/>
                    <w:spacing w:line="300" w:lineRule="exact"/>
                    <w:jc w:val="center"/>
                    <w:rPr>
                      <w:color w:val="auto"/>
                      <w:szCs w:val="21"/>
                    </w:rPr>
                  </w:pPr>
                  <w:r>
                    <w:rPr>
                      <w:color w:val="auto"/>
                      <w:szCs w:val="21"/>
                    </w:rPr>
                    <w:t>序号</w:t>
                  </w:r>
                </w:p>
              </w:tc>
              <w:tc>
                <w:tcPr>
                  <w:tcW w:w="2303" w:type="pct"/>
                  <w:tcBorders>
                    <w:tl2br w:val="nil"/>
                    <w:tr2bl w:val="nil"/>
                  </w:tcBorders>
                  <w:vAlign w:val="center"/>
                </w:tcPr>
                <w:p>
                  <w:pPr>
                    <w:autoSpaceDE w:val="0"/>
                    <w:autoSpaceDN w:val="0"/>
                    <w:spacing w:line="300" w:lineRule="exact"/>
                    <w:jc w:val="center"/>
                    <w:rPr>
                      <w:color w:val="auto"/>
                      <w:szCs w:val="21"/>
                    </w:rPr>
                  </w:pPr>
                  <w:r>
                    <w:rPr>
                      <w:color w:val="auto"/>
                      <w:szCs w:val="21"/>
                    </w:rPr>
                    <w:t>管理办法要求</w:t>
                  </w:r>
                </w:p>
              </w:tc>
              <w:tc>
                <w:tcPr>
                  <w:tcW w:w="1789" w:type="pct"/>
                  <w:tcBorders>
                    <w:tl2br w:val="nil"/>
                    <w:tr2bl w:val="nil"/>
                  </w:tcBorders>
                  <w:vAlign w:val="center"/>
                </w:tcPr>
                <w:p>
                  <w:pPr>
                    <w:autoSpaceDE w:val="0"/>
                    <w:autoSpaceDN w:val="0"/>
                    <w:spacing w:line="300" w:lineRule="exact"/>
                    <w:jc w:val="center"/>
                    <w:rPr>
                      <w:color w:val="auto"/>
                      <w:szCs w:val="21"/>
                    </w:rPr>
                  </w:pPr>
                  <w:r>
                    <w:rPr>
                      <w:color w:val="auto"/>
                      <w:szCs w:val="21"/>
                    </w:rPr>
                    <w:t>本项目情况</w:t>
                  </w:r>
                </w:p>
              </w:tc>
              <w:tc>
                <w:tcPr>
                  <w:tcW w:w="486" w:type="pct"/>
                  <w:tcBorders>
                    <w:tl2br w:val="nil"/>
                    <w:tr2bl w:val="nil"/>
                  </w:tcBorders>
                  <w:vAlign w:val="center"/>
                </w:tcPr>
                <w:p>
                  <w:pPr>
                    <w:autoSpaceDE w:val="0"/>
                    <w:autoSpaceDN w:val="0"/>
                    <w:spacing w:line="300" w:lineRule="exact"/>
                    <w:jc w:val="center"/>
                    <w:rPr>
                      <w:color w:val="auto"/>
                      <w:szCs w:val="21"/>
                    </w:rPr>
                  </w:pPr>
                  <w:r>
                    <w:rPr>
                      <w:color w:val="auto"/>
                      <w:szCs w:val="21"/>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21" w:type="pct"/>
                  <w:tcBorders>
                    <w:tl2br w:val="nil"/>
                    <w:tr2bl w:val="nil"/>
                  </w:tcBorders>
                  <w:vAlign w:val="center"/>
                </w:tcPr>
                <w:p>
                  <w:pPr>
                    <w:autoSpaceDE w:val="0"/>
                    <w:autoSpaceDN w:val="0"/>
                    <w:spacing w:line="300" w:lineRule="exact"/>
                    <w:jc w:val="center"/>
                    <w:rPr>
                      <w:color w:val="auto"/>
                      <w:szCs w:val="21"/>
                    </w:rPr>
                  </w:pPr>
                  <w:r>
                    <w:rPr>
                      <w:color w:val="auto"/>
                      <w:szCs w:val="21"/>
                    </w:rPr>
                    <w:t>1</w:t>
                  </w:r>
                </w:p>
              </w:tc>
              <w:tc>
                <w:tcPr>
                  <w:tcW w:w="2303" w:type="pct"/>
                  <w:tcBorders>
                    <w:tl2br w:val="nil"/>
                    <w:tr2bl w:val="nil"/>
                  </w:tcBorders>
                  <w:vAlign w:val="center"/>
                </w:tcPr>
                <w:p>
                  <w:pPr>
                    <w:widowControl/>
                    <w:jc w:val="left"/>
                    <w:rPr>
                      <w:color w:val="auto"/>
                      <w:szCs w:val="21"/>
                    </w:rPr>
                  </w:pPr>
                  <w:r>
                    <w:rPr>
                      <w:color w:val="auto"/>
                      <w:kern w:val="0"/>
                      <w:szCs w:val="21"/>
                      <w:lang w:bidi="ar"/>
                    </w:rPr>
                    <w:t>第九条 储存烟花爆竹的单位（不含生产单位），须持库区平面图，向所在县（市）公安机关申请领取《爆炸物品储存许可证》后，方可储存。</w:t>
                  </w:r>
                </w:p>
              </w:tc>
              <w:tc>
                <w:tcPr>
                  <w:tcW w:w="1789" w:type="pct"/>
                  <w:tcBorders>
                    <w:tl2br w:val="nil"/>
                    <w:tr2bl w:val="nil"/>
                  </w:tcBorders>
                  <w:vAlign w:val="center"/>
                </w:tcPr>
                <w:p>
                  <w:pPr>
                    <w:widowControl/>
                    <w:jc w:val="left"/>
                    <w:rPr>
                      <w:color w:val="auto"/>
                      <w:szCs w:val="21"/>
                    </w:rPr>
                  </w:pPr>
                  <w:r>
                    <w:rPr>
                      <w:color w:val="auto"/>
                      <w:kern w:val="0"/>
                      <w:szCs w:val="21"/>
                      <w:lang w:bidi="ar"/>
                    </w:rPr>
                    <w:t>本项目正在申请办理《爆炸物品储存许可证》，未申请到许可证前，不得储存烟花爆竹</w:t>
                  </w:r>
                  <w:r>
                    <w:rPr>
                      <w:rFonts w:hint="eastAsia"/>
                      <w:color w:val="auto"/>
                      <w:kern w:val="0"/>
                      <w:szCs w:val="21"/>
                      <w:lang w:bidi="ar"/>
                    </w:rPr>
                    <w:t>。</w:t>
                  </w:r>
                </w:p>
              </w:tc>
              <w:tc>
                <w:tcPr>
                  <w:tcW w:w="486" w:type="pct"/>
                  <w:tcBorders>
                    <w:tl2br w:val="nil"/>
                    <w:tr2bl w:val="nil"/>
                  </w:tcBorders>
                  <w:vAlign w:val="center"/>
                </w:tcPr>
                <w:p>
                  <w:pPr>
                    <w:widowControl/>
                    <w:jc w:val="left"/>
                    <w:rPr>
                      <w:color w:val="auto"/>
                      <w:szCs w:val="21"/>
                    </w:rPr>
                  </w:pPr>
                  <w:r>
                    <w:rPr>
                      <w:color w:val="auto"/>
                      <w:kern w:val="0"/>
                      <w:szCs w:val="21"/>
                      <w:lang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21" w:type="pct"/>
                  <w:tcBorders>
                    <w:tl2br w:val="nil"/>
                    <w:tr2bl w:val="nil"/>
                  </w:tcBorders>
                  <w:vAlign w:val="center"/>
                </w:tcPr>
                <w:p>
                  <w:pPr>
                    <w:autoSpaceDE w:val="0"/>
                    <w:autoSpaceDN w:val="0"/>
                    <w:spacing w:line="300" w:lineRule="exact"/>
                    <w:jc w:val="center"/>
                    <w:rPr>
                      <w:color w:val="auto"/>
                      <w:szCs w:val="21"/>
                    </w:rPr>
                  </w:pPr>
                </w:p>
              </w:tc>
              <w:tc>
                <w:tcPr>
                  <w:tcW w:w="2303" w:type="pct"/>
                  <w:tcBorders>
                    <w:tl2br w:val="nil"/>
                    <w:tr2bl w:val="nil"/>
                  </w:tcBorders>
                  <w:vAlign w:val="center"/>
                </w:tcPr>
                <w:p>
                  <w:pPr>
                    <w:widowControl/>
                    <w:jc w:val="left"/>
                    <w:rPr>
                      <w:color w:val="auto"/>
                      <w:szCs w:val="21"/>
                    </w:rPr>
                  </w:pPr>
                  <w:r>
                    <w:rPr>
                      <w:color w:val="auto"/>
                      <w:kern w:val="0"/>
                      <w:szCs w:val="21"/>
                      <w:lang w:bidi="ar"/>
                    </w:rPr>
                    <w:t>第十条 储存烟花爆竹应有专用仓库，仓库与周围建筑物的距离应符合国家有关安全规定。库区应有专人守护。储存单位应建立严格的安全保管制度，各种药物原材料、成品和半成品必须根据不同性质分别存放，性质相抵触的必须分库（室）存放。</w:t>
                  </w:r>
                </w:p>
              </w:tc>
              <w:tc>
                <w:tcPr>
                  <w:tcW w:w="1789" w:type="pct"/>
                  <w:tcBorders>
                    <w:tl2br w:val="nil"/>
                    <w:tr2bl w:val="nil"/>
                  </w:tcBorders>
                  <w:vAlign w:val="center"/>
                </w:tcPr>
                <w:p>
                  <w:pPr>
                    <w:widowControl/>
                    <w:jc w:val="left"/>
                    <w:rPr>
                      <w:color w:val="auto"/>
                      <w:szCs w:val="21"/>
                    </w:rPr>
                  </w:pPr>
                  <w:r>
                    <w:rPr>
                      <w:color w:val="auto"/>
                      <w:kern w:val="0"/>
                      <w:szCs w:val="21"/>
                      <w:lang w:bidi="ar"/>
                    </w:rPr>
                    <w:t>项目设置有专用仓库，仓库与周围建筑物的</w:t>
                  </w:r>
                  <w:r>
                    <w:rPr>
                      <w:rFonts w:hint="eastAsia"/>
                      <w:color w:val="auto"/>
                      <w:kern w:val="0"/>
                      <w:szCs w:val="21"/>
                      <w:lang w:val="en-US" w:eastAsia="zh-CN" w:bidi="ar"/>
                    </w:rPr>
                    <w:t>距离符</w:t>
                  </w:r>
                  <w:r>
                    <w:rPr>
                      <w:color w:val="auto"/>
                      <w:kern w:val="0"/>
                      <w:szCs w:val="21"/>
                      <w:lang w:bidi="ar"/>
                    </w:rPr>
                    <w:t>合国家有关安全规定，仓库设置有专门的守护人员，项目主要储存C级和D级烟花爆竹，不涉及药物原材料、半成品的储存</w:t>
                  </w:r>
                  <w:r>
                    <w:rPr>
                      <w:rFonts w:hint="eastAsia"/>
                      <w:color w:val="auto"/>
                      <w:kern w:val="0"/>
                      <w:szCs w:val="21"/>
                      <w:lang w:bidi="ar"/>
                    </w:rPr>
                    <w:t>。</w:t>
                  </w:r>
                </w:p>
              </w:tc>
              <w:tc>
                <w:tcPr>
                  <w:tcW w:w="486" w:type="pct"/>
                  <w:tcBorders>
                    <w:tl2br w:val="nil"/>
                    <w:tr2bl w:val="nil"/>
                  </w:tcBorders>
                  <w:vAlign w:val="center"/>
                </w:tcPr>
                <w:p>
                  <w:pPr>
                    <w:widowControl/>
                    <w:jc w:val="left"/>
                    <w:rPr>
                      <w:color w:val="auto"/>
                      <w:szCs w:val="21"/>
                    </w:rPr>
                  </w:pPr>
                  <w:r>
                    <w:rPr>
                      <w:color w:val="auto"/>
                      <w:kern w:val="0"/>
                      <w:szCs w:val="21"/>
                      <w:lang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21" w:type="pct"/>
                  <w:tcBorders>
                    <w:tl2br w:val="nil"/>
                    <w:tr2bl w:val="nil"/>
                  </w:tcBorders>
                  <w:vAlign w:val="center"/>
                </w:tcPr>
                <w:p>
                  <w:pPr>
                    <w:autoSpaceDE w:val="0"/>
                    <w:autoSpaceDN w:val="0"/>
                    <w:spacing w:line="300" w:lineRule="exact"/>
                    <w:jc w:val="center"/>
                    <w:rPr>
                      <w:color w:val="auto"/>
                      <w:szCs w:val="21"/>
                    </w:rPr>
                  </w:pPr>
                  <w:r>
                    <w:rPr>
                      <w:color w:val="auto"/>
                      <w:szCs w:val="21"/>
                    </w:rPr>
                    <w:t>2</w:t>
                  </w:r>
                </w:p>
              </w:tc>
              <w:tc>
                <w:tcPr>
                  <w:tcW w:w="2303" w:type="pct"/>
                  <w:tcBorders>
                    <w:tl2br w:val="nil"/>
                    <w:tr2bl w:val="nil"/>
                  </w:tcBorders>
                  <w:vAlign w:val="center"/>
                </w:tcPr>
                <w:p>
                  <w:pPr>
                    <w:widowControl/>
                    <w:jc w:val="left"/>
                    <w:rPr>
                      <w:color w:val="auto"/>
                      <w:szCs w:val="21"/>
                    </w:rPr>
                  </w:pPr>
                  <w:r>
                    <w:rPr>
                      <w:color w:val="auto"/>
                      <w:kern w:val="0"/>
                      <w:szCs w:val="21"/>
                      <w:lang w:bidi="ar"/>
                    </w:rPr>
                    <w:t>第十一条 储存仓库应有良好的通风、隔热、防潮设施和相应的消防、避雷装置。库房内需要安装电器设备的，应采用防爆型电器设备。不准在库房内进行封装、打包、拆箱、钉箱等活动，没有安装火星熄灭器的机动车辆不准进入库区。严禁在库区内吸烟、生火、用明火照明和露天堆放烟花爆竹。</w:t>
                  </w:r>
                </w:p>
              </w:tc>
              <w:tc>
                <w:tcPr>
                  <w:tcW w:w="1789" w:type="pct"/>
                  <w:tcBorders>
                    <w:tl2br w:val="nil"/>
                    <w:tr2bl w:val="nil"/>
                  </w:tcBorders>
                  <w:vAlign w:val="center"/>
                </w:tcPr>
                <w:p>
                  <w:pPr>
                    <w:widowControl/>
                    <w:jc w:val="left"/>
                    <w:rPr>
                      <w:color w:val="auto"/>
                      <w:szCs w:val="21"/>
                    </w:rPr>
                  </w:pPr>
                  <w:r>
                    <w:rPr>
                      <w:color w:val="auto"/>
                      <w:kern w:val="0"/>
                      <w:szCs w:val="21"/>
                      <w:lang w:bidi="ar"/>
                    </w:rPr>
                    <w:t>项目设置有良好的通风、隔热、防潮设施和相应的消防、避雷装置，</w:t>
                  </w:r>
                  <w:r>
                    <w:rPr>
                      <w:rFonts w:hint="eastAsia"/>
                      <w:color w:val="auto"/>
                      <w:kern w:val="0"/>
                      <w:szCs w:val="21"/>
                      <w:lang w:bidi="ar"/>
                    </w:rPr>
                    <w:t>仓库</w:t>
                  </w:r>
                  <w:r>
                    <w:rPr>
                      <w:color w:val="auto"/>
                      <w:kern w:val="0"/>
                      <w:szCs w:val="21"/>
                      <w:lang w:bidi="ar"/>
                    </w:rPr>
                    <w:t>内设置有防爆型电气设备，项目主要储存C级和D级烟花爆竹，不涉及在</w:t>
                  </w:r>
                  <w:r>
                    <w:rPr>
                      <w:rFonts w:hint="eastAsia"/>
                      <w:color w:val="auto"/>
                      <w:kern w:val="0"/>
                      <w:szCs w:val="21"/>
                      <w:lang w:bidi="ar"/>
                    </w:rPr>
                    <w:t>仓库</w:t>
                  </w:r>
                  <w:r>
                    <w:rPr>
                      <w:color w:val="auto"/>
                      <w:kern w:val="0"/>
                      <w:szCs w:val="21"/>
                      <w:lang w:bidi="ar"/>
                    </w:rPr>
                    <w:t>内进行封装、打包、拆箱、钉箱等活动，项目严禁在库区内吸烟、生火、用明火照明和露天堆放烟花爆竹</w:t>
                  </w:r>
                  <w:r>
                    <w:rPr>
                      <w:rFonts w:hint="eastAsia"/>
                      <w:color w:val="auto"/>
                      <w:kern w:val="0"/>
                      <w:szCs w:val="21"/>
                      <w:lang w:bidi="ar"/>
                    </w:rPr>
                    <w:t>。</w:t>
                  </w:r>
                </w:p>
              </w:tc>
              <w:tc>
                <w:tcPr>
                  <w:tcW w:w="486" w:type="pct"/>
                  <w:tcBorders>
                    <w:tl2br w:val="nil"/>
                    <w:tr2bl w:val="nil"/>
                  </w:tcBorders>
                  <w:vAlign w:val="center"/>
                </w:tcPr>
                <w:p>
                  <w:pPr>
                    <w:widowControl/>
                    <w:jc w:val="left"/>
                    <w:rPr>
                      <w:color w:val="auto"/>
                      <w:szCs w:val="21"/>
                    </w:rPr>
                  </w:pPr>
                  <w:r>
                    <w:rPr>
                      <w:color w:val="auto"/>
                      <w:kern w:val="0"/>
                      <w:szCs w:val="21"/>
                      <w:lang w:bidi="ar"/>
                    </w:rPr>
                    <w:t>符合</w:t>
                  </w:r>
                </w:p>
              </w:tc>
            </w:tr>
          </w:tbl>
          <w:p>
            <w:pPr>
              <w:pStyle w:val="7"/>
              <w:ind w:firstLine="0"/>
              <w:rPr>
                <w:rFonts w:ascii="Times New Roman" w:hAnsi="Times New Roman"/>
                <w:color w:val="auto"/>
              </w:rPr>
            </w:pPr>
          </w:p>
          <w:p>
            <w:pPr>
              <w:widowControl/>
              <w:spacing w:line="360" w:lineRule="auto"/>
              <w:jc w:val="left"/>
              <w:rPr>
                <w:b/>
                <w:bCs/>
                <w:color w:val="auto"/>
                <w:kern w:val="0"/>
                <w:sz w:val="24"/>
              </w:rPr>
            </w:pPr>
            <w:r>
              <w:rPr>
                <w:b/>
                <w:bCs/>
                <w:color w:val="auto"/>
                <w:kern w:val="0"/>
                <w:sz w:val="24"/>
              </w:rPr>
              <w:t>6、与《烟花爆竹安全管理条例》符合性分析</w:t>
            </w:r>
          </w:p>
          <w:p>
            <w:pPr>
              <w:pStyle w:val="52"/>
              <w:rPr>
                <w:color w:val="auto"/>
              </w:rPr>
            </w:pPr>
            <w:r>
              <w:rPr>
                <w:color w:val="auto"/>
              </w:rPr>
              <w:t>表 1-6 与《烟花爆竹安全管理条例》的符合性分析</w:t>
            </w:r>
          </w:p>
          <w:tbl>
            <w:tblPr>
              <w:tblStyle w:val="27"/>
              <w:tblW w:w="4918"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87"/>
              <w:gridCol w:w="3279"/>
              <w:gridCol w:w="2249"/>
              <w:gridCol w:w="85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21" w:type="pct"/>
                  <w:tcBorders>
                    <w:tl2br w:val="nil"/>
                    <w:tr2bl w:val="nil"/>
                  </w:tcBorders>
                  <w:vAlign w:val="center"/>
                </w:tcPr>
                <w:p>
                  <w:pPr>
                    <w:autoSpaceDE w:val="0"/>
                    <w:autoSpaceDN w:val="0"/>
                    <w:spacing w:line="300" w:lineRule="exact"/>
                    <w:jc w:val="center"/>
                    <w:rPr>
                      <w:color w:val="auto"/>
                      <w:szCs w:val="21"/>
                    </w:rPr>
                  </w:pPr>
                  <w:r>
                    <w:rPr>
                      <w:color w:val="auto"/>
                      <w:szCs w:val="21"/>
                    </w:rPr>
                    <w:t>序号</w:t>
                  </w:r>
                </w:p>
              </w:tc>
              <w:tc>
                <w:tcPr>
                  <w:tcW w:w="2352" w:type="pct"/>
                  <w:tcBorders>
                    <w:tl2br w:val="nil"/>
                    <w:tr2bl w:val="nil"/>
                  </w:tcBorders>
                  <w:vAlign w:val="center"/>
                </w:tcPr>
                <w:p>
                  <w:pPr>
                    <w:autoSpaceDE w:val="0"/>
                    <w:autoSpaceDN w:val="0"/>
                    <w:spacing w:line="300" w:lineRule="exact"/>
                    <w:jc w:val="center"/>
                    <w:rPr>
                      <w:color w:val="auto"/>
                      <w:szCs w:val="21"/>
                    </w:rPr>
                  </w:pPr>
                  <w:r>
                    <w:rPr>
                      <w:color w:val="auto"/>
                      <w:szCs w:val="21"/>
                    </w:rPr>
                    <w:t>管理条例要求</w:t>
                  </w:r>
                </w:p>
              </w:tc>
              <w:tc>
                <w:tcPr>
                  <w:tcW w:w="1613" w:type="pct"/>
                  <w:tcBorders>
                    <w:tl2br w:val="nil"/>
                    <w:tr2bl w:val="nil"/>
                  </w:tcBorders>
                  <w:vAlign w:val="center"/>
                </w:tcPr>
                <w:p>
                  <w:pPr>
                    <w:autoSpaceDE w:val="0"/>
                    <w:autoSpaceDN w:val="0"/>
                    <w:spacing w:line="300" w:lineRule="exact"/>
                    <w:jc w:val="center"/>
                    <w:rPr>
                      <w:color w:val="auto"/>
                      <w:szCs w:val="21"/>
                    </w:rPr>
                  </w:pPr>
                  <w:r>
                    <w:rPr>
                      <w:color w:val="auto"/>
                      <w:szCs w:val="21"/>
                    </w:rPr>
                    <w:t>本项目情况</w:t>
                  </w:r>
                </w:p>
              </w:tc>
              <w:tc>
                <w:tcPr>
                  <w:tcW w:w="612" w:type="pct"/>
                  <w:tcBorders>
                    <w:tl2br w:val="nil"/>
                    <w:tr2bl w:val="nil"/>
                  </w:tcBorders>
                  <w:vAlign w:val="center"/>
                </w:tcPr>
                <w:p>
                  <w:pPr>
                    <w:autoSpaceDE w:val="0"/>
                    <w:autoSpaceDN w:val="0"/>
                    <w:spacing w:line="300" w:lineRule="exact"/>
                    <w:jc w:val="center"/>
                    <w:rPr>
                      <w:color w:val="auto"/>
                      <w:szCs w:val="21"/>
                    </w:rPr>
                  </w:pPr>
                  <w:r>
                    <w:rPr>
                      <w:color w:val="auto"/>
                      <w:szCs w:val="21"/>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421" w:type="pct"/>
                  <w:tcBorders>
                    <w:tl2br w:val="nil"/>
                    <w:tr2bl w:val="nil"/>
                  </w:tcBorders>
                  <w:vAlign w:val="center"/>
                </w:tcPr>
                <w:p>
                  <w:pPr>
                    <w:autoSpaceDE w:val="0"/>
                    <w:autoSpaceDN w:val="0"/>
                    <w:spacing w:line="300" w:lineRule="exact"/>
                    <w:jc w:val="center"/>
                    <w:rPr>
                      <w:color w:val="auto"/>
                      <w:szCs w:val="21"/>
                    </w:rPr>
                  </w:pPr>
                  <w:r>
                    <w:rPr>
                      <w:color w:val="auto"/>
                      <w:szCs w:val="21"/>
                    </w:rPr>
                    <w:t>1</w:t>
                  </w:r>
                </w:p>
              </w:tc>
              <w:tc>
                <w:tcPr>
                  <w:tcW w:w="2352" w:type="pct"/>
                  <w:tcBorders>
                    <w:tl2br w:val="nil"/>
                    <w:tr2bl w:val="nil"/>
                  </w:tcBorders>
                  <w:vAlign w:val="center"/>
                </w:tcPr>
                <w:p>
                  <w:pPr>
                    <w:widowControl/>
                    <w:numPr>
                      <w:ilvl w:val="0"/>
                      <w:numId w:val="4"/>
                    </w:numPr>
                    <w:jc w:val="left"/>
                    <w:rPr>
                      <w:color w:val="auto"/>
                      <w:kern w:val="0"/>
                      <w:szCs w:val="21"/>
                      <w:lang w:bidi="ar"/>
                    </w:rPr>
                  </w:pPr>
                  <w:r>
                    <w:rPr>
                      <w:color w:val="auto"/>
                      <w:kern w:val="0"/>
                      <w:szCs w:val="21"/>
                      <w:lang w:bidi="ar"/>
                    </w:rPr>
                    <w:t>国家对烟花爆竹的生产、经营、运输和举办焰火晚会以及其他大型焰火燃放活动，实行许可证制度。</w:t>
                  </w:r>
                </w:p>
                <w:p>
                  <w:pPr>
                    <w:widowControl/>
                    <w:numPr>
                      <w:ilvl w:val="0"/>
                      <w:numId w:val="4"/>
                    </w:numPr>
                    <w:jc w:val="left"/>
                    <w:rPr>
                      <w:color w:val="auto"/>
                    </w:rPr>
                  </w:pPr>
                  <w:r>
                    <w:rPr>
                      <w:color w:val="auto"/>
                      <w:kern w:val="0"/>
                      <w:szCs w:val="21"/>
                      <w:lang w:bidi="ar"/>
                    </w:rPr>
                    <w:t>未经许可，任何单位或者个人不得生产、经营、运输烟花爆竹，不得举办焰火晚会以及其他大</w:t>
                  </w:r>
                </w:p>
                <w:p>
                  <w:pPr>
                    <w:widowControl/>
                    <w:jc w:val="left"/>
                    <w:rPr>
                      <w:color w:val="auto"/>
                      <w:szCs w:val="21"/>
                    </w:rPr>
                  </w:pPr>
                  <w:r>
                    <w:rPr>
                      <w:color w:val="auto"/>
                      <w:kern w:val="0"/>
                      <w:szCs w:val="21"/>
                      <w:lang w:bidi="ar"/>
                    </w:rPr>
                    <w:t>型焰火燃放活动。</w:t>
                  </w:r>
                </w:p>
              </w:tc>
              <w:tc>
                <w:tcPr>
                  <w:tcW w:w="1613" w:type="pct"/>
                  <w:tcBorders>
                    <w:tl2br w:val="nil"/>
                    <w:tr2bl w:val="nil"/>
                  </w:tcBorders>
                  <w:vAlign w:val="center"/>
                </w:tcPr>
                <w:p>
                  <w:pPr>
                    <w:widowControl/>
                    <w:jc w:val="left"/>
                    <w:rPr>
                      <w:color w:val="auto"/>
                    </w:rPr>
                  </w:pPr>
                  <w:r>
                    <w:rPr>
                      <w:color w:val="auto"/>
                      <w:kern w:val="0"/>
                      <w:szCs w:val="21"/>
                      <w:lang w:bidi="ar"/>
                    </w:rPr>
                    <w:t>本项目主要储存C级和D级烟花爆竹，不涉及生产、经营，其运输由专业的单位进行。</w:t>
                  </w:r>
                </w:p>
                <w:p>
                  <w:pPr>
                    <w:autoSpaceDE w:val="0"/>
                    <w:autoSpaceDN w:val="0"/>
                    <w:spacing w:line="300" w:lineRule="exact"/>
                    <w:jc w:val="center"/>
                    <w:rPr>
                      <w:color w:val="auto"/>
                      <w:szCs w:val="21"/>
                    </w:rPr>
                  </w:pPr>
                </w:p>
              </w:tc>
              <w:tc>
                <w:tcPr>
                  <w:tcW w:w="612" w:type="pct"/>
                  <w:tcBorders>
                    <w:tl2br w:val="nil"/>
                    <w:tr2bl w:val="nil"/>
                  </w:tcBorders>
                  <w:vAlign w:val="center"/>
                </w:tcPr>
                <w:p>
                  <w:pPr>
                    <w:autoSpaceDE w:val="0"/>
                    <w:autoSpaceDN w:val="0"/>
                    <w:spacing w:line="300" w:lineRule="exact"/>
                    <w:jc w:val="center"/>
                    <w:rPr>
                      <w:color w:val="auto"/>
                      <w:szCs w:val="21"/>
                    </w:rPr>
                  </w:pPr>
                  <w:r>
                    <w:rPr>
                      <w:color w:val="auto"/>
                      <w:kern w:val="0"/>
                      <w:szCs w:val="21"/>
                      <w:lang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421" w:type="pct"/>
                  <w:tcBorders>
                    <w:tl2br w:val="nil"/>
                    <w:tr2bl w:val="nil"/>
                  </w:tcBorders>
                  <w:vAlign w:val="center"/>
                </w:tcPr>
                <w:p>
                  <w:pPr>
                    <w:autoSpaceDE w:val="0"/>
                    <w:autoSpaceDN w:val="0"/>
                    <w:spacing w:line="300" w:lineRule="exact"/>
                    <w:jc w:val="center"/>
                    <w:rPr>
                      <w:color w:val="auto"/>
                      <w:szCs w:val="21"/>
                    </w:rPr>
                  </w:pPr>
                  <w:r>
                    <w:rPr>
                      <w:color w:val="auto"/>
                      <w:szCs w:val="21"/>
                    </w:rPr>
                    <w:t>2</w:t>
                  </w:r>
                </w:p>
              </w:tc>
              <w:tc>
                <w:tcPr>
                  <w:tcW w:w="2352" w:type="pct"/>
                  <w:tcBorders>
                    <w:tl2br w:val="nil"/>
                    <w:tr2bl w:val="nil"/>
                  </w:tcBorders>
                  <w:vAlign w:val="center"/>
                </w:tcPr>
                <w:p>
                  <w:pPr>
                    <w:widowControl/>
                    <w:jc w:val="left"/>
                    <w:rPr>
                      <w:color w:val="auto"/>
                    </w:rPr>
                  </w:pPr>
                  <w:r>
                    <w:rPr>
                      <w:color w:val="auto"/>
                      <w:kern w:val="0"/>
                      <w:szCs w:val="21"/>
                      <w:lang w:bidi="ar"/>
                    </w:rPr>
                    <w:t>第六条</w:t>
                  </w:r>
                </w:p>
                <w:p>
                  <w:pPr>
                    <w:widowControl/>
                    <w:jc w:val="left"/>
                    <w:rPr>
                      <w:color w:val="auto"/>
                      <w:szCs w:val="21"/>
                    </w:rPr>
                  </w:pPr>
                  <w:r>
                    <w:rPr>
                      <w:color w:val="auto"/>
                      <w:kern w:val="0"/>
                      <w:szCs w:val="21"/>
                      <w:lang w:bidi="ar"/>
                    </w:rPr>
                    <w:t>烟花爆竹生产、经营、运输企业和焰火晚会以及其他大型焰火燃放活动主办单位的主要负责人，对本单位的烟花爆竹安全工作负责。</w:t>
                  </w:r>
                </w:p>
              </w:tc>
              <w:tc>
                <w:tcPr>
                  <w:tcW w:w="1613" w:type="pct"/>
                  <w:tcBorders>
                    <w:tl2br w:val="nil"/>
                    <w:tr2bl w:val="nil"/>
                  </w:tcBorders>
                  <w:vAlign w:val="center"/>
                </w:tcPr>
                <w:p>
                  <w:pPr>
                    <w:widowControl/>
                    <w:jc w:val="left"/>
                    <w:rPr>
                      <w:color w:val="auto"/>
                      <w:szCs w:val="21"/>
                    </w:rPr>
                  </w:pPr>
                  <w:r>
                    <w:rPr>
                      <w:color w:val="auto"/>
                      <w:kern w:val="0"/>
                      <w:szCs w:val="21"/>
                      <w:lang w:bidi="ar"/>
                    </w:rPr>
                    <w:t>本项目主要储存C级和D级烟花爆竹，不涉及生产、经营，其烟花爆竹安全工作由尉犁县祥立烟花爆竹销售有限公司负责</w:t>
                  </w:r>
                  <w:r>
                    <w:rPr>
                      <w:rFonts w:hint="eastAsia"/>
                      <w:color w:val="auto"/>
                      <w:kern w:val="0"/>
                      <w:szCs w:val="21"/>
                      <w:lang w:bidi="ar"/>
                    </w:rPr>
                    <w:t>。</w:t>
                  </w:r>
                </w:p>
              </w:tc>
              <w:tc>
                <w:tcPr>
                  <w:tcW w:w="612" w:type="pct"/>
                  <w:tcBorders>
                    <w:tl2br w:val="nil"/>
                    <w:tr2bl w:val="nil"/>
                  </w:tcBorders>
                  <w:vAlign w:val="center"/>
                </w:tcPr>
                <w:p>
                  <w:pPr>
                    <w:autoSpaceDE w:val="0"/>
                    <w:autoSpaceDN w:val="0"/>
                    <w:spacing w:line="300" w:lineRule="exact"/>
                    <w:jc w:val="center"/>
                    <w:rPr>
                      <w:color w:val="auto"/>
                      <w:szCs w:val="21"/>
                    </w:rPr>
                  </w:pPr>
                  <w:r>
                    <w:rPr>
                      <w:color w:val="auto"/>
                      <w:kern w:val="0"/>
                      <w:szCs w:val="21"/>
                      <w:lang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421" w:type="pct"/>
                  <w:tcBorders>
                    <w:tl2br w:val="nil"/>
                    <w:tr2bl w:val="nil"/>
                  </w:tcBorders>
                  <w:vAlign w:val="center"/>
                </w:tcPr>
                <w:p>
                  <w:pPr>
                    <w:autoSpaceDE w:val="0"/>
                    <w:autoSpaceDN w:val="0"/>
                    <w:spacing w:line="300" w:lineRule="exact"/>
                    <w:jc w:val="center"/>
                    <w:rPr>
                      <w:color w:val="auto"/>
                      <w:szCs w:val="21"/>
                    </w:rPr>
                  </w:pPr>
                  <w:r>
                    <w:rPr>
                      <w:color w:val="auto"/>
                      <w:szCs w:val="21"/>
                    </w:rPr>
                    <w:t>3</w:t>
                  </w:r>
                </w:p>
              </w:tc>
              <w:tc>
                <w:tcPr>
                  <w:tcW w:w="2352" w:type="pct"/>
                  <w:tcBorders>
                    <w:tl2br w:val="nil"/>
                    <w:tr2bl w:val="nil"/>
                  </w:tcBorders>
                  <w:vAlign w:val="center"/>
                </w:tcPr>
                <w:p>
                  <w:pPr>
                    <w:widowControl/>
                    <w:jc w:val="left"/>
                    <w:rPr>
                      <w:color w:val="auto"/>
                    </w:rPr>
                  </w:pPr>
                  <w:r>
                    <w:rPr>
                      <w:color w:val="auto"/>
                      <w:kern w:val="0"/>
                      <w:szCs w:val="21"/>
                      <w:lang w:bidi="ar"/>
                    </w:rPr>
                    <w:t>第二十二条</w:t>
                  </w:r>
                </w:p>
                <w:p>
                  <w:pPr>
                    <w:widowControl/>
                    <w:jc w:val="left"/>
                    <w:rPr>
                      <w:color w:val="auto"/>
                      <w:szCs w:val="21"/>
                    </w:rPr>
                  </w:pPr>
                  <w:r>
                    <w:rPr>
                      <w:color w:val="auto"/>
                      <w:kern w:val="0"/>
                      <w:szCs w:val="21"/>
                      <w:lang w:bidi="ar"/>
                    </w:rPr>
                    <w:t>经由道路运输烟花爆竹的，应当经公安部门许可。</w:t>
                  </w:r>
                </w:p>
              </w:tc>
              <w:tc>
                <w:tcPr>
                  <w:tcW w:w="1613" w:type="pct"/>
                  <w:tcBorders>
                    <w:tl2br w:val="nil"/>
                    <w:tr2bl w:val="nil"/>
                  </w:tcBorders>
                  <w:vAlign w:val="center"/>
                </w:tcPr>
                <w:p>
                  <w:pPr>
                    <w:widowControl/>
                    <w:jc w:val="left"/>
                    <w:rPr>
                      <w:color w:val="auto"/>
                      <w:szCs w:val="21"/>
                    </w:rPr>
                  </w:pPr>
                  <w:r>
                    <w:rPr>
                      <w:color w:val="auto"/>
                      <w:kern w:val="0"/>
                      <w:szCs w:val="21"/>
                      <w:lang w:bidi="ar"/>
                    </w:rPr>
                    <w:t>本项目主要储存C级和D级烟花爆竹，不涉及生产、经营，其运输由专业的单位进行。</w:t>
                  </w:r>
                </w:p>
              </w:tc>
              <w:tc>
                <w:tcPr>
                  <w:tcW w:w="612" w:type="pct"/>
                  <w:tcBorders>
                    <w:tl2br w:val="nil"/>
                    <w:tr2bl w:val="nil"/>
                  </w:tcBorders>
                  <w:vAlign w:val="center"/>
                </w:tcPr>
                <w:p>
                  <w:pPr>
                    <w:autoSpaceDE w:val="0"/>
                    <w:autoSpaceDN w:val="0"/>
                    <w:spacing w:line="300" w:lineRule="exact"/>
                    <w:jc w:val="center"/>
                    <w:rPr>
                      <w:color w:val="auto"/>
                      <w:szCs w:val="21"/>
                    </w:rPr>
                  </w:pPr>
                  <w:r>
                    <w:rPr>
                      <w:color w:val="auto"/>
                      <w:kern w:val="0"/>
                      <w:szCs w:val="21"/>
                      <w:lang w:bidi="ar"/>
                    </w:rPr>
                    <w:t>符合</w:t>
                  </w:r>
                </w:p>
              </w:tc>
            </w:tr>
          </w:tbl>
          <w:p>
            <w:pPr>
              <w:autoSpaceDE w:val="0"/>
              <w:autoSpaceDN w:val="0"/>
              <w:spacing w:line="520" w:lineRule="exact"/>
              <w:rPr>
                <w:b/>
                <w:color w:val="auto"/>
                <w:kern w:val="0"/>
                <w:sz w:val="24"/>
              </w:rPr>
            </w:pPr>
            <w:r>
              <w:rPr>
                <w:b/>
                <w:color w:val="auto"/>
                <w:kern w:val="0"/>
                <w:sz w:val="24"/>
              </w:rPr>
              <w:t>7、其他符合性分析</w:t>
            </w:r>
          </w:p>
          <w:p>
            <w:pPr>
              <w:pStyle w:val="52"/>
              <w:rPr>
                <w:color w:val="auto"/>
              </w:rPr>
            </w:pPr>
            <w:r>
              <w:rPr>
                <w:color w:val="auto"/>
              </w:rPr>
              <w:t>表1-7  其他政策符合性分析</w:t>
            </w:r>
          </w:p>
          <w:tbl>
            <w:tblPr>
              <w:tblStyle w:val="27"/>
              <w:tblW w:w="4997"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454"/>
              <w:gridCol w:w="2647"/>
              <w:gridCol w:w="1815"/>
              <w:gridCol w:w="69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35" w:type="pct"/>
                  <w:tcBorders>
                    <w:tl2br w:val="nil"/>
                    <w:tr2bl w:val="nil"/>
                  </w:tcBorders>
                  <w:vAlign w:val="center"/>
                </w:tcPr>
                <w:p>
                  <w:pPr>
                    <w:autoSpaceDE w:val="0"/>
                    <w:autoSpaceDN w:val="0"/>
                    <w:spacing w:line="300" w:lineRule="exact"/>
                    <w:jc w:val="center"/>
                    <w:rPr>
                      <w:color w:val="auto"/>
                      <w:szCs w:val="21"/>
                    </w:rPr>
                  </w:pPr>
                  <w:r>
                    <w:rPr>
                      <w:color w:val="auto"/>
                      <w:szCs w:val="21"/>
                    </w:rPr>
                    <w:t>序号</w:t>
                  </w:r>
                </w:p>
              </w:tc>
              <w:tc>
                <w:tcPr>
                  <w:tcW w:w="1027" w:type="pct"/>
                  <w:tcBorders>
                    <w:tl2br w:val="nil"/>
                    <w:tr2bl w:val="nil"/>
                  </w:tcBorders>
                  <w:vAlign w:val="center"/>
                </w:tcPr>
                <w:p>
                  <w:pPr>
                    <w:autoSpaceDE w:val="0"/>
                    <w:autoSpaceDN w:val="0"/>
                    <w:spacing w:line="300" w:lineRule="exact"/>
                    <w:jc w:val="center"/>
                    <w:rPr>
                      <w:color w:val="auto"/>
                      <w:szCs w:val="21"/>
                    </w:rPr>
                  </w:pPr>
                  <w:r>
                    <w:rPr>
                      <w:color w:val="auto"/>
                      <w:szCs w:val="21"/>
                    </w:rPr>
                    <w:t>文件名称</w:t>
                  </w:r>
                </w:p>
              </w:tc>
              <w:tc>
                <w:tcPr>
                  <w:tcW w:w="1868" w:type="pct"/>
                  <w:tcBorders>
                    <w:tl2br w:val="nil"/>
                    <w:tr2bl w:val="nil"/>
                  </w:tcBorders>
                  <w:vAlign w:val="center"/>
                </w:tcPr>
                <w:p>
                  <w:pPr>
                    <w:autoSpaceDE w:val="0"/>
                    <w:autoSpaceDN w:val="0"/>
                    <w:spacing w:line="300" w:lineRule="exact"/>
                    <w:jc w:val="center"/>
                    <w:rPr>
                      <w:color w:val="auto"/>
                      <w:szCs w:val="21"/>
                    </w:rPr>
                  </w:pPr>
                  <w:r>
                    <w:rPr>
                      <w:color w:val="auto"/>
                      <w:szCs w:val="21"/>
                    </w:rPr>
                    <w:t>文件内容</w:t>
                  </w:r>
                </w:p>
              </w:tc>
              <w:tc>
                <w:tcPr>
                  <w:tcW w:w="1281" w:type="pct"/>
                  <w:tcBorders>
                    <w:tl2br w:val="nil"/>
                    <w:tr2bl w:val="nil"/>
                  </w:tcBorders>
                  <w:vAlign w:val="center"/>
                </w:tcPr>
                <w:p>
                  <w:pPr>
                    <w:autoSpaceDE w:val="0"/>
                    <w:autoSpaceDN w:val="0"/>
                    <w:spacing w:line="300" w:lineRule="exact"/>
                    <w:jc w:val="center"/>
                    <w:rPr>
                      <w:color w:val="auto"/>
                      <w:szCs w:val="21"/>
                    </w:rPr>
                  </w:pPr>
                  <w:r>
                    <w:rPr>
                      <w:color w:val="auto"/>
                      <w:szCs w:val="21"/>
                    </w:rPr>
                    <w:t>本项目情况</w:t>
                  </w:r>
                </w:p>
              </w:tc>
              <w:tc>
                <w:tcPr>
                  <w:tcW w:w="487" w:type="pct"/>
                  <w:tcBorders>
                    <w:tl2br w:val="nil"/>
                    <w:tr2bl w:val="nil"/>
                  </w:tcBorders>
                  <w:vAlign w:val="center"/>
                </w:tcPr>
                <w:p>
                  <w:pPr>
                    <w:autoSpaceDE w:val="0"/>
                    <w:autoSpaceDN w:val="0"/>
                    <w:spacing w:line="300" w:lineRule="exact"/>
                    <w:jc w:val="center"/>
                    <w:rPr>
                      <w:color w:val="auto"/>
                      <w:szCs w:val="21"/>
                    </w:rPr>
                  </w:pPr>
                  <w:r>
                    <w:rPr>
                      <w:color w:val="auto"/>
                      <w:szCs w:val="21"/>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35" w:type="pct"/>
                  <w:tcBorders>
                    <w:tl2br w:val="nil"/>
                    <w:tr2bl w:val="nil"/>
                  </w:tcBorders>
                  <w:vAlign w:val="center"/>
                </w:tcPr>
                <w:p>
                  <w:pPr>
                    <w:autoSpaceDE w:val="0"/>
                    <w:autoSpaceDN w:val="0"/>
                    <w:spacing w:line="300" w:lineRule="exact"/>
                    <w:jc w:val="center"/>
                    <w:rPr>
                      <w:color w:val="auto"/>
                      <w:szCs w:val="21"/>
                    </w:rPr>
                  </w:pPr>
                  <w:r>
                    <w:rPr>
                      <w:color w:val="auto"/>
                      <w:szCs w:val="21"/>
                    </w:rPr>
                    <w:t>1</w:t>
                  </w:r>
                </w:p>
              </w:tc>
              <w:tc>
                <w:tcPr>
                  <w:tcW w:w="1027" w:type="pct"/>
                  <w:tcBorders>
                    <w:tl2br w:val="nil"/>
                    <w:tr2bl w:val="nil"/>
                  </w:tcBorders>
                  <w:vAlign w:val="center"/>
                </w:tcPr>
                <w:p>
                  <w:pPr>
                    <w:autoSpaceDE w:val="0"/>
                    <w:autoSpaceDN w:val="0"/>
                    <w:spacing w:line="300" w:lineRule="exact"/>
                    <w:jc w:val="center"/>
                    <w:rPr>
                      <w:color w:val="auto"/>
                      <w:szCs w:val="21"/>
                    </w:rPr>
                  </w:pPr>
                  <w:r>
                    <w:rPr>
                      <w:color w:val="auto"/>
                      <w:szCs w:val="21"/>
                    </w:rPr>
                    <w:t>《新疆维吾尔自治区国民经济和社会发展第十四个五年规划和2035年远景目标纲要》</w:t>
                  </w:r>
                </w:p>
              </w:tc>
              <w:tc>
                <w:tcPr>
                  <w:tcW w:w="1868" w:type="pct"/>
                  <w:tcBorders>
                    <w:tl2br w:val="nil"/>
                    <w:tr2bl w:val="nil"/>
                  </w:tcBorders>
                  <w:vAlign w:val="center"/>
                </w:tcPr>
                <w:p>
                  <w:pPr>
                    <w:autoSpaceDE w:val="0"/>
                    <w:autoSpaceDN w:val="0"/>
                    <w:spacing w:line="300" w:lineRule="exact"/>
                    <w:jc w:val="center"/>
                    <w:rPr>
                      <w:color w:val="auto"/>
                      <w:szCs w:val="21"/>
                    </w:rPr>
                  </w:pPr>
                  <w:r>
                    <w:rPr>
                      <w:color w:val="auto"/>
                      <w:szCs w:val="21"/>
                    </w:rPr>
                    <w:t>实施最严格的生态保护制度，严禁“三高”项目进新疆，严格执行能源、矿产资源开发自治区人民政府“一支笔”审批制度、环境保护“一票否决”制度，守住生态保护红线、环境质量底线和自然资源利用上线。</w:t>
                  </w:r>
                </w:p>
              </w:tc>
              <w:tc>
                <w:tcPr>
                  <w:tcW w:w="1281" w:type="pct"/>
                  <w:tcBorders>
                    <w:tl2br w:val="nil"/>
                    <w:tr2bl w:val="nil"/>
                  </w:tcBorders>
                  <w:vAlign w:val="center"/>
                </w:tcPr>
                <w:p>
                  <w:pPr>
                    <w:autoSpaceDE w:val="0"/>
                    <w:autoSpaceDN w:val="0"/>
                    <w:spacing w:line="300" w:lineRule="exact"/>
                    <w:jc w:val="center"/>
                    <w:rPr>
                      <w:color w:val="auto"/>
                      <w:szCs w:val="21"/>
                    </w:rPr>
                  </w:pPr>
                  <w:r>
                    <w:rPr>
                      <w:color w:val="auto"/>
                      <w:szCs w:val="21"/>
                    </w:rPr>
                    <w:t>本项目属于</w:t>
                  </w:r>
                  <w:r>
                    <w:rPr>
                      <w:color w:val="auto"/>
                    </w:rPr>
                    <w:t>危险品</w:t>
                  </w:r>
                  <w:r>
                    <w:rPr>
                      <w:color w:val="auto"/>
                      <w:szCs w:val="21"/>
                    </w:rPr>
                    <w:t>仓储项目，项目不属于“三高”项目，项目用地不占用生态红线，资源利用量较小，不会突破资源利用上线。</w:t>
                  </w:r>
                </w:p>
              </w:tc>
              <w:tc>
                <w:tcPr>
                  <w:tcW w:w="487" w:type="pct"/>
                  <w:tcBorders>
                    <w:tl2br w:val="nil"/>
                    <w:tr2bl w:val="nil"/>
                  </w:tcBorders>
                  <w:vAlign w:val="center"/>
                </w:tcPr>
                <w:p>
                  <w:pPr>
                    <w:autoSpaceDE w:val="0"/>
                    <w:autoSpaceDN w:val="0"/>
                    <w:spacing w:line="300" w:lineRule="exact"/>
                    <w:jc w:val="center"/>
                    <w:rPr>
                      <w:color w:val="auto"/>
                      <w:szCs w:val="21"/>
                    </w:rPr>
                  </w:pPr>
                  <w:r>
                    <w:rPr>
                      <w:color w:val="auto"/>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335" w:type="pct"/>
                  <w:tcBorders>
                    <w:tl2br w:val="nil"/>
                    <w:tr2bl w:val="nil"/>
                  </w:tcBorders>
                  <w:vAlign w:val="center"/>
                </w:tcPr>
                <w:p>
                  <w:pPr>
                    <w:autoSpaceDE w:val="0"/>
                    <w:autoSpaceDN w:val="0"/>
                    <w:spacing w:line="300" w:lineRule="exact"/>
                    <w:jc w:val="center"/>
                    <w:rPr>
                      <w:color w:val="auto"/>
                      <w:szCs w:val="21"/>
                    </w:rPr>
                  </w:pPr>
                  <w:r>
                    <w:rPr>
                      <w:color w:val="auto"/>
                      <w:szCs w:val="21"/>
                    </w:rPr>
                    <w:t>2</w:t>
                  </w:r>
                </w:p>
              </w:tc>
              <w:tc>
                <w:tcPr>
                  <w:tcW w:w="1027" w:type="pct"/>
                  <w:tcBorders>
                    <w:tl2br w:val="nil"/>
                    <w:tr2bl w:val="nil"/>
                  </w:tcBorders>
                  <w:vAlign w:val="center"/>
                </w:tcPr>
                <w:p>
                  <w:pPr>
                    <w:autoSpaceDE w:val="0"/>
                    <w:autoSpaceDN w:val="0"/>
                    <w:spacing w:line="300" w:lineRule="exact"/>
                    <w:jc w:val="center"/>
                    <w:rPr>
                      <w:color w:val="auto"/>
                      <w:szCs w:val="21"/>
                    </w:rPr>
                  </w:pPr>
                  <w:r>
                    <w:rPr>
                      <w:color w:val="auto"/>
                      <w:szCs w:val="21"/>
                    </w:rPr>
                    <w:t>《新疆生态环境保护“十四五”规划》</w:t>
                  </w:r>
                </w:p>
              </w:tc>
              <w:tc>
                <w:tcPr>
                  <w:tcW w:w="1868" w:type="pct"/>
                  <w:tcBorders>
                    <w:tl2br w:val="nil"/>
                    <w:tr2bl w:val="nil"/>
                  </w:tcBorders>
                  <w:vAlign w:val="center"/>
                </w:tcPr>
                <w:p>
                  <w:pPr>
                    <w:autoSpaceDE w:val="0"/>
                    <w:autoSpaceDN w:val="0"/>
                    <w:spacing w:line="300" w:lineRule="exact"/>
                    <w:jc w:val="center"/>
                    <w:rPr>
                      <w:color w:val="auto"/>
                      <w:szCs w:val="21"/>
                    </w:rPr>
                  </w:pPr>
                  <w:r>
                    <w:rPr>
                      <w:color w:val="auto"/>
                      <w:szCs w:val="21"/>
                    </w:rPr>
                    <w:t>加强水资源、水生态、水环境系统管理。强化水资源刚性约束，深入推进最严格水资源管理制度，严格实行区域用水总量和强度控制，强化节水约束性指标管理。</w:t>
                  </w:r>
                </w:p>
              </w:tc>
              <w:tc>
                <w:tcPr>
                  <w:tcW w:w="1281" w:type="pct"/>
                  <w:tcBorders>
                    <w:tl2br w:val="nil"/>
                    <w:tr2bl w:val="nil"/>
                  </w:tcBorders>
                  <w:vAlign w:val="center"/>
                </w:tcPr>
                <w:p>
                  <w:pPr>
                    <w:autoSpaceDE w:val="0"/>
                    <w:autoSpaceDN w:val="0"/>
                    <w:spacing w:line="300" w:lineRule="exact"/>
                    <w:jc w:val="center"/>
                    <w:rPr>
                      <w:color w:val="auto"/>
                      <w:szCs w:val="21"/>
                    </w:rPr>
                  </w:pPr>
                  <w:r>
                    <w:rPr>
                      <w:color w:val="auto"/>
                      <w:szCs w:val="21"/>
                    </w:rPr>
                    <w:t>本项目用水仅为生活用水、绿化用水及消防用水，用水量总量较小。</w:t>
                  </w:r>
                </w:p>
              </w:tc>
              <w:tc>
                <w:tcPr>
                  <w:tcW w:w="487" w:type="pct"/>
                  <w:tcBorders>
                    <w:tl2br w:val="nil"/>
                    <w:tr2bl w:val="nil"/>
                  </w:tcBorders>
                  <w:vAlign w:val="center"/>
                </w:tcPr>
                <w:p>
                  <w:pPr>
                    <w:autoSpaceDE w:val="0"/>
                    <w:autoSpaceDN w:val="0"/>
                    <w:spacing w:line="300" w:lineRule="exact"/>
                    <w:jc w:val="center"/>
                    <w:rPr>
                      <w:color w:val="auto"/>
                      <w:szCs w:val="21"/>
                    </w:rPr>
                  </w:pPr>
                  <w:r>
                    <w:rPr>
                      <w:color w:val="auto"/>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35" w:type="pct"/>
                  <w:tcBorders>
                    <w:tl2br w:val="nil"/>
                    <w:tr2bl w:val="nil"/>
                  </w:tcBorders>
                  <w:vAlign w:val="center"/>
                </w:tcPr>
                <w:p>
                  <w:pPr>
                    <w:autoSpaceDE w:val="0"/>
                    <w:autoSpaceDN w:val="0"/>
                    <w:spacing w:line="300" w:lineRule="exact"/>
                    <w:jc w:val="center"/>
                    <w:rPr>
                      <w:color w:val="auto"/>
                      <w:szCs w:val="21"/>
                    </w:rPr>
                  </w:pPr>
                  <w:r>
                    <w:rPr>
                      <w:color w:val="auto"/>
                      <w:szCs w:val="21"/>
                    </w:rPr>
                    <w:t>3</w:t>
                  </w:r>
                </w:p>
              </w:tc>
              <w:tc>
                <w:tcPr>
                  <w:tcW w:w="1027" w:type="pct"/>
                  <w:tcBorders>
                    <w:tl2br w:val="nil"/>
                    <w:tr2bl w:val="nil"/>
                  </w:tcBorders>
                  <w:vAlign w:val="center"/>
                </w:tcPr>
                <w:p>
                  <w:pPr>
                    <w:autoSpaceDE w:val="0"/>
                    <w:autoSpaceDN w:val="0"/>
                    <w:spacing w:line="300" w:lineRule="exact"/>
                    <w:jc w:val="center"/>
                    <w:rPr>
                      <w:color w:val="auto"/>
                      <w:szCs w:val="21"/>
                    </w:rPr>
                  </w:pPr>
                  <w:r>
                    <w:rPr>
                      <w:color w:val="auto"/>
                      <w:szCs w:val="21"/>
                    </w:rPr>
                    <w:t>《巴州生态环境“十四五”规划》</w:t>
                  </w:r>
                </w:p>
              </w:tc>
              <w:tc>
                <w:tcPr>
                  <w:tcW w:w="1868" w:type="pct"/>
                  <w:tcBorders>
                    <w:tl2br w:val="nil"/>
                    <w:tr2bl w:val="nil"/>
                  </w:tcBorders>
                  <w:vAlign w:val="center"/>
                </w:tcPr>
                <w:p>
                  <w:pPr>
                    <w:autoSpaceDE w:val="0"/>
                    <w:autoSpaceDN w:val="0"/>
                    <w:spacing w:line="300" w:lineRule="exact"/>
                    <w:jc w:val="center"/>
                    <w:rPr>
                      <w:color w:val="auto"/>
                      <w:szCs w:val="21"/>
                    </w:rPr>
                  </w:pPr>
                  <w:r>
                    <w:rPr>
                      <w:color w:val="auto"/>
                      <w:szCs w:val="21"/>
                    </w:rPr>
                    <w:t>实施最严格的生态保护制度。坚决遏制“两高”项目盲目发展，严格执行能源、矿产资源开发自治区人民政府“一支笔”审批制度、环境保护“一票否决”制度，落实“三线一单”生态环境分区管控要求，守住生态保护红线、环境质量底线和自然资源利用上线，实施兵地统一的生态环境准入清单管控。</w:t>
                  </w:r>
                </w:p>
              </w:tc>
              <w:tc>
                <w:tcPr>
                  <w:tcW w:w="1281" w:type="pct"/>
                  <w:tcBorders>
                    <w:tl2br w:val="nil"/>
                    <w:tr2bl w:val="nil"/>
                  </w:tcBorders>
                  <w:vAlign w:val="center"/>
                </w:tcPr>
                <w:p>
                  <w:pPr>
                    <w:autoSpaceDE w:val="0"/>
                    <w:autoSpaceDN w:val="0"/>
                    <w:spacing w:line="300" w:lineRule="exact"/>
                    <w:jc w:val="center"/>
                    <w:rPr>
                      <w:color w:val="auto"/>
                      <w:szCs w:val="21"/>
                    </w:rPr>
                  </w:pPr>
                  <w:r>
                    <w:rPr>
                      <w:color w:val="auto"/>
                      <w:szCs w:val="21"/>
                    </w:rPr>
                    <w:t>本项目属于</w:t>
                  </w:r>
                  <w:r>
                    <w:rPr>
                      <w:color w:val="auto"/>
                    </w:rPr>
                    <w:t>危险品</w:t>
                  </w:r>
                  <w:r>
                    <w:rPr>
                      <w:color w:val="auto"/>
                      <w:szCs w:val="21"/>
                    </w:rPr>
                    <w:t>仓储项目，不属于“两高”项目，项目符合“三线一单”生态环境分区管控要求，不占用生态红线。</w:t>
                  </w:r>
                </w:p>
              </w:tc>
              <w:tc>
                <w:tcPr>
                  <w:tcW w:w="487" w:type="pct"/>
                  <w:tcBorders>
                    <w:tl2br w:val="nil"/>
                    <w:tr2bl w:val="nil"/>
                  </w:tcBorders>
                  <w:vAlign w:val="center"/>
                </w:tcPr>
                <w:p>
                  <w:pPr>
                    <w:autoSpaceDE w:val="0"/>
                    <w:autoSpaceDN w:val="0"/>
                    <w:spacing w:line="300" w:lineRule="exact"/>
                    <w:jc w:val="center"/>
                    <w:rPr>
                      <w:color w:val="auto"/>
                      <w:szCs w:val="21"/>
                    </w:rPr>
                  </w:pPr>
                  <w:r>
                    <w:rPr>
                      <w:color w:val="auto"/>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35" w:type="pct"/>
                  <w:tcBorders>
                    <w:tl2br w:val="nil"/>
                    <w:tr2bl w:val="nil"/>
                  </w:tcBorders>
                  <w:vAlign w:val="center"/>
                </w:tcPr>
                <w:p>
                  <w:pPr>
                    <w:autoSpaceDE w:val="0"/>
                    <w:autoSpaceDN w:val="0"/>
                    <w:spacing w:line="300" w:lineRule="exact"/>
                    <w:jc w:val="center"/>
                    <w:rPr>
                      <w:color w:val="auto"/>
                      <w:szCs w:val="21"/>
                    </w:rPr>
                  </w:pPr>
                  <w:r>
                    <w:rPr>
                      <w:color w:val="auto"/>
                      <w:szCs w:val="21"/>
                    </w:rPr>
                    <w:t>4</w:t>
                  </w:r>
                </w:p>
              </w:tc>
              <w:tc>
                <w:tcPr>
                  <w:tcW w:w="1027" w:type="pct"/>
                  <w:tcBorders>
                    <w:tl2br w:val="nil"/>
                    <w:tr2bl w:val="nil"/>
                  </w:tcBorders>
                  <w:vAlign w:val="center"/>
                </w:tcPr>
                <w:p>
                  <w:pPr>
                    <w:autoSpaceDE w:val="0"/>
                    <w:autoSpaceDN w:val="0"/>
                    <w:spacing w:line="300" w:lineRule="exact"/>
                    <w:jc w:val="center"/>
                    <w:rPr>
                      <w:color w:val="auto"/>
                      <w:szCs w:val="21"/>
                    </w:rPr>
                  </w:pPr>
                  <w:r>
                    <w:rPr>
                      <w:color w:val="auto"/>
                      <w:szCs w:val="21"/>
                    </w:rPr>
                    <w:t>《危险化学品安全管理条例》</w:t>
                  </w:r>
                </w:p>
              </w:tc>
              <w:tc>
                <w:tcPr>
                  <w:tcW w:w="1868" w:type="pct"/>
                  <w:tcBorders>
                    <w:tl2br w:val="nil"/>
                    <w:tr2bl w:val="nil"/>
                  </w:tcBorders>
                  <w:vAlign w:val="center"/>
                </w:tcPr>
                <w:p>
                  <w:pPr>
                    <w:autoSpaceDE w:val="0"/>
                    <w:autoSpaceDN w:val="0"/>
                    <w:spacing w:line="300" w:lineRule="exact"/>
                    <w:jc w:val="center"/>
                    <w:rPr>
                      <w:color w:val="auto"/>
                      <w:szCs w:val="21"/>
                    </w:rPr>
                  </w:pPr>
                  <w:r>
                    <w:rPr>
                      <w:color w:val="auto"/>
                      <w:szCs w:val="21"/>
                    </w:rPr>
                    <w:t>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w:t>
                  </w:r>
                </w:p>
              </w:tc>
              <w:tc>
                <w:tcPr>
                  <w:tcW w:w="1281" w:type="pct"/>
                  <w:tcBorders>
                    <w:tl2br w:val="nil"/>
                    <w:tr2bl w:val="nil"/>
                  </w:tcBorders>
                  <w:vAlign w:val="center"/>
                </w:tcPr>
                <w:p>
                  <w:pPr>
                    <w:autoSpaceDE w:val="0"/>
                    <w:autoSpaceDN w:val="0"/>
                    <w:spacing w:line="300" w:lineRule="exact"/>
                    <w:jc w:val="center"/>
                    <w:rPr>
                      <w:color w:val="auto"/>
                      <w:szCs w:val="21"/>
                    </w:rPr>
                  </w:pPr>
                  <w:r>
                    <w:rPr>
                      <w:color w:val="auto"/>
                      <w:szCs w:val="21"/>
                    </w:rPr>
                    <w:t>本项目主要储存烟花爆竹，项目区内设置静电桩、消防水池、一套监控系统、消防泵、消防水枪、灭火器、防雷装置以及手动火灾报警装置等，本报告要求运营单位定期维护保养安全设施，维持安全设施的正常运行。</w:t>
                  </w:r>
                </w:p>
              </w:tc>
              <w:tc>
                <w:tcPr>
                  <w:tcW w:w="487" w:type="pct"/>
                  <w:tcBorders>
                    <w:tl2br w:val="nil"/>
                    <w:tr2bl w:val="nil"/>
                  </w:tcBorders>
                  <w:vAlign w:val="center"/>
                </w:tcPr>
                <w:p>
                  <w:pPr>
                    <w:autoSpaceDE w:val="0"/>
                    <w:autoSpaceDN w:val="0"/>
                    <w:spacing w:line="300" w:lineRule="exact"/>
                    <w:jc w:val="center"/>
                    <w:rPr>
                      <w:color w:val="auto"/>
                      <w:szCs w:val="21"/>
                    </w:rPr>
                  </w:pPr>
                  <w:r>
                    <w:rPr>
                      <w:color w:val="auto"/>
                      <w:szCs w:val="21"/>
                    </w:rPr>
                    <w:t>符合</w:t>
                  </w:r>
                </w:p>
              </w:tc>
            </w:tr>
          </w:tbl>
          <w:p>
            <w:pPr>
              <w:pStyle w:val="43"/>
              <w:kinsoku w:val="0"/>
              <w:overflowPunct w:val="0"/>
              <w:spacing w:before="1"/>
              <w:rPr>
                <w:rFonts w:ascii="Times New Roman" w:cs="Times New Roman"/>
                <w:b/>
                <w:bCs/>
                <w:color w:val="auto"/>
              </w:rPr>
            </w:pPr>
          </w:p>
        </w:tc>
      </w:tr>
    </w:tbl>
    <w:p>
      <w:pPr>
        <w:spacing w:line="360" w:lineRule="auto"/>
        <w:outlineLvl w:val="0"/>
        <w:rPr>
          <w:rFonts w:eastAsia="黑体"/>
          <w:color w:val="auto"/>
          <w:sz w:val="30"/>
        </w:rPr>
        <w:sectPr>
          <w:footerReference r:id="rId5" w:type="default"/>
          <w:pgSz w:w="11906" w:h="16838"/>
          <w:pgMar w:top="1701" w:right="1531" w:bottom="1701" w:left="1531" w:header="851" w:footer="1077" w:gutter="0"/>
          <w:pgNumType w:start="1"/>
          <w:cols w:space="720" w:num="1"/>
          <w:docGrid w:linePitch="312" w:charSpace="0"/>
        </w:sectPr>
      </w:pPr>
    </w:p>
    <w:p>
      <w:pPr>
        <w:pStyle w:val="23"/>
        <w:jc w:val="both"/>
        <w:outlineLvl w:val="0"/>
        <w:rPr>
          <w:rFonts w:ascii="Times New Roman" w:hAnsi="Times New Roman" w:eastAsia="黑体"/>
          <w:snapToGrid w:val="0"/>
          <w:color w:val="auto"/>
          <w:sz w:val="30"/>
          <w:szCs w:val="30"/>
        </w:rPr>
      </w:pPr>
      <w:r>
        <w:rPr>
          <w:rFonts w:ascii="Times New Roman" w:hAnsi="Times New Roman" w:eastAsia="黑体"/>
          <w:snapToGrid w:val="0"/>
          <w:color w:val="auto"/>
          <w:sz w:val="30"/>
          <w:szCs w:val="30"/>
        </w:rPr>
        <w:t>二、建设项目工程分析</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84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555" w:hRule="atLeast"/>
          <w:jc w:val="center"/>
        </w:trPr>
        <w:tc>
          <w:tcPr>
            <w:tcW w:w="659" w:type="dxa"/>
            <w:vAlign w:val="center"/>
          </w:tcPr>
          <w:p>
            <w:pPr>
              <w:pStyle w:val="23"/>
              <w:adjustRightInd w:val="0"/>
              <w:snapToGrid w:val="0"/>
              <w:spacing w:before="0" w:beforeAutospacing="0" w:after="0" w:afterAutospacing="0"/>
              <w:jc w:val="center"/>
              <w:rPr>
                <w:rFonts w:ascii="Times New Roman" w:hAnsi="Times New Roman"/>
                <w:color w:val="auto"/>
                <w:sz w:val="21"/>
                <w:szCs w:val="21"/>
              </w:rPr>
            </w:pPr>
            <w:r>
              <w:rPr>
                <w:rFonts w:ascii="Times New Roman" w:hAnsi="Times New Roman"/>
                <w:color w:val="auto"/>
                <w:sz w:val="21"/>
                <w:szCs w:val="21"/>
              </w:rPr>
              <w:t>建设内容</w:t>
            </w:r>
          </w:p>
        </w:tc>
        <w:tc>
          <w:tcPr>
            <w:tcW w:w="8401" w:type="dxa"/>
          </w:tcPr>
          <w:p>
            <w:pPr>
              <w:spacing w:line="520" w:lineRule="exact"/>
              <w:rPr>
                <w:b/>
                <w:color w:val="auto"/>
                <w:kern w:val="0"/>
                <w:sz w:val="24"/>
              </w:rPr>
            </w:pPr>
            <w:r>
              <w:rPr>
                <w:b/>
                <w:color w:val="auto"/>
                <w:kern w:val="0"/>
                <w:sz w:val="24"/>
              </w:rPr>
              <w:t>一、项目由来</w:t>
            </w:r>
          </w:p>
          <w:p>
            <w:pPr>
              <w:spacing w:line="520" w:lineRule="exact"/>
              <w:ind w:firstLine="480" w:firstLineChars="200"/>
              <w:contextualSpacing/>
              <w:rPr>
                <w:color w:val="auto"/>
                <w:sz w:val="24"/>
              </w:rPr>
            </w:pPr>
            <w:r>
              <w:rPr>
                <w:color w:val="auto"/>
                <w:sz w:val="24"/>
              </w:rPr>
              <w:t>为适应烟花爆竹行业的发展需求，尉犁县祥立烟花爆竹销售有限公司拟投资1200万元，在巴音郭楞蒙古自治州尉犁县建设烟花、爆竹库房项目。项目占地面积7122m</w:t>
            </w:r>
            <w:r>
              <w:rPr>
                <w:color w:val="auto"/>
                <w:sz w:val="24"/>
                <w:vertAlign w:val="superscript"/>
              </w:rPr>
              <w:t>2</w:t>
            </w:r>
            <w:r>
              <w:rPr>
                <w:color w:val="auto"/>
                <w:sz w:val="24"/>
              </w:rPr>
              <w:t>，计划建设2座烟花爆竹仓库、1个消防水池、1座消防泵房及发电机房，1座值班室及消防控制室，建筑总占地面积1248m</w:t>
            </w:r>
            <w:r>
              <w:rPr>
                <w:color w:val="auto"/>
                <w:sz w:val="24"/>
                <w:vertAlign w:val="superscript"/>
              </w:rPr>
              <w:t>2</w:t>
            </w:r>
            <w:r>
              <w:rPr>
                <w:color w:val="auto"/>
                <w:sz w:val="24"/>
              </w:rPr>
              <w:t>。项目建成后，储存烟花类（C、D级）10t/a、爆竹类（C级）10t/a。</w:t>
            </w:r>
          </w:p>
          <w:p>
            <w:pPr>
              <w:numPr>
                <w:ilvl w:val="0"/>
                <w:numId w:val="5"/>
              </w:numPr>
              <w:spacing w:line="520" w:lineRule="exact"/>
              <w:rPr>
                <w:color w:val="auto"/>
              </w:rPr>
            </w:pPr>
            <w:r>
              <w:rPr>
                <w:b/>
                <w:color w:val="auto"/>
                <w:kern w:val="0"/>
                <w:sz w:val="24"/>
              </w:rPr>
              <w:t>工程概况</w:t>
            </w:r>
          </w:p>
          <w:p>
            <w:pPr>
              <w:spacing w:line="520" w:lineRule="exact"/>
              <w:ind w:firstLine="482" w:firstLineChars="200"/>
              <w:contextualSpacing/>
              <w:rPr>
                <w:b/>
                <w:bCs/>
                <w:color w:val="auto"/>
                <w:sz w:val="24"/>
              </w:rPr>
            </w:pPr>
            <w:r>
              <w:rPr>
                <w:b/>
                <w:bCs/>
                <w:color w:val="auto"/>
                <w:sz w:val="24"/>
              </w:rPr>
              <w:t>2.1、项目地理位置</w:t>
            </w:r>
          </w:p>
          <w:p>
            <w:pPr>
              <w:spacing w:line="520" w:lineRule="exact"/>
              <w:ind w:firstLine="480" w:firstLineChars="200"/>
              <w:contextualSpacing/>
              <w:rPr>
                <w:color w:val="auto"/>
                <w:sz w:val="24"/>
              </w:rPr>
            </w:pPr>
            <w:r>
              <w:rPr>
                <w:color w:val="auto"/>
                <w:sz w:val="24"/>
              </w:rPr>
              <w:t>本项目位于新疆维吾尔自治区巴音郭楞蒙古自治州尉犁县尉东园区以南0.8km处西侧，中心地理坐标为</w:t>
            </w:r>
            <w:r>
              <w:rPr>
                <w:rFonts w:hint="eastAsia"/>
                <w:color w:val="auto"/>
                <w:sz w:val="24"/>
              </w:rPr>
              <w:t>经度</w:t>
            </w:r>
            <w:r>
              <w:rPr>
                <w:color w:val="auto"/>
                <w:sz w:val="24"/>
              </w:rPr>
              <w:t>86度29分23.200秒</w:t>
            </w:r>
            <w:r>
              <w:rPr>
                <w:rFonts w:hint="eastAsia"/>
                <w:color w:val="auto"/>
                <w:sz w:val="24"/>
              </w:rPr>
              <w:t>，纬度</w:t>
            </w:r>
            <w:r>
              <w:rPr>
                <w:color w:val="auto"/>
                <w:sz w:val="24"/>
              </w:rPr>
              <w:t>41度17分25.727秒，项目区东侧</w:t>
            </w:r>
            <w:r>
              <w:rPr>
                <w:rFonts w:hint="eastAsia"/>
                <w:color w:val="auto"/>
                <w:sz w:val="24"/>
              </w:rPr>
              <w:t>95m处</w:t>
            </w:r>
            <w:r>
              <w:rPr>
                <w:color w:val="auto"/>
                <w:sz w:val="24"/>
              </w:rPr>
              <w:t>为尉犁县尉东工业园区道路，北侧、南侧、西侧均为空地。具体地理位置详见附图1项目地理图及附图2项目区周边环境关系图。</w:t>
            </w:r>
          </w:p>
          <w:p>
            <w:pPr>
              <w:spacing w:line="520" w:lineRule="exact"/>
              <w:ind w:firstLine="482" w:firstLineChars="200"/>
              <w:contextualSpacing/>
              <w:rPr>
                <w:b/>
                <w:bCs/>
                <w:color w:val="auto"/>
                <w:sz w:val="24"/>
              </w:rPr>
            </w:pPr>
            <w:r>
              <w:rPr>
                <w:b/>
                <w:bCs/>
                <w:color w:val="auto"/>
                <w:sz w:val="24"/>
              </w:rPr>
              <w:t>2.2、建设内容与规模</w:t>
            </w:r>
          </w:p>
          <w:p>
            <w:pPr>
              <w:spacing w:line="520" w:lineRule="exact"/>
              <w:ind w:firstLine="480" w:firstLineChars="200"/>
              <w:contextualSpacing/>
              <w:rPr>
                <w:color w:val="auto"/>
                <w:sz w:val="24"/>
              </w:rPr>
            </w:pPr>
            <w:r>
              <w:rPr>
                <w:color w:val="auto"/>
                <w:sz w:val="24"/>
              </w:rPr>
              <w:t>本项目总占地面积7122m</w:t>
            </w:r>
            <w:r>
              <w:rPr>
                <w:color w:val="auto"/>
                <w:sz w:val="24"/>
                <w:vertAlign w:val="superscript"/>
              </w:rPr>
              <w:t>2</w:t>
            </w:r>
            <w:r>
              <w:rPr>
                <w:color w:val="auto"/>
                <w:sz w:val="24"/>
              </w:rPr>
              <w:t>，建筑面积为1248m</w:t>
            </w:r>
            <w:r>
              <w:rPr>
                <w:color w:val="auto"/>
                <w:sz w:val="24"/>
                <w:vertAlign w:val="superscript"/>
              </w:rPr>
              <w:t>2</w:t>
            </w:r>
            <w:r>
              <w:rPr>
                <w:color w:val="auto"/>
                <w:sz w:val="24"/>
              </w:rPr>
              <w:t>。项目主要建设内容为1#仓库、2#仓库、消防水池、消防泵房及发电机房，值班室及消防控制室等。具体建设内容见表2-1。</w:t>
            </w:r>
          </w:p>
          <w:p>
            <w:pPr>
              <w:pStyle w:val="52"/>
              <w:rPr>
                <w:color w:val="auto"/>
              </w:rPr>
            </w:pPr>
            <w:r>
              <w:rPr>
                <w:color w:val="auto"/>
              </w:rPr>
              <w:t>表2-1  项目组成一览表</w:t>
            </w:r>
          </w:p>
          <w:tbl>
            <w:tblPr>
              <w:tblStyle w:val="27"/>
              <w:tblW w:w="4998"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571"/>
              <w:gridCol w:w="4435"/>
              <w:gridCol w:w="105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46" w:type="pct"/>
                  <w:gridSpan w:val="2"/>
                  <w:tcBorders>
                    <w:tl2br w:val="nil"/>
                    <w:tr2bl w:val="nil"/>
                  </w:tcBorders>
                  <w:vAlign w:val="center"/>
                </w:tcPr>
                <w:p>
                  <w:pPr>
                    <w:spacing w:line="300" w:lineRule="exact"/>
                    <w:jc w:val="center"/>
                    <w:rPr>
                      <w:color w:val="auto"/>
                      <w:szCs w:val="21"/>
                    </w:rPr>
                  </w:pPr>
                  <w:r>
                    <w:rPr>
                      <w:color w:val="auto"/>
                      <w:szCs w:val="21"/>
                    </w:rPr>
                    <w:t>工程内容</w:t>
                  </w:r>
                </w:p>
              </w:tc>
              <w:tc>
                <w:tcPr>
                  <w:tcW w:w="2710" w:type="pct"/>
                  <w:tcBorders>
                    <w:tl2br w:val="nil"/>
                    <w:tr2bl w:val="nil"/>
                  </w:tcBorders>
                  <w:vAlign w:val="center"/>
                </w:tcPr>
                <w:p>
                  <w:pPr>
                    <w:spacing w:line="300" w:lineRule="exact"/>
                    <w:jc w:val="center"/>
                    <w:rPr>
                      <w:color w:val="auto"/>
                      <w:szCs w:val="21"/>
                    </w:rPr>
                  </w:pPr>
                  <w:r>
                    <w:rPr>
                      <w:color w:val="auto"/>
                      <w:szCs w:val="21"/>
                    </w:rPr>
                    <w:t>项目组成</w:t>
                  </w:r>
                </w:p>
              </w:tc>
              <w:tc>
                <w:tcPr>
                  <w:tcW w:w="642" w:type="pct"/>
                  <w:tcBorders>
                    <w:tl2br w:val="nil"/>
                    <w:tr2bl w:val="nil"/>
                  </w:tcBorders>
                  <w:vAlign w:val="center"/>
                </w:tcPr>
                <w:p>
                  <w:pPr>
                    <w:spacing w:line="300" w:lineRule="exact"/>
                    <w:jc w:val="center"/>
                    <w:rPr>
                      <w:color w:val="auto"/>
                      <w:szCs w:val="21"/>
                    </w:rPr>
                  </w:pPr>
                  <w:r>
                    <w:rPr>
                      <w:color w:val="auto"/>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86" w:type="pct"/>
                  <w:vMerge w:val="restart"/>
                  <w:tcBorders>
                    <w:tl2br w:val="nil"/>
                    <w:tr2bl w:val="nil"/>
                  </w:tcBorders>
                  <w:vAlign w:val="center"/>
                </w:tcPr>
                <w:p>
                  <w:pPr>
                    <w:spacing w:line="300" w:lineRule="exact"/>
                    <w:jc w:val="center"/>
                    <w:rPr>
                      <w:color w:val="auto"/>
                      <w:szCs w:val="21"/>
                    </w:rPr>
                  </w:pPr>
                  <w:r>
                    <w:rPr>
                      <w:color w:val="auto"/>
                      <w:szCs w:val="21"/>
                    </w:rPr>
                    <w:t>主体工程</w:t>
                  </w:r>
                </w:p>
              </w:tc>
              <w:tc>
                <w:tcPr>
                  <w:tcW w:w="960" w:type="pct"/>
                  <w:tcBorders>
                    <w:tl2br w:val="nil"/>
                    <w:tr2bl w:val="nil"/>
                  </w:tcBorders>
                  <w:vAlign w:val="center"/>
                </w:tcPr>
                <w:p>
                  <w:pPr>
                    <w:spacing w:line="300" w:lineRule="exact"/>
                    <w:jc w:val="center"/>
                    <w:rPr>
                      <w:color w:val="auto"/>
                      <w:szCs w:val="21"/>
                    </w:rPr>
                  </w:pPr>
                  <w:r>
                    <w:rPr>
                      <w:color w:val="auto"/>
                      <w:szCs w:val="21"/>
                    </w:rPr>
                    <w:t>1#仓库</w:t>
                  </w:r>
                </w:p>
              </w:tc>
              <w:tc>
                <w:tcPr>
                  <w:tcW w:w="2710" w:type="pct"/>
                  <w:tcBorders>
                    <w:tl2br w:val="nil"/>
                    <w:tr2bl w:val="nil"/>
                  </w:tcBorders>
                  <w:vAlign w:val="center"/>
                </w:tcPr>
                <w:p>
                  <w:pPr>
                    <w:spacing w:line="300" w:lineRule="exact"/>
                    <w:jc w:val="center"/>
                    <w:rPr>
                      <w:color w:val="auto"/>
                      <w:szCs w:val="21"/>
                    </w:rPr>
                  </w:pPr>
                  <w:r>
                    <w:rPr>
                      <w:color w:val="auto"/>
                      <w:szCs w:val="21"/>
                    </w:rPr>
                    <w:t>设计1#仓库为一层，</w:t>
                  </w:r>
                  <w:r>
                    <w:rPr>
                      <w:rFonts w:hint="eastAsia"/>
                      <w:color w:val="auto"/>
                      <w:szCs w:val="21"/>
                    </w:rPr>
                    <w:t>建筑结构为</w:t>
                  </w:r>
                  <w:r>
                    <w:rPr>
                      <w:color w:val="auto"/>
                      <w:szCs w:val="21"/>
                    </w:rPr>
                    <w:t>现浇钢筋混凝土框架结构</w:t>
                  </w:r>
                  <w:r>
                    <w:rPr>
                      <w:rFonts w:hint="eastAsia"/>
                      <w:color w:val="auto"/>
                      <w:szCs w:val="21"/>
                    </w:rPr>
                    <w:t>；</w:t>
                  </w:r>
                  <w:r>
                    <w:rPr>
                      <w:color w:val="auto"/>
                      <w:szCs w:val="21"/>
                    </w:rPr>
                    <w:t>面积500m</w:t>
                  </w:r>
                  <w:r>
                    <w:rPr>
                      <w:color w:val="auto"/>
                      <w:szCs w:val="21"/>
                      <w:vertAlign w:val="superscript"/>
                    </w:rPr>
                    <w:t>2</w:t>
                  </w:r>
                  <w:r>
                    <w:rPr>
                      <w:color w:val="auto"/>
                      <w:szCs w:val="21"/>
                    </w:rPr>
                    <w:t>，高度为6.6m，用于储存烟花类（C、D级），危险等级1.3级，限定存药量10t（计算药量）。</w:t>
                  </w:r>
                </w:p>
              </w:tc>
              <w:tc>
                <w:tcPr>
                  <w:tcW w:w="642" w:type="pct"/>
                  <w:tcBorders>
                    <w:tl2br w:val="nil"/>
                    <w:tr2bl w:val="nil"/>
                  </w:tcBorders>
                  <w:vAlign w:val="center"/>
                </w:tcPr>
                <w:p>
                  <w:pPr>
                    <w:spacing w:line="300" w:lineRule="exact"/>
                    <w:jc w:val="center"/>
                    <w:rPr>
                      <w:color w:val="auto"/>
                      <w:szCs w:val="21"/>
                    </w:rPr>
                  </w:pPr>
                  <w:r>
                    <w:rPr>
                      <w:color w:val="auto"/>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86" w:type="pct"/>
                  <w:vMerge w:val="continue"/>
                  <w:tcBorders>
                    <w:tl2br w:val="nil"/>
                    <w:tr2bl w:val="nil"/>
                  </w:tcBorders>
                  <w:vAlign w:val="center"/>
                </w:tcPr>
                <w:p>
                  <w:pPr>
                    <w:spacing w:line="300" w:lineRule="exact"/>
                    <w:jc w:val="center"/>
                    <w:rPr>
                      <w:color w:val="auto"/>
                      <w:szCs w:val="21"/>
                    </w:rPr>
                  </w:pPr>
                </w:p>
              </w:tc>
              <w:tc>
                <w:tcPr>
                  <w:tcW w:w="960" w:type="pct"/>
                  <w:tcBorders>
                    <w:tl2br w:val="nil"/>
                    <w:tr2bl w:val="nil"/>
                  </w:tcBorders>
                  <w:vAlign w:val="center"/>
                </w:tcPr>
                <w:p>
                  <w:pPr>
                    <w:spacing w:line="300" w:lineRule="exact"/>
                    <w:jc w:val="center"/>
                    <w:rPr>
                      <w:color w:val="auto"/>
                      <w:szCs w:val="21"/>
                    </w:rPr>
                  </w:pPr>
                  <w:r>
                    <w:rPr>
                      <w:color w:val="auto"/>
                      <w:szCs w:val="21"/>
                    </w:rPr>
                    <w:t>2#仓库</w:t>
                  </w:r>
                </w:p>
              </w:tc>
              <w:tc>
                <w:tcPr>
                  <w:tcW w:w="2710" w:type="pct"/>
                  <w:tcBorders>
                    <w:tl2br w:val="nil"/>
                    <w:tr2bl w:val="nil"/>
                  </w:tcBorders>
                  <w:vAlign w:val="center"/>
                </w:tcPr>
                <w:p>
                  <w:pPr>
                    <w:spacing w:line="300" w:lineRule="exact"/>
                    <w:jc w:val="center"/>
                    <w:rPr>
                      <w:color w:val="auto"/>
                      <w:szCs w:val="21"/>
                    </w:rPr>
                  </w:pPr>
                  <w:r>
                    <w:rPr>
                      <w:color w:val="auto"/>
                      <w:szCs w:val="21"/>
                    </w:rPr>
                    <w:t>设计2#仓库为一层，</w:t>
                  </w:r>
                  <w:r>
                    <w:rPr>
                      <w:rFonts w:hint="eastAsia"/>
                      <w:color w:val="auto"/>
                      <w:szCs w:val="21"/>
                    </w:rPr>
                    <w:t>建筑结构为</w:t>
                  </w:r>
                  <w:r>
                    <w:rPr>
                      <w:color w:val="auto"/>
                      <w:szCs w:val="21"/>
                    </w:rPr>
                    <w:t>现浇钢筋混凝土框架结构</w:t>
                  </w:r>
                  <w:r>
                    <w:rPr>
                      <w:rFonts w:hint="eastAsia"/>
                      <w:color w:val="auto"/>
                      <w:szCs w:val="21"/>
                    </w:rPr>
                    <w:t>；</w:t>
                  </w:r>
                  <w:r>
                    <w:rPr>
                      <w:color w:val="auto"/>
                      <w:szCs w:val="21"/>
                    </w:rPr>
                    <w:t>面积500m</w:t>
                  </w:r>
                  <w:r>
                    <w:rPr>
                      <w:color w:val="auto"/>
                      <w:szCs w:val="21"/>
                      <w:vertAlign w:val="superscript"/>
                    </w:rPr>
                    <w:t>2</w:t>
                  </w:r>
                  <w:r>
                    <w:rPr>
                      <w:color w:val="auto"/>
                      <w:szCs w:val="21"/>
                    </w:rPr>
                    <w:t>，高度为6.6m，用于储存爆竹类（C级），危险等级1.3级，限定存药量10t（计算药量）。</w:t>
                  </w:r>
                </w:p>
              </w:tc>
              <w:tc>
                <w:tcPr>
                  <w:tcW w:w="642" w:type="pct"/>
                  <w:tcBorders>
                    <w:tl2br w:val="nil"/>
                    <w:tr2bl w:val="nil"/>
                  </w:tcBorders>
                  <w:vAlign w:val="center"/>
                </w:tcPr>
                <w:p>
                  <w:pPr>
                    <w:spacing w:line="300" w:lineRule="exact"/>
                    <w:jc w:val="center"/>
                    <w:rPr>
                      <w:color w:val="auto"/>
                      <w:szCs w:val="21"/>
                    </w:rPr>
                  </w:pPr>
                  <w:r>
                    <w:rPr>
                      <w:color w:val="auto"/>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86" w:type="pct"/>
                  <w:vMerge w:val="restart"/>
                  <w:tcBorders>
                    <w:tl2br w:val="nil"/>
                    <w:tr2bl w:val="nil"/>
                  </w:tcBorders>
                  <w:vAlign w:val="center"/>
                </w:tcPr>
                <w:p>
                  <w:pPr>
                    <w:spacing w:line="300" w:lineRule="exact"/>
                    <w:jc w:val="center"/>
                    <w:rPr>
                      <w:color w:val="auto"/>
                      <w:szCs w:val="21"/>
                    </w:rPr>
                  </w:pPr>
                  <w:r>
                    <w:rPr>
                      <w:color w:val="auto"/>
                      <w:szCs w:val="21"/>
                    </w:rPr>
                    <w:t>辅助工程</w:t>
                  </w:r>
                </w:p>
              </w:tc>
              <w:tc>
                <w:tcPr>
                  <w:tcW w:w="960" w:type="pct"/>
                  <w:tcBorders>
                    <w:tl2br w:val="nil"/>
                    <w:tr2bl w:val="nil"/>
                  </w:tcBorders>
                  <w:vAlign w:val="center"/>
                </w:tcPr>
                <w:p>
                  <w:pPr>
                    <w:spacing w:line="300" w:lineRule="exact"/>
                    <w:jc w:val="center"/>
                    <w:rPr>
                      <w:color w:val="auto"/>
                      <w:szCs w:val="21"/>
                    </w:rPr>
                  </w:pPr>
                  <w:r>
                    <w:rPr>
                      <w:color w:val="auto"/>
                      <w:szCs w:val="21"/>
                    </w:rPr>
                    <w:t>值班室及消防控制室</w:t>
                  </w:r>
                </w:p>
              </w:tc>
              <w:tc>
                <w:tcPr>
                  <w:tcW w:w="2710" w:type="pct"/>
                  <w:tcBorders>
                    <w:tl2br w:val="nil"/>
                    <w:tr2bl w:val="nil"/>
                  </w:tcBorders>
                  <w:vAlign w:val="center"/>
                </w:tcPr>
                <w:p>
                  <w:pPr>
                    <w:spacing w:line="300" w:lineRule="exact"/>
                    <w:jc w:val="center"/>
                    <w:rPr>
                      <w:color w:val="auto"/>
                      <w:szCs w:val="21"/>
                    </w:rPr>
                  </w:pPr>
                  <w:r>
                    <w:rPr>
                      <w:color w:val="auto"/>
                      <w:szCs w:val="21"/>
                    </w:rPr>
                    <w:t>项目辅助用房占地面积104m</w:t>
                  </w:r>
                  <w:r>
                    <w:rPr>
                      <w:color w:val="auto"/>
                      <w:szCs w:val="21"/>
                      <w:vertAlign w:val="superscript"/>
                    </w:rPr>
                    <w:t>2</w:t>
                  </w:r>
                  <w:r>
                    <w:rPr>
                      <w:color w:val="auto"/>
                      <w:szCs w:val="21"/>
                    </w:rPr>
                    <w:t>，主要设置办公室及视频监控等。</w:t>
                  </w:r>
                </w:p>
              </w:tc>
              <w:tc>
                <w:tcPr>
                  <w:tcW w:w="642" w:type="pct"/>
                  <w:tcBorders>
                    <w:tl2br w:val="nil"/>
                    <w:tr2bl w:val="nil"/>
                  </w:tcBorders>
                  <w:vAlign w:val="center"/>
                </w:tcPr>
                <w:p>
                  <w:pPr>
                    <w:spacing w:line="300" w:lineRule="exact"/>
                    <w:jc w:val="center"/>
                    <w:rPr>
                      <w:color w:val="auto"/>
                      <w:szCs w:val="21"/>
                    </w:rPr>
                  </w:pPr>
                  <w:r>
                    <w:rPr>
                      <w:color w:val="auto"/>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86" w:type="pct"/>
                  <w:vMerge w:val="continue"/>
                  <w:tcBorders>
                    <w:tl2br w:val="nil"/>
                    <w:tr2bl w:val="nil"/>
                  </w:tcBorders>
                  <w:vAlign w:val="center"/>
                </w:tcPr>
                <w:p>
                  <w:pPr>
                    <w:spacing w:line="300" w:lineRule="exact"/>
                    <w:jc w:val="center"/>
                    <w:rPr>
                      <w:color w:val="auto"/>
                      <w:szCs w:val="21"/>
                    </w:rPr>
                  </w:pPr>
                </w:p>
              </w:tc>
              <w:tc>
                <w:tcPr>
                  <w:tcW w:w="960" w:type="pct"/>
                  <w:tcBorders>
                    <w:tl2br w:val="nil"/>
                    <w:tr2bl w:val="nil"/>
                  </w:tcBorders>
                  <w:vAlign w:val="center"/>
                </w:tcPr>
                <w:p>
                  <w:pPr>
                    <w:spacing w:line="300" w:lineRule="exact"/>
                    <w:jc w:val="center"/>
                    <w:rPr>
                      <w:color w:val="auto"/>
                      <w:szCs w:val="21"/>
                    </w:rPr>
                  </w:pPr>
                  <w:r>
                    <w:rPr>
                      <w:color w:val="auto"/>
                      <w:szCs w:val="21"/>
                    </w:rPr>
                    <w:t>消防水池</w:t>
                  </w:r>
                </w:p>
              </w:tc>
              <w:tc>
                <w:tcPr>
                  <w:tcW w:w="2710" w:type="pct"/>
                  <w:tcBorders>
                    <w:tl2br w:val="nil"/>
                    <w:tr2bl w:val="nil"/>
                  </w:tcBorders>
                  <w:vAlign w:val="center"/>
                </w:tcPr>
                <w:p>
                  <w:pPr>
                    <w:pStyle w:val="11"/>
                    <w:rPr>
                      <w:color w:val="auto"/>
                      <w:szCs w:val="21"/>
                    </w:rPr>
                  </w:pPr>
                  <w:r>
                    <w:rPr>
                      <w:color w:val="auto"/>
                      <w:szCs w:val="21"/>
                    </w:rPr>
                    <w:t>消防水池位于场地东南角，属于地埋式消防水池，有效容积为400m</w:t>
                  </w:r>
                  <w:r>
                    <w:rPr>
                      <w:color w:val="auto"/>
                      <w:szCs w:val="21"/>
                      <w:vertAlign w:val="superscript"/>
                    </w:rPr>
                    <w:t>3</w:t>
                  </w:r>
                  <w:r>
                    <w:rPr>
                      <w:color w:val="auto"/>
                      <w:szCs w:val="21"/>
                    </w:rPr>
                    <w:t>。</w:t>
                  </w:r>
                  <w:r>
                    <w:rPr>
                      <w:rFonts w:hint="eastAsia"/>
                      <w:color w:val="auto"/>
                    </w:rPr>
                    <w:t>消防水池兼用消防事故废水收集。</w:t>
                  </w:r>
                </w:p>
              </w:tc>
              <w:tc>
                <w:tcPr>
                  <w:tcW w:w="642" w:type="pct"/>
                  <w:tcBorders>
                    <w:tl2br w:val="nil"/>
                    <w:tr2bl w:val="nil"/>
                  </w:tcBorders>
                  <w:vAlign w:val="center"/>
                </w:tcPr>
                <w:p>
                  <w:pPr>
                    <w:spacing w:line="300" w:lineRule="exact"/>
                    <w:jc w:val="center"/>
                    <w:rPr>
                      <w:color w:val="auto"/>
                      <w:szCs w:val="21"/>
                    </w:rPr>
                  </w:pPr>
                  <w:r>
                    <w:rPr>
                      <w:color w:val="auto"/>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86" w:type="pct"/>
                  <w:vMerge w:val="continue"/>
                  <w:tcBorders>
                    <w:tl2br w:val="nil"/>
                    <w:tr2bl w:val="nil"/>
                  </w:tcBorders>
                  <w:vAlign w:val="center"/>
                </w:tcPr>
                <w:p>
                  <w:pPr>
                    <w:spacing w:line="300" w:lineRule="exact"/>
                    <w:jc w:val="center"/>
                    <w:rPr>
                      <w:color w:val="auto"/>
                      <w:szCs w:val="21"/>
                    </w:rPr>
                  </w:pPr>
                </w:p>
              </w:tc>
              <w:tc>
                <w:tcPr>
                  <w:tcW w:w="960" w:type="pct"/>
                  <w:tcBorders>
                    <w:tl2br w:val="nil"/>
                    <w:tr2bl w:val="nil"/>
                  </w:tcBorders>
                  <w:vAlign w:val="center"/>
                </w:tcPr>
                <w:p>
                  <w:pPr>
                    <w:spacing w:line="300" w:lineRule="exact"/>
                    <w:jc w:val="center"/>
                    <w:rPr>
                      <w:color w:val="auto"/>
                      <w:szCs w:val="21"/>
                    </w:rPr>
                  </w:pPr>
                  <w:r>
                    <w:rPr>
                      <w:color w:val="auto"/>
                      <w:szCs w:val="21"/>
                    </w:rPr>
                    <w:t>消防泵房及发电机房</w:t>
                  </w:r>
                </w:p>
              </w:tc>
              <w:tc>
                <w:tcPr>
                  <w:tcW w:w="2710" w:type="pct"/>
                  <w:tcBorders>
                    <w:tl2br w:val="nil"/>
                    <w:tr2bl w:val="nil"/>
                  </w:tcBorders>
                  <w:vAlign w:val="center"/>
                </w:tcPr>
                <w:p>
                  <w:pPr>
                    <w:spacing w:line="300" w:lineRule="exact"/>
                    <w:jc w:val="center"/>
                    <w:rPr>
                      <w:color w:val="auto"/>
                      <w:szCs w:val="21"/>
                    </w:rPr>
                  </w:pPr>
                  <w:r>
                    <w:rPr>
                      <w:color w:val="auto"/>
                      <w:szCs w:val="21"/>
                    </w:rPr>
                    <w:t>占地面积144m</w:t>
                  </w:r>
                  <w:r>
                    <w:rPr>
                      <w:color w:val="auto"/>
                      <w:szCs w:val="21"/>
                      <w:vertAlign w:val="superscript"/>
                    </w:rPr>
                    <w:t>2</w:t>
                  </w:r>
                  <w:r>
                    <w:rPr>
                      <w:color w:val="auto"/>
                      <w:szCs w:val="21"/>
                    </w:rPr>
                    <w:t>，内设发电室和消防泵。</w:t>
                  </w:r>
                </w:p>
              </w:tc>
              <w:tc>
                <w:tcPr>
                  <w:tcW w:w="642" w:type="pct"/>
                  <w:tcBorders>
                    <w:tl2br w:val="nil"/>
                    <w:tr2bl w:val="nil"/>
                  </w:tcBorders>
                  <w:vAlign w:val="center"/>
                </w:tcPr>
                <w:p>
                  <w:pPr>
                    <w:spacing w:line="300" w:lineRule="exact"/>
                    <w:jc w:val="center"/>
                    <w:rPr>
                      <w:color w:val="auto"/>
                      <w:szCs w:val="21"/>
                    </w:rPr>
                  </w:pPr>
                  <w:r>
                    <w:rPr>
                      <w:color w:val="auto"/>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86" w:type="pct"/>
                  <w:vMerge w:val="restart"/>
                  <w:tcBorders>
                    <w:tl2br w:val="nil"/>
                    <w:tr2bl w:val="nil"/>
                  </w:tcBorders>
                  <w:vAlign w:val="center"/>
                </w:tcPr>
                <w:p>
                  <w:pPr>
                    <w:spacing w:line="300" w:lineRule="exact"/>
                    <w:jc w:val="center"/>
                    <w:rPr>
                      <w:color w:val="auto"/>
                      <w:szCs w:val="21"/>
                    </w:rPr>
                  </w:pPr>
                  <w:r>
                    <w:rPr>
                      <w:color w:val="auto"/>
                      <w:szCs w:val="21"/>
                    </w:rPr>
                    <w:t>公用工程</w:t>
                  </w:r>
                </w:p>
              </w:tc>
              <w:tc>
                <w:tcPr>
                  <w:tcW w:w="960" w:type="pct"/>
                  <w:tcBorders>
                    <w:tl2br w:val="nil"/>
                    <w:tr2bl w:val="nil"/>
                  </w:tcBorders>
                  <w:vAlign w:val="center"/>
                </w:tcPr>
                <w:p>
                  <w:pPr>
                    <w:spacing w:line="300" w:lineRule="exact"/>
                    <w:jc w:val="center"/>
                    <w:rPr>
                      <w:color w:val="auto"/>
                      <w:szCs w:val="21"/>
                    </w:rPr>
                  </w:pPr>
                  <w:r>
                    <w:rPr>
                      <w:color w:val="auto"/>
                      <w:szCs w:val="21"/>
                    </w:rPr>
                    <w:t>供水</w:t>
                  </w:r>
                </w:p>
              </w:tc>
              <w:tc>
                <w:tcPr>
                  <w:tcW w:w="2710" w:type="pct"/>
                  <w:tcBorders>
                    <w:tl2br w:val="nil"/>
                    <w:tr2bl w:val="nil"/>
                  </w:tcBorders>
                  <w:vAlign w:val="center"/>
                </w:tcPr>
                <w:p>
                  <w:pPr>
                    <w:spacing w:line="300" w:lineRule="exact"/>
                    <w:jc w:val="center"/>
                    <w:rPr>
                      <w:color w:val="auto"/>
                      <w:szCs w:val="21"/>
                    </w:rPr>
                  </w:pPr>
                  <w:r>
                    <w:rPr>
                      <w:color w:val="auto"/>
                      <w:szCs w:val="21"/>
                    </w:rPr>
                    <w:t>项目由尉犁县供水管网提供。</w:t>
                  </w:r>
                </w:p>
              </w:tc>
              <w:tc>
                <w:tcPr>
                  <w:tcW w:w="642" w:type="pct"/>
                  <w:tcBorders>
                    <w:tl2br w:val="nil"/>
                    <w:tr2bl w:val="nil"/>
                  </w:tcBorders>
                  <w:vAlign w:val="center"/>
                </w:tcPr>
                <w:p>
                  <w:pPr>
                    <w:spacing w:line="300" w:lineRule="exact"/>
                    <w:jc w:val="center"/>
                    <w:rPr>
                      <w:color w:val="auto"/>
                      <w:szCs w:val="21"/>
                    </w:rPr>
                  </w:pPr>
                  <w:r>
                    <w:rPr>
                      <w:color w:val="auto"/>
                      <w:szCs w:val="21"/>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86" w:type="pct"/>
                  <w:vMerge w:val="continue"/>
                  <w:tcBorders>
                    <w:tl2br w:val="nil"/>
                    <w:tr2bl w:val="nil"/>
                  </w:tcBorders>
                  <w:vAlign w:val="center"/>
                </w:tcPr>
                <w:p>
                  <w:pPr>
                    <w:spacing w:line="300" w:lineRule="exact"/>
                    <w:jc w:val="center"/>
                    <w:rPr>
                      <w:color w:val="auto"/>
                      <w:szCs w:val="21"/>
                    </w:rPr>
                  </w:pPr>
                </w:p>
              </w:tc>
              <w:tc>
                <w:tcPr>
                  <w:tcW w:w="960" w:type="pct"/>
                  <w:tcBorders>
                    <w:tl2br w:val="nil"/>
                    <w:tr2bl w:val="nil"/>
                  </w:tcBorders>
                  <w:vAlign w:val="center"/>
                </w:tcPr>
                <w:p>
                  <w:pPr>
                    <w:spacing w:line="300" w:lineRule="exact"/>
                    <w:jc w:val="center"/>
                    <w:rPr>
                      <w:color w:val="auto"/>
                      <w:szCs w:val="21"/>
                    </w:rPr>
                  </w:pPr>
                  <w:r>
                    <w:rPr>
                      <w:color w:val="auto"/>
                      <w:szCs w:val="21"/>
                    </w:rPr>
                    <w:t>供电</w:t>
                  </w:r>
                </w:p>
              </w:tc>
              <w:tc>
                <w:tcPr>
                  <w:tcW w:w="2710" w:type="pct"/>
                  <w:tcBorders>
                    <w:tl2br w:val="nil"/>
                    <w:tr2bl w:val="nil"/>
                  </w:tcBorders>
                  <w:vAlign w:val="center"/>
                </w:tcPr>
                <w:p>
                  <w:pPr>
                    <w:spacing w:line="300" w:lineRule="exact"/>
                    <w:jc w:val="center"/>
                    <w:rPr>
                      <w:color w:val="auto"/>
                      <w:szCs w:val="21"/>
                    </w:rPr>
                  </w:pPr>
                  <w:r>
                    <w:rPr>
                      <w:color w:val="auto"/>
                      <w:szCs w:val="21"/>
                    </w:rPr>
                    <w:t>国家电网供电。</w:t>
                  </w:r>
                </w:p>
              </w:tc>
              <w:tc>
                <w:tcPr>
                  <w:tcW w:w="642" w:type="pct"/>
                  <w:tcBorders>
                    <w:tl2br w:val="nil"/>
                    <w:tr2bl w:val="nil"/>
                  </w:tcBorders>
                  <w:vAlign w:val="center"/>
                </w:tcPr>
                <w:p>
                  <w:pPr>
                    <w:spacing w:line="300" w:lineRule="exact"/>
                    <w:jc w:val="center"/>
                    <w:rPr>
                      <w:color w:val="auto"/>
                      <w:szCs w:val="21"/>
                    </w:rPr>
                  </w:pPr>
                  <w:r>
                    <w:rPr>
                      <w:color w:val="auto"/>
                      <w:szCs w:val="21"/>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86" w:type="pct"/>
                  <w:vMerge w:val="continue"/>
                  <w:tcBorders>
                    <w:tl2br w:val="nil"/>
                    <w:tr2bl w:val="nil"/>
                  </w:tcBorders>
                  <w:vAlign w:val="center"/>
                </w:tcPr>
                <w:p>
                  <w:pPr>
                    <w:spacing w:line="300" w:lineRule="exact"/>
                    <w:jc w:val="center"/>
                    <w:rPr>
                      <w:color w:val="auto"/>
                      <w:szCs w:val="21"/>
                    </w:rPr>
                  </w:pPr>
                </w:p>
              </w:tc>
              <w:tc>
                <w:tcPr>
                  <w:tcW w:w="960" w:type="pct"/>
                  <w:tcBorders>
                    <w:tl2br w:val="nil"/>
                    <w:tr2bl w:val="nil"/>
                  </w:tcBorders>
                  <w:vAlign w:val="center"/>
                </w:tcPr>
                <w:p>
                  <w:pPr>
                    <w:spacing w:line="300" w:lineRule="exact"/>
                    <w:jc w:val="center"/>
                    <w:rPr>
                      <w:color w:val="auto"/>
                      <w:szCs w:val="21"/>
                    </w:rPr>
                  </w:pPr>
                  <w:r>
                    <w:rPr>
                      <w:color w:val="auto"/>
                      <w:szCs w:val="21"/>
                    </w:rPr>
                    <w:t>供暖</w:t>
                  </w:r>
                </w:p>
              </w:tc>
              <w:tc>
                <w:tcPr>
                  <w:tcW w:w="2710" w:type="pct"/>
                  <w:tcBorders>
                    <w:tl2br w:val="nil"/>
                    <w:tr2bl w:val="nil"/>
                  </w:tcBorders>
                  <w:vAlign w:val="center"/>
                </w:tcPr>
                <w:p>
                  <w:pPr>
                    <w:spacing w:line="300" w:lineRule="exact"/>
                    <w:jc w:val="center"/>
                    <w:rPr>
                      <w:color w:val="auto"/>
                      <w:szCs w:val="21"/>
                    </w:rPr>
                  </w:pPr>
                  <w:r>
                    <w:rPr>
                      <w:color w:val="auto"/>
                      <w:szCs w:val="21"/>
                    </w:rPr>
                    <w:t>项目仓库不设采暖设施，值班人员采用电采暖。</w:t>
                  </w:r>
                </w:p>
              </w:tc>
              <w:tc>
                <w:tcPr>
                  <w:tcW w:w="642" w:type="pct"/>
                  <w:tcBorders>
                    <w:tl2br w:val="nil"/>
                    <w:tr2bl w:val="nil"/>
                  </w:tcBorders>
                  <w:vAlign w:val="center"/>
                </w:tcPr>
                <w:p>
                  <w:pPr>
                    <w:spacing w:line="300" w:lineRule="exact"/>
                    <w:jc w:val="center"/>
                    <w:rPr>
                      <w:color w:val="auto"/>
                      <w:szCs w:val="21"/>
                    </w:rPr>
                  </w:pPr>
                  <w:r>
                    <w:rPr>
                      <w:color w:val="auto"/>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86" w:type="pct"/>
                  <w:vMerge w:val="continue"/>
                  <w:tcBorders>
                    <w:tl2br w:val="nil"/>
                    <w:tr2bl w:val="nil"/>
                  </w:tcBorders>
                  <w:vAlign w:val="center"/>
                </w:tcPr>
                <w:p>
                  <w:pPr>
                    <w:spacing w:line="300" w:lineRule="exact"/>
                    <w:jc w:val="center"/>
                    <w:rPr>
                      <w:color w:val="auto"/>
                      <w:szCs w:val="21"/>
                    </w:rPr>
                  </w:pPr>
                </w:p>
              </w:tc>
              <w:tc>
                <w:tcPr>
                  <w:tcW w:w="960" w:type="pct"/>
                  <w:tcBorders>
                    <w:tl2br w:val="nil"/>
                    <w:tr2bl w:val="nil"/>
                  </w:tcBorders>
                  <w:vAlign w:val="center"/>
                </w:tcPr>
                <w:p>
                  <w:pPr>
                    <w:spacing w:line="300" w:lineRule="exact"/>
                    <w:jc w:val="center"/>
                    <w:rPr>
                      <w:color w:val="auto"/>
                      <w:szCs w:val="21"/>
                    </w:rPr>
                  </w:pPr>
                  <w:r>
                    <w:rPr>
                      <w:color w:val="auto"/>
                      <w:szCs w:val="21"/>
                    </w:rPr>
                    <w:t>排水</w:t>
                  </w:r>
                </w:p>
              </w:tc>
              <w:tc>
                <w:tcPr>
                  <w:tcW w:w="2710" w:type="pct"/>
                  <w:tcBorders>
                    <w:tl2br w:val="nil"/>
                    <w:tr2bl w:val="nil"/>
                  </w:tcBorders>
                  <w:vAlign w:val="center"/>
                </w:tcPr>
                <w:p>
                  <w:pPr>
                    <w:spacing w:line="300" w:lineRule="exact"/>
                    <w:jc w:val="center"/>
                    <w:rPr>
                      <w:color w:val="auto"/>
                      <w:szCs w:val="21"/>
                    </w:rPr>
                  </w:pPr>
                  <w:r>
                    <w:rPr>
                      <w:color w:val="auto"/>
                      <w:szCs w:val="21"/>
                    </w:rPr>
                    <w:t>项目在运营过程中仅产生生活污水，项目生活污水排入防渗化粪池（</w:t>
                  </w:r>
                  <w:r>
                    <w:rPr>
                      <w:rFonts w:hint="eastAsia"/>
                      <w:color w:val="auto"/>
                      <w:szCs w:val="21"/>
                    </w:rPr>
                    <w:t>容积：27</w:t>
                  </w:r>
                  <w:r>
                    <w:rPr>
                      <w:color w:val="auto"/>
                      <w:szCs w:val="21"/>
                    </w:rPr>
                    <w:t>m</w:t>
                  </w:r>
                  <w:r>
                    <w:rPr>
                      <w:color w:val="auto"/>
                      <w:szCs w:val="21"/>
                      <w:vertAlign w:val="superscript"/>
                    </w:rPr>
                    <w:t>3</w:t>
                  </w:r>
                  <w:r>
                    <w:rPr>
                      <w:rFonts w:hint="eastAsia"/>
                      <w:color w:val="auto"/>
                      <w:szCs w:val="21"/>
                    </w:rPr>
                    <w:t>，规格：3</w:t>
                  </w:r>
                  <w:r>
                    <w:rPr>
                      <w:rFonts w:ascii="Arial" w:hAnsi="Arial" w:cs="Arial"/>
                      <w:color w:val="auto"/>
                      <w:szCs w:val="21"/>
                    </w:rPr>
                    <w:t>×</w:t>
                  </w:r>
                  <w:r>
                    <w:rPr>
                      <w:rFonts w:hint="eastAsia"/>
                      <w:color w:val="auto"/>
                      <w:szCs w:val="21"/>
                    </w:rPr>
                    <w:t>3</w:t>
                  </w:r>
                  <w:r>
                    <w:rPr>
                      <w:rFonts w:ascii="Arial" w:hAnsi="Arial" w:cs="Arial"/>
                      <w:color w:val="auto"/>
                      <w:szCs w:val="21"/>
                    </w:rPr>
                    <w:t>×</w:t>
                  </w:r>
                  <w:r>
                    <w:rPr>
                      <w:rFonts w:hint="eastAsia"/>
                      <w:color w:val="auto"/>
                      <w:szCs w:val="21"/>
                    </w:rPr>
                    <w:t>3</w:t>
                  </w:r>
                  <w:r>
                    <w:rPr>
                      <w:color w:val="auto"/>
                      <w:szCs w:val="21"/>
                    </w:rPr>
                    <w:t>），定期拉运至尉犁县城镇污水处理厂。</w:t>
                  </w:r>
                </w:p>
              </w:tc>
              <w:tc>
                <w:tcPr>
                  <w:tcW w:w="642" w:type="pct"/>
                  <w:tcBorders>
                    <w:tl2br w:val="nil"/>
                    <w:tr2bl w:val="nil"/>
                  </w:tcBorders>
                  <w:vAlign w:val="center"/>
                </w:tcPr>
                <w:p>
                  <w:pPr>
                    <w:spacing w:line="300" w:lineRule="exact"/>
                    <w:jc w:val="center"/>
                    <w:rPr>
                      <w:color w:val="auto"/>
                      <w:szCs w:val="21"/>
                    </w:rPr>
                  </w:pPr>
                  <w:r>
                    <w:rPr>
                      <w:color w:val="auto"/>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86" w:type="pct"/>
                  <w:vMerge w:val="continue"/>
                  <w:tcBorders>
                    <w:tl2br w:val="nil"/>
                    <w:tr2bl w:val="nil"/>
                  </w:tcBorders>
                  <w:vAlign w:val="center"/>
                </w:tcPr>
                <w:p>
                  <w:pPr>
                    <w:spacing w:line="300" w:lineRule="exact"/>
                    <w:jc w:val="center"/>
                    <w:rPr>
                      <w:color w:val="auto"/>
                      <w:szCs w:val="21"/>
                    </w:rPr>
                  </w:pPr>
                </w:p>
              </w:tc>
              <w:tc>
                <w:tcPr>
                  <w:tcW w:w="960" w:type="pct"/>
                  <w:tcBorders>
                    <w:tl2br w:val="nil"/>
                    <w:tr2bl w:val="nil"/>
                  </w:tcBorders>
                  <w:vAlign w:val="center"/>
                </w:tcPr>
                <w:p>
                  <w:pPr>
                    <w:spacing w:line="300" w:lineRule="exact"/>
                    <w:jc w:val="center"/>
                    <w:rPr>
                      <w:color w:val="auto"/>
                      <w:szCs w:val="21"/>
                    </w:rPr>
                  </w:pPr>
                  <w:r>
                    <w:rPr>
                      <w:color w:val="auto"/>
                      <w:szCs w:val="21"/>
                    </w:rPr>
                    <w:t>监控</w:t>
                  </w:r>
                </w:p>
              </w:tc>
              <w:tc>
                <w:tcPr>
                  <w:tcW w:w="2710" w:type="pct"/>
                  <w:tcBorders>
                    <w:tl2br w:val="nil"/>
                    <w:tr2bl w:val="nil"/>
                  </w:tcBorders>
                  <w:vAlign w:val="center"/>
                </w:tcPr>
                <w:p>
                  <w:pPr>
                    <w:spacing w:line="300" w:lineRule="exact"/>
                    <w:jc w:val="center"/>
                    <w:rPr>
                      <w:color w:val="auto"/>
                      <w:szCs w:val="21"/>
                    </w:rPr>
                  </w:pPr>
                  <w:r>
                    <w:rPr>
                      <w:color w:val="auto"/>
                      <w:szCs w:val="21"/>
                    </w:rPr>
                    <w:t>设置监控系统，像素不低于300万，覆盖率为100%。</w:t>
                  </w:r>
                </w:p>
              </w:tc>
              <w:tc>
                <w:tcPr>
                  <w:tcW w:w="642" w:type="pct"/>
                  <w:tcBorders>
                    <w:tl2br w:val="nil"/>
                    <w:tr2bl w:val="nil"/>
                  </w:tcBorders>
                  <w:vAlign w:val="center"/>
                </w:tcPr>
                <w:p>
                  <w:pPr>
                    <w:spacing w:line="300" w:lineRule="exact"/>
                    <w:jc w:val="center"/>
                    <w:rPr>
                      <w:color w:val="auto"/>
                      <w:szCs w:val="21"/>
                    </w:rPr>
                  </w:pPr>
                  <w:r>
                    <w:rPr>
                      <w:color w:val="auto"/>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6" w:type="pct"/>
                  <w:vMerge w:val="restart"/>
                  <w:tcBorders>
                    <w:tl2br w:val="nil"/>
                    <w:tr2bl w:val="nil"/>
                  </w:tcBorders>
                  <w:vAlign w:val="center"/>
                </w:tcPr>
                <w:p>
                  <w:pPr>
                    <w:spacing w:line="300" w:lineRule="exact"/>
                    <w:jc w:val="center"/>
                    <w:rPr>
                      <w:color w:val="auto"/>
                      <w:szCs w:val="21"/>
                    </w:rPr>
                  </w:pPr>
                  <w:r>
                    <w:rPr>
                      <w:color w:val="auto"/>
                      <w:szCs w:val="21"/>
                    </w:rPr>
                    <w:t>环保工程</w:t>
                  </w:r>
                </w:p>
              </w:tc>
              <w:tc>
                <w:tcPr>
                  <w:tcW w:w="960" w:type="pct"/>
                  <w:tcBorders>
                    <w:tl2br w:val="nil"/>
                    <w:tr2bl w:val="nil"/>
                  </w:tcBorders>
                  <w:vAlign w:val="center"/>
                </w:tcPr>
                <w:p>
                  <w:pPr>
                    <w:spacing w:line="300" w:lineRule="exact"/>
                    <w:jc w:val="center"/>
                    <w:rPr>
                      <w:color w:val="auto"/>
                      <w:szCs w:val="21"/>
                    </w:rPr>
                  </w:pPr>
                  <w:r>
                    <w:rPr>
                      <w:color w:val="auto"/>
                      <w:szCs w:val="21"/>
                    </w:rPr>
                    <w:t>废气治理</w:t>
                  </w:r>
                </w:p>
              </w:tc>
              <w:tc>
                <w:tcPr>
                  <w:tcW w:w="2710" w:type="pct"/>
                  <w:tcBorders>
                    <w:tl2br w:val="nil"/>
                    <w:tr2bl w:val="nil"/>
                  </w:tcBorders>
                  <w:vAlign w:val="center"/>
                </w:tcPr>
                <w:p>
                  <w:pPr>
                    <w:spacing w:line="300" w:lineRule="exact"/>
                    <w:jc w:val="center"/>
                    <w:rPr>
                      <w:color w:val="auto"/>
                      <w:szCs w:val="21"/>
                    </w:rPr>
                  </w:pPr>
                  <w:r>
                    <w:rPr>
                      <w:color w:val="auto"/>
                      <w:szCs w:val="21"/>
                    </w:rPr>
                    <w:t>道路扬尘通过道路硬化、干燥天气洒水等方式降低扬尘产生、排放</w:t>
                  </w:r>
                </w:p>
              </w:tc>
              <w:tc>
                <w:tcPr>
                  <w:tcW w:w="642" w:type="pct"/>
                  <w:tcBorders>
                    <w:tl2br w:val="nil"/>
                    <w:tr2bl w:val="nil"/>
                  </w:tcBorders>
                  <w:vAlign w:val="center"/>
                </w:tcPr>
                <w:p>
                  <w:pPr>
                    <w:spacing w:line="300" w:lineRule="exact"/>
                    <w:jc w:val="center"/>
                    <w:rPr>
                      <w:color w:val="auto"/>
                      <w:szCs w:val="21"/>
                    </w:rPr>
                  </w:pPr>
                  <w:r>
                    <w:rPr>
                      <w:color w:val="auto"/>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86" w:type="pct"/>
                  <w:vMerge w:val="continue"/>
                  <w:tcBorders>
                    <w:tl2br w:val="nil"/>
                    <w:tr2bl w:val="nil"/>
                  </w:tcBorders>
                  <w:vAlign w:val="center"/>
                </w:tcPr>
                <w:p>
                  <w:pPr>
                    <w:spacing w:line="300" w:lineRule="exact"/>
                    <w:jc w:val="center"/>
                    <w:rPr>
                      <w:color w:val="auto"/>
                      <w:szCs w:val="21"/>
                    </w:rPr>
                  </w:pPr>
                </w:p>
              </w:tc>
              <w:tc>
                <w:tcPr>
                  <w:tcW w:w="960" w:type="pct"/>
                  <w:tcBorders>
                    <w:tl2br w:val="nil"/>
                    <w:tr2bl w:val="nil"/>
                  </w:tcBorders>
                  <w:vAlign w:val="center"/>
                </w:tcPr>
                <w:p>
                  <w:pPr>
                    <w:spacing w:line="300" w:lineRule="exact"/>
                    <w:jc w:val="center"/>
                    <w:rPr>
                      <w:color w:val="auto"/>
                      <w:szCs w:val="21"/>
                    </w:rPr>
                  </w:pPr>
                  <w:r>
                    <w:rPr>
                      <w:color w:val="auto"/>
                      <w:szCs w:val="21"/>
                    </w:rPr>
                    <w:t>废水治理</w:t>
                  </w:r>
                </w:p>
              </w:tc>
              <w:tc>
                <w:tcPr>
                  <w:tcW w:w="2710" w:type="pct"/>
                  <w:tcBorders>
                    <w:tl2br w:val="nil"/>
                    <w:tr2bl w:val="nil"/>
                  </w:tcBorders>
                  <w:vAlign w:val="center"/>
                </w:tcPr>
                <w:p>
                  <w:pPr>
                    <w:spacing w:line="300" w:lineRule="exact"/>
                    <w:jc w:val="center"/>
                    <w:rPr>
                      <w:color w:val="auto"/>
                      <w:szCs w:val="21"/>
                    </w:rPr>
                  </w:pPr>
                  <w:r>
                    <w:rPr>
                      <w:color w:val="auto"/>
                      <w:szCs w:val="21"/>
                    </w:rPr>
                    <w:t>项目生活污水经化粪池处理后拉运至尉犁县城镇污水处理厂。</w:t>
                  </w:r>
                </w:p>
              </w:tc>
              <w:tc>
                <w:tcPr>
                  <w:tcW w:w="642" w:type="pct"/>
                  <w:tcBorders>
                    <w:tl2br w:val="nil"/>
                    <w:tr2bl w:val="nil"/>
                  </w:tcBorders>
                  <w:vAlign w:val="center"/>
                </w:tcPr>
                <w:p>
                  <w:pPr>
                    <w:spacing w:line="300" w:lineRule="exact"/>
                    <w:jc w:val="center"/>
                    <w:rPr>
                      <w:color w:val="auto"/>
                      <w:szCs w:val="21"/>
                    </w:rPr>
                  </w:pPr>
                  <w:r>
                    <w:rPr>
                      <w:color w:val="auto"/>
                      <w:szCs w:val="21"/>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86" w:type="pct"/>
                  <w:vMerge w:val="continue"/>
                  <w:tcBorders>
                    <w:tl2br w:val="nil"/>
                    <w:tr2bl w:val="nil"/>
                  </w:tcBorders>
                  <w:vAlign w:val="center"/>
                </w:tcPr>
                <w:p>
                  <w:pPr>
                    <w:spacing w:line="300" w:lineRule="exact"/>
                    <w:jc w:val="center"/>
                    <w:rPr>
                      <w:color w:val="auto"/>
                      <w:szCs w:val="21"/>
                    </w:rPr>
                  </w:pPr>
                </w:p>
              </w:tc>
              <w:tc>
                <w:tcPr>
                  <w:tcW w:w="960" w:type="pct"/>
                  <w:tcBorders>
                    <w:tl2br w:val="nil"/>
                    <w:tr2bl w:val="nil"/>
                  </w:tcBorders>
                  <w:vAlign w:val="center"/>
                </w:tcPr>
                <w:p>
                  <w:pPr>
                    <w:spacing w:line="300" w:lineRule="exact"/>
                    <w:jc w:val="center"/>
                    <w:rPr>
                      <w:color w:val="auto"/>
                      <w:szCs w:val="21"/>
                    </w:rPr>
                  </w:pPr>
                  <w:r>
                    <w:rPr>
                      <w:color w:val="auto"/>
                      <w:szCs w:val="21"/>
                    </w:rPr>
                    <w:t>噪声治理</w:t>
                  </w:r>
                </w:p>
              </w:tc>
              <w:tc>
                <w:tcPr>
                  <w:tcW w:w="2710" w:type="pct"/>
                  <w:tcBorders>
                    <w:tl2br w:val="nil"/>
                    <w:tr2bl w:val="nil"/>
                  </w:tcBorders>
                  <w:vAlign w:val="center"/>
                </w:tcPr>
                <w:p>
                  <w:pPr>
                    <w:spacing w:line="300" w:lineRule="exact"/>
                    <w:jc w:val="center"/>
                    <w:rPr>
                      <w:color w:val="auto"/>
                      <w:szCs w:val="21"/>
                    </w:rPr>
                  </w:pPr>
                  <w:r>
                    <w:rPr>
                      <w:color w:val="auto"/>
                      <w:szCs w:val="21"/>
                    </w:rPr>
                    <w:t>采用控制车速、禁止鸣笛、厂房阻隔等方式降低项目噪声对环境的影响。</w:t>
                  </w:r>
                </w:p>
              </w:tc>
              <w:tc>
                <w:tcPr>
                  <w:tcW w:w="642" w:type="pct"/>
                  <w:tcBorders>
                    <w:tl2br w:val="nil"/>
                    <w:tr2bl w:val="nil"/>
                  </w:tcBorders>
                  <w:vAlign w:val="center"/>
                </w:tcPr>
                <w:p>
                  <w:pPr>
                    <w:spacing w:line="300" w:lineRule="exact"/>
                    <w:jc w:val="center"/>
                    <w:rPr>
                      <w:color w:val="auto"/>
                      <w:szCs w:val="21"/>
                    </w:rPr>
                  </w:pPr>
                  <w:r>
                    <w:rPr>
                      <w:color w:val="auto"/>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86" w:type="pct"/>
                  <w:vMerge w:val="continue"/>
                  <w:tcBorders>
                    <w:tl2br w:val="nil"/>
                    <w:tr2bl w:val="nil"/>
                  </w:tcBorders>
                  <w:vAlign w:val="center"/>
                </w:tcPr>
                <w:p>
                  <w:pPr>
                    <w:spacing w:line="300" w:lineRule="exact"/>
                    <w:jc w:val="center"/>
                    <w:rPr>
                      <w:color w:val="auto"/>
                      <w:szCs w:val="21"/>
                    </w:rPr>
                  </w:pPr>
                </w:p>
              </w:tc>
              <w:tc>
                <w:tcPr>
                  <w:tcW w:w="960" w:type="pct"/>
                  <w:tcBorders>
                    <w:tl2br w:val="nil"/>
                    <w:tr2bl w:val="nil"/>
                  </w:tcBorders>
                  <w:vAlign w:val="center"/>
                </w:tcPr>
                <w:p>
                  <w:pPr>
                    <w:spacing w:line="300" w:lineRule="exact"/>
                    <w:jc w:val="center"/>
                    <w:rPr>
                      <w:color w:val="auto"/>
                      <w:szCs w:val="21"/>
                    </w:rPr>
                  </w:pPr>
                  <w:r>
                    <w:rPr>
                      <w:color w:val="auto"/>
                      <w:szCs w:val="21"/>
                    </w:rPr>
                    <w:t>固废治理</w:t>
                  </w:r>
                </w:p>
              </w:tc>
              <w:tc>
                <w:tcPr>
                  <w:tcW w:w="2710" w:type="pct"/>
                  <w:tcBorders>
                    <w:tl2br w:val="nil"/>
                    <w:tr2bl w:val="nil"/>
                  </w:tcBorders>
                  <w:vAlign w:val="center"/>
                </w:tcPr>
                <w:p>
                  <w:pPr>
                    <w:spacing w:line="300" w:lineRule="exact"/>
                    <w:jc w:val="center"/>
                    <w:rPr>
                      <w:color w:val="auto"/>
                      <w:szCs w:val="21"/>
                    </w:rPr>
                  </w:pPr>
                  <w:r>
                    <w:rPr>
                      <w:color w:val="auto"/>
                      <w:szCs w:val="21"/>
                    </w:rPr>
                    <w:t>生活垃圾收集后交由环卫部门处置，过期、残次的烟花爆竹在危废贮存点内暂存，定期交由公安部门组织销毁处置</w:t>
                  </w:r>
                </w:p>
              </w:tc>
              <w:tc>
                <w:tcPr>
                  <w:tcW w:w="642" w:type="pct"/>
                  <w:tcBorders>
                    <w:tl2br w:val="nil"/>
                    <w:tr2bl w:val="nil"/>
                  </w:tcBorders>
                  <w:vAlign w:val="center"/>
                </w:tcPr>
                <w:p>
                  <w:pPr>
                    <w:spacing w:line="300" w:lineRule="exact"/>
                    <w:jc w:val="center"/>
                    <w:rPr>
                      <w:color w:val="auto"/>
                      <w:szCs w:val="21"/>
                    </w:rPr>
                  </w:pPr>
                  <w:r>
                    <w:rPr>
                      <w:color w:val="auto"/>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86" w:type="pct"/>
                  <w:vMerge w:val="continue"/>
                  <w:tcBorders>
                    <w:tl2br w:val="nil"/>
                    <w:tr2bl w:val="nil"/>
                  </w:tcBorders>
                  <w:vAlign w:val="center"/>
                </w:tcPr>
                <w:p>
                  <w:pPr>
                    <w:spacing w:line="300" w:lineRule="exact"/>
                    <w:jc w:val="center"/>
                    <w:rPr>
                      <w:color w:val="auto"/>
                      <w:szCs w:val="21"/>
                    </w:rPr>
                  </w:pPr>
                </w:p>
              </w:tc>
              <w:tc>
                <w:tcPr>
                  <w:tcW w:w="960" w:type="pct"/>
                  <w:tcBorders>
                    <w:tl2br w:val="nil"/>
                    <w:tr2bl w:val="nil"/>
                  </w:tcBorders>
                  <w:vAlign w:val="center"/>
                </w:tcPr>
                <w:p>
                  <w:pPr>
                    <w:spacing w:line="300" w:lineRule="exact"/>
                    <w:jc w:val="center"/>
                    <w:rPr>
                      <w:color w:val="auto"/>
                      <w:szCs w:val="21"/>
                    </w:rPr>
                  </w:pPr>
                  <w:r>
                    <w:rPr>
                      <w:color w:val="auto"/>
                      <w:szCs w:val="21"/>
                    </w:rPr>
                    <w:t>环境工程</w:t>
                  </w:r>
                </w:p>
              </w:tc>
              <w:tc>
                <w:tcPr>
                  <w:tcW w:w="2710" w:type="pct"/>
                  <w:tcBorders>
                    <w:tl2br w:val="nil"/>
                    <w:tr2bl w:val="nil"/>
                  </w:tcBorders>
                  <w:vAlign w:val="center"/>
                </w:tcPr>
                <w:p>
                  <w:pPr>
                    <w:spacing w:line="300" w:lineRule="exact"/>
                    <w:jc w:val="center"/>
                    <w:rPr>
                      <w:color w:val="auto"/>
                      <w:szCs w:val="21"/>
                    </w:rPr>
                  </w:pPr>
                  <w:r>
                    <w:rPr>
                      <w:color w:val="auto"/>
                      <w:szCs w:val="21"/>
                    </w:rPr>
                    <w:t>厂区内绿化面积为450m</w:t>
                  </w:r>
                  <w:r>
                    <w:rPr>
                      <w:color w:val="auto"/>
                      <w:szCs w:val="21"/>
                      <w:vertAlign w:val="superscript"/>
                    </w:rPr>
                    <w:t>2</w:t>
                  </w:r>
                  <w:r>
                    <w:rPr>
                      <w:color w:val="auto"/>
                      <w:szCs w:val="21"/>
                    </w:rPr>
                    <w:t>。</w:t>
                  </w:r>
                </w:p>
              </w:tc>
              <w:tc>
                <w:tcPr>
                  <w:tcW w:w="642" w:type="pct"/>
                  <w:tcBorders>
                    <w:tl2br w:val="nil"/>
                    <w:tr2bl w:val="nil"/>
                  </w:tcBorders>
                  <w:vAlign w:val="center"/>
                </w:tcPr>
                <w:p>
                  <w:pPr>
                    <w:spacing w:line="300" w:lineRule="exact"/>
                    <w:jc w:val="center"/>
                    <w:rPr>
                      <w:color w:val="auto"/>
                      <w:szCs w:val="21"/>
                    </w:rPr>
                  </w:pPr>
                  <w:r>
                    <w:rPr>
                      <w:color w:val="auto"/>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5000" w:type="pct"/>
                  <w:gridSpan w:val="4"/>
                  <w:tcBorders>
                    <w:tl2br w:val="nil"/>
                    <w:tr2bl w:val="nil"/>
                  </w:tcBorders>
                  <w:vAlign w:val="center"/>
                </w:tcPr>
                <w:p>
                  <w:pPr>
                    <w:spacing w:line="300" w:lineRule="exact"/>
                    <w:jc w:val="center"/>
                    <w:rPr>
                      <w:color w:val="auto"/>
                      <w:szCs w:val="21"/>
                    </w:rPr>
                  </w:pPr>
                  <w:r>
                    <w:rPr>
                      <w:color w:val="auto"/>
                      <w:szCs w:val="21"/>
                    </w:rPr>
                    <w:t>注：在GB50161-2022中将建筑物的危险等级划分为1.1级、1.3级，其中1.3级为建筑物内具有燃烧危险，偶尔有较小爆炸或较小迸射危险，或两者兼有，但无整体爆炸危险，其破坏效应局限于本建筑物内，对周围建筑影响较小。</w:t>
                  </w:r>
                </w:p>
              </w:tc>
            </w:tr>
          </w:tbl>
          <w:p>
            <w:pPr>
              <w:spacing w:line="520" w:lineRule="exact"/>
              <w:ind w:firstLine="482" w:firstLineChars="200"/>
              <w:contextualSpacing/>
              <w:rPr>
                <w:b/>
                <w:bCs/>
                <w:color w:val="auto"/>
                <w:sz w:val="24"/>
              </w:rPr>
            </w:pPr>
            <w:r>
              <w:rPr>
                <w:b/>
                <w:bCs/>
                <w:color w:val="auto"/>
                <w:sz w:val="24"/>
              </w:rPr>
              <w:t>2.3、烟花爆竹储存情况</w:t>
            </w:r>
          </w:p>
          <w:p>
            <w:pPr>
              <w:pStyle w:val="37"/>
              <w:adjustRightInd/>
              <w:spacing w:line="520" w:lineRule="exact"/>
              <w:ind w:firstLine="480" w:firstLineChars="200"/>
              <w:jc w:val="left"/>
              <w:rPr>
                <w:rFonts w:ascii="Times New Roman" w:hAnsi="Times New Roman" w:cs="Times New Roman"/>
                <w:bCs/>
                <w:color w:val="auto"/>
              </w:rPr>
            </w:pPr>
            <w:r>
              <w:rPr>
                <w:rFonts w:ascii="Times New Roman" w:hAnsi="Times New Roman" w:cs="Times New Roman"/>
                <w:bCs/>
                <w:color w:val="auto"/>
              </w:rPr>
              <w:t>（1）储存物资介绍</w:t>
            </w:r>
          </w:p>
          <w:p>
            <w:pPr>
              <w:pStyle w:val="37"/>
              <w:adjustRightInd/>
              <w:spacing w:line="520" w:lineRule="exact"/>
              <w:ind w:firstLine="480" w:firstLineChars="200"/>
              <w:jc w:val="left"/>
              <w:rPr>
                <w:rFonts w:ascii="Times New Roman" w:hAnsi="Times New Roman" w:cs="Times New Roman"/>
                <w:bCs/>
                <w:color w:val="auto"/>
              </w:rPr>
            </w:pPr>
            <w:r>
              <w:rPr>
                <w:rFonts w:ascii="Times New Roman" w:hAnsi="Times New Roman" w:cs="Times New Roman"/>
                <w:bCs/>
                <w:color w:val="auto"/>
              </w:rPr>
              <w:t>烟花爆竹是以烟火药为原料制成的工艺美术品，通过着火源作用燃烧（爆炸）并伴有声、光、色、烟雾等效果的娱乐产品。</w:t>
            </w:r>
          </w:p>
          <w:p>
            <w:pPr>
              <w:pStyle w:val="37"/>
              <w:adjustRightInd/>
              <w:spacing w:line="520" w:lineRule="exact"/>
              <w:ind w:firstLine="480" w:firstLineChars="200"/>
              <w:jc w:val="left"/>
              <w:rPr>
                <w:rFonts w:ascii="Times New Roman" w:hAnsi="Times New Roman" w:cs="Times New Roman"/>
                <w:bCs/>
                <w:color w:val="auto"/>
              </w:rPr>
            </w:pPr>
            <w:r>
              <w:rPr>
                <w:rFonts w:ascii="Times New Roman" w:hAnsi="Times New Roman" w:cs="Times New Roman"/>
                <w:bCs/>
                <w:color w:val="auto"/>
              </w:rPr>
              <w:t>本项目不涉及烟花爆竹产品的生产过程，只进行烟花爆竹的批发经营和储存，批发经营活动严格执行《烟花爆竹安全管理条例》（国务院令第455号）的规定。根据国家标准《烟花爆竹 安全与质量》（GB10631-2013）中，按照产品的药量及所能构成的危险性将烟花爆竹分为以下四级：</w:t>
            </w:r>
          </w:p>
          <w:p>
            <w:pPr>
              <w:pStyle w:val="37"/>
              <w:adjustRightInd/>
              <w:spacing w:line="520" w:lineRule="exact"/>
              <w:ind w:firstLine="480" w:firstLineChars="200"/>
              <w:jc w:val="left"/>
              <w:rPr>
                <w:rFonts w:ascii="Times New Roman" w:hAnsi="Times New Roman" w:cs="Times New Roman"/>
                <w:bCs/>
                <w:color w:val="auto"/>
              </w:rPr>
            </w:pPr>
            <w:r>
              <w:rPr>
                <w:rFonts w:ascii="Times New Roman" w:hAnsi="Times New Roman" w:cs="Times New Roman"/>
                <w:bCs/>
                <w:color w:val="auto"/>
              </w:rPr>
              <w:t>A级：由专业燃放人员在特定的室外空旷地点燃放、危险性很大的产品。</w:t>
            </w:r>
          </w:p>
          <w:p>
            <w:pPr>
              <w:pStyle w:val="37"/>
              <w:adjustRightInd/>
              <w:spacing w:line="520" w:lineRule="exact"/>
              <w:ind w:firstLine="480" w:firstLineChars="200"/>
              <w:jc w:val="left"/>
              <w:rPr>
                <w:rFonts w:ascii="Times New Roman" w:hAnsi="Times New Roman" w:cs="Times New Roman"/>
                <w:bCs/>
                <w:color w:val="auto"/>
              </w:rPr>
            </w:pPr>
            <w:r>
              <w:rPr>
                <w:rFonts w:ascii="Times New Roman" w:hAnsi="Times New Roman" w:cs="Times New Roman"/>
                <w:bCs/>
                <w:color w:val="auto"/>
              </w:rPr>
              <w:t>B级：由专业燃放人员在特定的室外空旷地点燃放、危险性较大的产品。</w:t>
            </w:r>
          </w:p>
          <w:p>
            <w:pPr>
              <w:pStyle w:val="37"/>
              <w:adjustRightInd/>
              <w:spacing w:line="520" w:lineRule="exact"/>
              <w:ind w:firstLine="480" w:firstLineChars="200"/>
              <w:jc w:val="left"/>
              <w:rPr>
                <w:rFonts w:ascii="Times New Roman" w:hAnsi="Times New Roman" w:cs="Times New Roman"/>
                <w:bCs/>
                <w:color w:val="auto"/>
              </w:rPr>
            </w:pPr>
            <w:r>
              <w:rPr>
                <w:rFonts w:ascii="Times New Roman" w:hAnsi="Times New Roman" w:cs="Times New Roman"/>
                <w:bCs/>
                <w:color w:val="auto"/>
              </w:rPr>
              <w:t>C级：适于室外开放空间燃放、危险性较小的产品。</w:t>
            </w:r>
          </w:p>
          <w:p>
            <w:pPr>
              <w:pStyle w:val="37"/>
              <w:adjustRightInd/>
              <w:spacing w:line="520" w:lineRule="exact"/>
              <w:ind w:firstLine="480" w:firstLineChars="200"/>
              <w:jc w:val="left"/>
              <w:rPr>
                <w:rFonts w:ascii="Times New Roman" w:hAnsi="Times New Roman" w:cs="Times New Roman"/>
                <w:bCs/>
                <w:color w:val="auto"/>
              </w:rPr>
            </w:pPr>
            <w:r>
              <w:rPr>
                <w:rFonts w:ascii="Times New Roman" w:hAnsi="Times New Roman" w:cs="Times New Roman"/>
                <w:bCs/>
                <w:color w:val="auto"/>
              </w:rPr>
              <w:t>D级：适于近距离燃放、危险性很小的产品。</w:t>
            </w:r>
          </w:p>
          <w:p>
            <w:pPr>
              <w:pStyle w:val="37"/>
              <w:adjustRightInd/>
              <w:spacing w:line="520" w:lineRule="exact"/>
              <w:ind w:firstLine="480" w:firstLineChars="200"/>
              <w:jc w:val="left"/>
              <w:rPr>
                <w:rFonts w:ascii="Times New Roman" w:hAnsi="Times New Roman" w:cs="Times New Roman"/>
                <w:bCs/>
                <w:color w:val="auto"/>
              </w:rPr>
            </w:pPr>
            <w:r>
              <w:rPr>
                <w:rFonts w:ascii="Times New Roman" w:hAnsi="Times New Roman" w:cs="Times New Roman"/>
                <w:bCs/>
                <w:color w:val="auto"/>
              </w:rPr>
              <w:t>本项目储存的烟花爆竹为C、D级烟花爆竹。</w:t>
            </w:r>
          </w:p>
          <w:p>
            <w:pPr>
              <w:pStyle w:val="37"/>
              <w:adjustRightInd/>
              <w:spacing w:line="520" w:lineRule="exact"/>
              <w:ind w:firstLine="480" w:firstLineChars="200"/>
              <w:jc w:val="left"/>
              <w:rPr>
                <w:rFonts w:ascii="Times New Roman" w:hAnsi="Times New Roman" w:cs="Times New Roman"/>
                <w:bCs/>
                <w:color w:val="auto"/>
              </w:rPr>
            </w:pPr>
            <w:r>
              <w:rPr>
                <w:rFonts w:ascii="Times New Roman" w:hAnsi="Times New Roman" w:cs="Times New Roman"/>
                <w:bCs/>
                <w:color w:val="auto"/>
              </w:rPr>
              <w:t>（2）烟花爆竹的分类及含药量规定</w:t>
            </w:r>
          </w:p>
          <w:p>
            <w:pPr>
              <w:pStyle w:val="37"/>
              <w:adjustRightInd/>
              <w:spacing w:line="520" w:lineRule="exact"/>
              <w:ind w:firstLine="480" w:firstLineChars="200"/>
              <w:jc w:val="left"/>
              <w:rPr>
                <w:rFonts w:ascii="Times New Roman" w:hAnsi="Times New Roman" w:cs="Times New Roman"/>
                <w:bCs/>
                <w:color w:val="auto"/>
              </w:rPr>
            </w:pPr>
            <w:r>
              <w:rPr>
                <w:rFonts w:ascii="Times New Roman" w:hAnsi="Times New Roman" w:cs="Times New Roman"/>
                <w:bCs/>
                <w:color w:val="auto"/>
              </w:rPr>
              <w:t>根据结构与组成、燃放运动轨迹及燃放效果，烟花爆竹产品分为以下9大类和若干小类，产品类别及定义见表2-2。</w:t>
            </w:r>
          </w:p>
          <w:p>
            <w:pPr>
              <w:pStyle w:val="52"/>
              <w:rPr>
                <w:color w:val="auto"/>
              </w:rPr>
            </w:pPr>
            <w:r>
              <w:rPr>
                <w:color w:val="auto"/>
              </w:rPr>
              <w:t>表2-2  烟花爆竹分类一览表</w:t>
            </w:r>
          </w:p>
          <w:tbl>
            <w:tblPr>
              <w:tblStyle w:val="27"/>
              <w:tblW w:w="48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747"/>
              <w:gridCol w:w="2371"/>
              <w:gridCol w:w="1039"/>
              <w:gridCol w:w="328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l2br w:val="nil"/>
                    <w:tr2bl w:val="nil"/>
                  </w:tcBorders>
                  <w:vAlign w:val="center"/>
                </w:tcPr>
                <w:p>
                  <w:pPr>
                    <w:spacing w:line="300" w:lineRule="exact"/>
                    <w:jc w:val="center"/>
                    <w:rPr>
                      <w:color w:val="auto"/>
                      <w:szCs w:val="21"/>
                    </w:rPr>
                  </w:pPr>
                  <w:r>
                    <w:rPr>
                      <w:color w:val="auto"/>
                      <w:szCs w:val="21"/>
                    </w:rPr>
                    <w:t>序号</w:t>
                  </w:r>
                </w:p>
              </w:tc>
              <w:tc>
                <w:tcPr>
                  <w:tcW w:w="725" w:type="dxa"/>
                  <w:tcBorders>
                    <w:tl2br w:val="nil"/>
                    <w:tr2bl w:val="nil"/>
                  </w:tcBorders>
                  <w:vAlign w:val="center"/>
                </w:tcPr>
                <w:p>
                  <w:pPr>
                    <w:spacing w:line="300" w:lineRule="exact"/>
                    <w:jc w:val="center"/>
                    <w:rPr>
                      <w:color w:val="auto"/>
                      <w:szCs w:val="21"/>
                    </w:rPr>
                  </w:pPr>
                  <w:r>
                    <w:rPr>
                      <w:color w:val="auto"/>
                      <w:szCs w:val="21"/>
                    </w:rPr>
                    <w:t>产品大类</w:t>
                  </w:r>
                </w:p>
              </w:tc>
              <w:tc>
                <w:tcPr>
                  <w:tcW w:w="2302" w:type="dxa"/>
                  <w:tcBorders>
                    <w:tl2br w:val="nil"/>
                    <w:tr2bl w:val="nil"/>
                  </w:tcBorders>
                  <w:vAlign w:val="center"/>
                </w:tcPr>
                <w:p>
                  <w:pPr>
                    <w:spacing w:line="300" w:lineRule="exact"/>
                    <w:jc w:val="center"/>
                    <w:rPr>
                      <w:color w:val="auto"/>
                      <w:szCs w:val="21"/>
                    </w:rPr>
                  </w:pPr>
                  <w:r>
                    <w:rPr>
                      <w:color w:val="auto"/>
                      <w:szCs w:val="21"/>
                    </w:rPr>
                    <w:t>产品定义</w:t>
                  </w:r>
                </w:p>
              </w:tc>
              <w:tc>
                <w:tcPr>
                  <w:tcW w:w="1009" w:type="dxa"/>
                  <w:tcBorders>
                    <w:tl2br w:val="nil"/>
                    <w:tr2bl w:val="nil"/>
                  </w:tcBorders>
                  <w:vAlign w:val="center"/>
                </w:tcPr>
                <w:p>
                  <w:pPr>
                    <w:spacing w:line="300" w:lineRule="exact"/>
                    <w:jc w:val="center"/>
                    <w:rPr>
                      <w:color w:val="auto"/>
                      <w:szCs w:val="21"/>
                    </w:rPr>
                  </w:pPr>
                  <w:r>
                    <w:rPr>
                      <w:color w:val="auto"/>
                      <w:szCs w:val="21"/>
                    </w:rPr>
                    <w:t>产品小类</w:t>
                  </w:r>
                </w:p>
              </w:tc>
              <w:tc>
                <w:tcPr>
                  <w:tcW w:w="3187" w:type="dxa"/>
                  <w:tcBorders>
                    <w:tl2br w:val="nil"/>
                    <w:tr2bl w:val="nil"/>
                  </w:tcBorders>
                  <w:vAlign w:val="center"/>
                </w:tcPr>
                <w:p>
                  <w:pPr>
                    <w:spacing w:line="300" w:lineRule="exact"/>
                    <w:jc w:val="center"/>
                    <w:rPr>
                      <w:color w:val="auto"/>
                      <w:szCs w:val="21"/>
                    </w:rPr>
                  </w:pPr>
                  <w:r>
                    <w:rPr>
                      <w:color w:val="auto"/>
                      <w:szCs w:val="21"/>
                    </w:rPr>
                    <w:t>产品小类定义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34" w:hRule="atLeast"/>
                <w:jc w:val="center"/>
              </w:trPr>
              <w:tc>
                <w:tcPr>
                  <w:tcW w:w="562" w:type="dxa"/>
                  <w:vMerge w:val="restart"/>
                  <w:tcBorders>
                    <w:tl2br w:val="nil"/>
                    <w:tr2bl w:val="nil"/>
                  </w:tcBorders>
                  <w:vAlign w:val="center"/>
                </w:tcPr>
                <w:p>
                  <w:pPr>
                    <w:spacing w:line="300" w:lineRule="exact"/>
                    <w:jc w:val="center"/>
                    <w:rPr>
                      <w:color w:val="auto"/>
                      <w:szCs w:val="21"/>
                    </w:rPr>
                  </w:pPr>
                  <w:r>
                    <w:rPr>
                      <w:color w:val="auto"/>
                      <w:szCs w:val="21"/>
                    </w:rPr>
                    <w:t>1</w:t>
                  </w:r>
                </w:p>
              </w:tc>
              <w:tc>
                <w:tcPr>
                  <w:tcW w:w="725" w:type="dxa"/>
                  <w:vMerge w:val="restart"/>
                  <w:tcBorders>
                    <w:tl2br w:val="nil"/>
                    <w:tr2bl w:val="nil"/>
                  </w:tcBorders>
                  <w:vAlign w:val="center"/>
                </w:tcPr>
                <w:p>
                  <w:pPr>
                    <w:spacing w:line="300" w:lineRule="exact"/>
                    <w:jc w:val="center"/>
                    <w:rPr>
                      <w:color w:val="auto"/>
                      <w:szCs w:val="21"/>
                    </w:rPr>
                  </w:pPr>
                  <w:r>
                    <w:rPr>
                      <w:color w:val="auto"/>
                      <w:szCs w:val="21"/>
                    </w:rPr>
                    <w:t>爆竹类</w:t>
                  </w:r>
                </w:p>
              </w:tc>
              <w:tc>
                <w:tcPr>
                  <w:tcW w:w="2302" w:type="dxa"/>
                  <w:vMerge w:val="restart"/>
                  <w:tcBorders>
                    <w:tl2br w:val="nil"/>
                    <w:tr2bl w:val="nil"/>
                  </w:tcBorders>
                  <w:vAlign w:val="center"/>
                </w:tcPr>
                <w:p>
                  <w:pPr>
                    <w:spacing w:line="300" w:lineRule="exact"/>
                    <w:jc w:val="center"/>
                    <w:rPr>
                      <w:color w:val="auto"/>
                      <w:szCs w:val="21"/>
                    </w:rPr>
                  </w:pPr>
                  <w:r>
                    <w:rPr>
                      <w:color w:val="auto"/>
                      <w:szCs w:val="21"/>
                    </w:rPr>
                    <w:t>燃放时主体爆炸（主体筒体破碎或者爆裂）但不升空，产生爆炸声音、闪光等效果，以听觉效果为主的产品</w:t>
                  </w:r>
                </w:p>
              </w:tc>
              <w:tc>
                <w:tcPr>
                  <w:tcW w:w="1009" w:type="dxa"/>
                  <w:tcBorders>
                    <w:tl2br w:val="nil"/>
                    <w:tr2bl w:val="nil"/>
                  </w:tcBorders>
                  <w:vAlign w:val="center"/>
                </w:tcPr>
                <w:p>
                  <w:pPr>
                    <w:spacing w:line="300" w:lineRule="exact"/>
                    <w:jc w:val="center"/>
                    <w:rPr>
                      <w:color w:val="auto"/>
                      <w:szCs w:val="21"/>
                    </w:rPr>
                  </w:pPr>
                  <w:r>
                    <w:rPr>
                      <w:color w:val="auto"/>
                      <w:szCs w:val="21"/>
                    </w:rPr>
                    <w:t>黑火药</w:t>
                  </w:r>
                </w:p>
              </w:tc>
              <w:tc>
                <w:tcPr>
                  <w:tcW w:w="3187" w:type="dxa"/>
                  <w:tcBorders>
                    <w:tl2br w:val="nil"/>
                    <w:tr2bl w:val="nil"/>
                  </w:tcBorders>
                  <w:vAlign w:val="center"/>
                </w:tcPr>
                <w:p>
                  <w:pPr>
                    <w:spacing w:line="300" w:lineRule="exact"/>
                    <w:jc w:val="center"/>
                    <w:rPr>
                      <w:color w:val="auto"/>
                      <w:szCs w:val="21"/>
                    </w:rPr>
                  </w:pPr>
                  <w:r>
                    <w:rPr>
                      <w:color w:val="auto"/>
                      <w:szCs w:val="21"/>
                    </w:rPr>
                    <w:t>以黑火药为爆响药的爆竹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tcBorders>
                    <w:tl2br w:val="nil"/>
                    <w:tr2bl w:val="nil"/>
                  </w:tcBorders>
                  <w:vAlign w:val="center"/>
                </w:tcPr>
                <w:p>
                  <w:pPr>
                    <w:spacing w:line="300" w:lineRule="exact"/>
                    <w:jc w:val="center"/>
                    <w:rPr>
                      <w:color w:val="auto"/>
                      <w:szCs w:val="21"/>
                    </w:rPr>
                  </w:pPr>
                </w:p>
              </w:tc>
              <w:tc>
                <w:tcPr>
                  <w:tcW w:w="725" w:type="dxa"/>
                  <w:vMerge w:val="continue"/>
                  <w:tcBorders>
                    <w:tl2br w:val="nil"/>
                    <w:tr2bl w:val="nil"/>
                  </w:tcBorders>
                  <w:vAlign w:val="center"/>
                </w:tcPr>
                <w:p>
                  <w:pPr>
                    <w:spacing w:line="300" w:lineRule="exact"/>
                    <w:jc w:val="center"/>
                    <w:rPr>
                      <w:color w:val="auto"/>
                      <w:szCs w:val="21"/>
                    </w:rPr>
                  </w:pPr>
                </w:p>
              </w:tc>
              <w:tc>
                <w:tcPr>
                  <w:tcW w:w="2302" w:type="dxa"/>
                  <w:vMerge w:val="continue"/>
                  <w:tcBorders>
                    <w:tl2br w:val="nil"/>
                    <w:tr2bl w:val="nil"/>
                  </w:tcBorders>
                  <w:vAlign w:val="center"/>
                </w:tcPr>
                <w:p>
                  <w:pPr>
                    <w:spacing w:line="300" w:lineRule="exact"/>
                    <w:jc w:val="center"/>
                    <w:rPr>
                      <w:color w:val="auto"/>
                      <w:szCs w:val="21"/>
                    </w:rPr>
                  </w:pPr>
                </w:p>
              </w:tc>
              <w:tc>
                <w:tcPr>
                  <w:tcW w:w="1009" w:type="dxa"/>
                  <w:tcBorders>
                    <w:tl2br w:val="nil"/>
                    <w:tr2bl w:val="nil"/>
                  </w:tcBorders>
                  <w:vAlign w:val="center"/>
                </w:tcPr>
                <w:p>
                  <w:pPr>
                    <w:spacing w:line="300" w:lineRule="exact"/>
                    <w:jc w:val="center"/>
                    <w:rPr>
                      <w:color w:val="auto"/>
                      <w:szCs w:val="21"/>
                    </w:rPr>
                  </w:pPr>
                  <w:r>
                    <w:rPr>
                      <w:color w:val="auto"/>
                      <w:szCs w:val="21"/>
                    </w:rPr>
                    <w:t>白火药</w:t>
                  </w:r>
                </w:p>
              </w:tc>
              <w:tc>
                <w:tcPr>
                  <w:tcW w:w="3187" w:type="dxa"/>
                  <w:tcBorders>
                    <w:tl2br w:val="nil"/>
                    <w:tr2bl w:val="nil"/>
                  </w:tcBorders>
                  <w:vAlign w:val="center"/>
                </w:tcPr>
                <w:p>
                  <w:pPr>
                    <w:spacing w:line="300" w:lineRule="exact"/>
                    <w:jc w:val="center"/>
                    <w:rPr>
                      <w:color w:val="auto"/>
                      <w:szCs w:val="21"/>
                    </w:rPr>
                  </w:pPr>
                  <w:r>
                    <w:rPr>
                      <w:color w:val="auto"/>
                      <w:szCs w:val="21"/>
                    </w:rPr>
                    <w:t>以高氯酸盐或其他氧化剂并含有金属粉成分为爆响药的爆竹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tcBorders>
                    <w:tl2br w:val="nil"/>
                    <w:tr2bl w:val="nil"/>
                  </w:tcBorders>
                  <w:vAlign w:val="center"/>
                </w:tcPr>
                <w:p>
                  <w:pPr>
                    <w:spacing w:line="300" w:lineRule="exact"/>
                    <w:jc w:val="center"/>
                    <w:rPr>
                      <w:color w:val="auto"/>
                      <w:szCs w:val="21"/>
                    </w:rPr>
                  </w:pPr>
                  <w:r>
                    <w:rPr>
                      <w:color w:val="auto"/>
                      <w:szCs w:val="21"/>
                    </w:rPr>
                    <w:t>2</w:t>
                  </w:r>
                </w:p>
              </w:tc>
              <w:tc>
                <w:tcPr>
                  <w:tcW w:w="725" w:type="dxa"/>
                  <w:vMerge w:val="restart"/>
                  <w:tcBorders>
                    <w:tl2br w:val="nil"/>
                    <w:tr2bl w:val="nil"/>
                  </w:tcBorders>
                  <w:vAlign w:val="center"/>
                </w:tcPr>
                <w:p>
                  <w:pPr>
                    <w:spacing w:line="300" w:lineRule="exact"/>
                    <w:jc w:val="center"/>
                    <w:rPr>
                      <w:color w:val="auto"/>
                      <w:szCs w:val="21"/>
                    </w:rPr>
                  </w:pPr>
                  <w:r>
                    <w:rPr>
                      <w:color w:val="auto"/>
                      <w:szCs w:val="21"/>
                    </w:rPr>
                    <w:t>喷花类</w:t>
                  </w:r>
                </w:p>
              </w:tc>
              <w:tc>
                <w:tcPr>
                  <w:tcW w:w="2302" w:type="dxa"/>
                  <w:vMerge w:val="restart"/>
                  <w:tcBorders>
                    <w:tl2br w:val="nil"/>
                    <w:tr2bl w:val="nil"/>
                  </w:tcBorders>
                  <w:vAlign w:val="center"/>
                </w:tcPr>
                <w:p>
                  <w:pPr>
                    <w:spacing w:line="300" w:lineRule="exact"/>
                    <w:jc w:val="center"/>
                    <w:rPr>
                      <w:color w:val="auto"/>
                      <w:szCs w:val="21"/>
                    </w:rPr>
                  </w:pPr>
                  <w:r>
                    <w:rPr>
                      <w:color w:val="auto"/>
                      <w:szCs w:val="21"/>
                    </w:rPr>
                    <w:t>燃放时以直向喷射火苗、火花、响声（响珠）为主的产品</w:t>
                  </w:r>
                </w:p>
              </w:tc>
              <w:tc>
                <w:tcPr>
                  <w:tcW w:w="1009" w:type="dxa"/>
                  <w:tcBorders>
                    <w:tl2br w:val="nil"/>
                    <w:tr2bl w:val="nil"/>
                  </w:tcBorders>
                  <w:vAlign w:val="center"/>
                </w:tcPr>
                <w:p>
                  <w:pPr>
                    <w:spacing w:line="300" w:lineRule="exact"/>
                    <w:jc w:val="center"/>
                    <w:rPr>
                      <w:color w:val="auto"/>
                      <w:szCs w:val="21"/>
                    </w:rPr>
                  </w:pPr>
                  <w:r>
                    <w:rPr>
                      <w:color w:val="auto"/>
                      <w:szCs w:val="21"/>
                    </w:rPr>
                    <w:t>地面（水上）喷花</w:t>
                  </w:r>
                </w:p>
              </w:tc>
              <w:tc>
                <w:tcPr>
                  <w:tcW w:w="3187" w:type="dxa"/>
                  <w:tcBorders>
                    <w:tl2br w:val="nil"/>
                    <w:tr2bl w:val="nil"/>
                  </w:tcBorders>
                  <w:vAlign w:val="center"/>
                </w:tcPr>
                <w:p>
                  <w:pPr>
                    <w:spacing w:line="300" w:lineRule="exact"/>
                    <w:jc w:val="center"/>
                    <w:rPr>
                      <w:color w:val="auto"/>
                      <w:szCs w:val="21"/>
                    </w:rPr>
                  </w:pPr>
                  <w:r>
                    <w:rPr>
                      <w:color w:val="auto"/>
                      <w:szCs w:val="21"/>
                    </w:rPr>
                    <w:t>固定放置在地面（或者水面）上燃放的喷花类产品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tcBorders>
                    <w:tl2br w:val="nil"/>
                    <w:tr2bl w:val="nil"/>
                  </w:tcBorders>
                  <w:vAlign w:val="center"/>
                </w:tcPr>
                <w:p>
                  <w:pPr>
                    <w:spacing w:line="300" w:lineRule="exact"/>
                    <w:jc w:val="center"/>
                    <w:rPr>
                      <w:color w:val="auto"/>
                      <w:szCs w:val="21"/>
                    </w:rPr>
                  </w:pPr>
                </w:p>
              </w:tc>
              <w:tc>
                <w:tcPr>
                  <w:tcW w:w="725" w:type="dxa"/>
                  <w:vMerge w:val="continue"/>
                  <w:tcBorders>
                    <w:tl2br w:val="nil"/>
                    <w:tr2bl w:val="nil"/>
                  </w:tcBorders>
                  <w:vAlign w:val="center"/>
                </w:tcPr>
                <w:p>
                  <w:pPr>
                    <w:spacing w:line="300" w:lineRule="exact"/>
                    <w:jc w:val="center"/>
                    <w:rPr>
                      <w:color w:val="auto"/>
                      <w:szCs w:val="21"/>
                    </w:rPr>
                  </w:pPr>
                </w:p>
              </w:tc>
              <w:tc>
                <w:tcPr>
                  <w:tcW w:w="2302" w:type="dxa"/>
                  <w:vMerge w:val="continue"/>
                  <w:tcBorders>
                    <w:tl2br w:val="nil"/>
                    <w:tr2bl w:val="nil"/>
                  </w:tcBorders>
                  <w:vAlign w:val="center"/>
                </w:tcPr>
                <w:p>
                  <w:pPr>
                    <w:spacing w:line="300" w:lineRule="exact"/>
                    <w:jc w:val="center"/>
                    <w:rPr>
                      <w:color w:val="auto"/>
                      <w:szCs w:val="21"/>
                    </w:rPr>
                  </w:pPr>
                </w:p>
              </w:tc>
              <w:tc>
                <w:tcPr>
                  <w:tcW w:w="1009" w:type="dxa"/>
                  <w:tcBorders>
                    <w:tl2br w:val="nil"/>
                    <w:tr2bl w:val="nil"/>
                  </w:tcBorders>
                  <w:vAlign w:val="center"/>
                </w:tcPr>
                <w:p>
                  <w:pPr>
                    <w:spacing w:line="300" w:lineRule="exact"/>
                    <w:jc w:val="center"/>
                    <w:rPr>
                      <w:color w:val="auto"/>
                      <w:szCs w:val="21"/>
                    </w:rPr>
                  </w:pPr>
                  <w:r>
                    <w:rPr>
                      <w:color w:val="auto"/>
                      <w:szCs w:val="21"/>
                    </w:rPr>
                    <w:t>手持（插入）喷花</w:t>
                  </w:r>
                </w:p>
              </w:tc>
              <w:tc>
                <w:tcPr>
                  <w:tcW w:w="3187" w:type="dxa"/>
                  <w:tcBorders>
                    <w:tl2br w:val="nil"/>
                    <w:tr2bl w:val="nil"/>
                  </w:tcBorders>
                  <w:vAlign w:val="center"/>
                </w:tcPr>
                <w:p>
                  <w:pPr>
                    <w:spacing w:line="300" w:lineRule="exact"/>
                    <w:jc w:val="center"/>
                    <w:rPr>
                      <w:color w:val="auto"/>
                      <w:szCs w:val="21"/>
                    </w:rPr>
                  </w:pPr>
                  <w:r>
                    <w:rPr>
                      <w:color w:val="auto"/>
                      <w:szCs w:val="21"/>
                    </w:rPr>
                    <w:t>手持或插入某种装置上燃放的喷花类产品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tcBorders>
                    <w:tl2br w:val="nil"/>
                    <w:tr2bl w:val="nil"/>
                  </w:tcBorders>
                  <w:vAlign w:val="center"/>
                </w:tcPr>
                <w:p>
                  <w:pPr>
                    <w:spacing w:line="300" w:lineRule="exact"/>
                    <w:jc w:val="center"/>
                    <w:rPr>
                      <w:color w:val="auto"/>
                      <w:szCs w:val="21"/>
                    </w:rPr>
                  </w:pPr>
                  <w:r>
                    <w:rPr>
                      <w:color w:val="auto"/>
                      <w:szCs w:val="21"/>
                    </w:rPr>
                    <w:t>3</w:t>
                  </w:r>
                </w:p>
              </w:tc>
              <w:tc>
                <w:tcPr>
                  <w:tcW w:w="725" w:type="dxa"/>
                  <w:vMerge w:val="restart"/>
                  <w:tcBorders>
                    <w:tl2br w:val="nil"/>
                    <w:tr2bl w:val="nil"/>
                  </w:tcBorders>
                  <w:vAlign w:val="center"/>
                </w:tcPr>
                <w:p>
                  <w:pPr>
                    <w:spacing w:line="300" w:lineRule="exact"/>
                    <w:jc w:val="center"/>
                    <w:rPr>
                      <w:color w:val="auto"/>
                      <w:szCs w:val="21"/>
                    </w:rPr>
                  </w:pPr>
                  <w:r>
                    <w:rPr>
                      <w:color w:val="auto"/>
                      <w:szCs w:val="21"/>
                    </w:rPr>
                    <w:t>旋转类</w:t>
                  </w:r>
                </w:p>
              </w:tc>
              <w:tc>
                <w:tcPr>
                  <w:tcW w:w="2302" w:type="dxa"/>
                  <w:vMerge w:val="restart"/>
                  <w:tcBorders>
                    <w:tl2br w:val="nil"/>
                    <w:tr2bl w:val="nil"/>
                  </w:tcBorders>
                  <w:vAlign w:val="center"/>
                </w:tcPr>
                <w:p>
                  <w:pPr>
                    <w:spacing w:line="300" w:lineRule="exact"/>
                    <w:jc w:val="center"/>
                    <w:rPr>
                      <w:color w:val="auto"/>
                      <w:szCs w:val="21"/>
                    </w:rPr>
                  </w:pPr>
                  <w:r>
                    <w:rPr>
                      <w:color w:val="auto"/>
                      <w:szCs w:val="21"/>
                    </w:rPr>
                    <w:t>燃放时主体自身旋转但不升空的产品</w:t>
                  </w:r>
                </w:p>
              </w:tc>
              <w:tc>
                <w:tcPr>
                  <w:tcW w:w="1009" w:type="dxa"/>
                  <w:tcBorders>
                    <w:tl2br w:val="nil"/>
                    <w:tr2bl w:val="nil"/>
                  </w:tcBorders>
                  <w:vAlign w:val="center"/>
                </w:tcPr>
                <w:p>
                  <w:pPr>
                    <w:spacing w:line="300" w:lineRule="exact"/>
                    <w:jc w:val="center"/>
                    <w:rPr>
                      <w:color w:val="auto"/>
                      <w:szCs w:val="21"/>
                    </w:rPr>
                  </w:pPr>
                  <w:r>
                    <w:rPr>
                      <w:color w:val="auto"/>
                      <w:szCs w:val="21"/>
                    </w:rPr>
                    <w:t>有固定轴旋转喷花</w:t>
                  </w:r>
                </w:p>
              </w:tc>
              <w:tc>
                <w:tcPr>
                  <w:tcW w:w="3187" w:type="dxa"/>
                  <w:tcBorders>
                    <w:tl2br w:val="nil"/>
                    <w:tr2bl w:val="nil"/>
                  </w:tcBorders>
                  <w:vAlign w:val="center"/>
                </w:tcPr>
                <w:p>
                  <w:pPr>
                    <w:spacing w:line="300" w:lineRule="exact"/>
                    <w:jc w:val="center"/>
                    <w:rPr>
                      <w:color w:val="auto"/>
                      <w:szCs w:val="21"/>
                    </w:rPr>
                  </w:pPr>
                  <w:r>
                    <w:rPr>
                      <w:color w:val="auto"/>
                      <w:szCs w:val="21"/>
                    </w:rPr>
                    <w:t>产品设置有固定旋转轴的部件，燃放时以此部件为中心旋转，产生旋转效果的旋转类产品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tcBorders>
                    <w:tl2br w:val="nil"/>
                    <w:tr2bl w:val="nil"/>
                  </w:tcBorders>
                  <w:vAlign w:val="center"/>
                </w:tcPr>
                <w:p>
                  <w:pPr>
                    <w:spacing w:line="300" w:lineRule="exact"/>
                    <w:jc w:val="center"/>
                    <w:rPr>
                      <w:color w:val="auto"/>
                      <w:szCs w:val="21"/>
                    </w:rPr>
                  </w:pPr>
                </w:p>
              </w:tc>
              <w:tc>
                <w:tcPr>
                  <w:tcW w:w="725" w:type="dxa"/>
                  <w:vMerge w:val="continue"/>
                  <w:tcBorders>
                    <w:tl2br w:val="nil"/>
                    <w:tr2bl w:val="nil"/>
                  </w:tcBorders>
                  <w:vAlign w:val="center"/>
                </w:tcPr>
                <w:p>
                  <w:pPr>
                    <w:spacing w:line="300" w:lineRule="exact"/>
                    <w:jc w:val="center"/>
                    <w:rPr>
                      <w:color w:val="auto"/>
                      <w:szCs w:val="21"/>
                    </w:rPr>
                  </w:pPr>
                </w:p>
              </w:tc>
              <w:tc>
                <w:tcPr>
                  <w:tcW w:w="2302" w:type="dxa"/>
                  <w:vMerge w:val="continue"/>
                  <w:tcBorders>
                    <w:tl2br w:val="nil"/>
                    <w:tr2bl w:val="nil"/>
                  </w:tcBorders>
                  <w:vAlign w:val="center"/>
                </w:tcPr>
                <w:p>
                  <w:pPr>
                    <w:spacing w:line="300" w:lineRule="exact"/>
                    <w:jc w:val="center"/>
                    <w:rPr>
                      <w:color w:val="auto"/>
                      <w:szCs w:val="21"/>
                    </w:rPr>
                  </w:pPr>
                </w:p>
              </w:tc>
              <w:tc>
                <w:tcPr>
                  <w:tcW w:w="1009" w:type="dxa"/>
                  <w:tcBorders>
                    <w:tl2br w:val="nil"/>
                    <w:tr2bl w:val="nil"/>
                  </w:tcBorders>
                  <w:vAlign w:val="center"/>
                </w:tcPr>
                <w:p>
                  <w:pPr>
                    <w:spacing w:line="300" w:lineRule="exact"/>
                    <w:jc w:val="center"/>
                    <w:rPr>
                      <w:color w:val="auto"/>
                      <w:szCs w:val="21"/>
                    </w:rPr>
                  </w:pPr>
                  <w:r>
                    <w:rPr>
                      <w:color w:val="auto"/>
                      <w:szCs w:val="21"/>
                    </w:rPr>
                    <w:t>无固定轴旋转喷花</w:t>
                  </w:r>
                </w:p>
              </w:tc>
              <w:tc>
                <w:tcPr>
                  <w:tcW w:w="3187" w:type="dxa"/>
                  <w:tcBorders>
                    <w:tl2br w:val="nil"/>
                    <w:tr2bl w:val="nil"/>
                  </w:tcBorders>
                  <w:vAlign w:val="center"/>
                </w:tcPr>
                <w:p>
                  <w:pPr>
                    <w:spacing w:line="300" w:lineRule="exact"/>
                    <w:jc w:val="center"/>
                    <w:rPr>
                      <w:color w:val="auto"/>
                      <w:szCs w:val="21"/>
                    </w:rPr>
                  </w:pPr>
                  <w:r>
                    <w:rPr>
                      <w:color w:val="auto"/>
                      <w:szCs w:val="21"/>
                    </w:rPr>
                    <w:t>产品无固定轴，燃放时无固定轴而旋转的旋转类产品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tcBorders>
                    <w:tl2br w:val="nil"/>
                    <w:tr2bl w:val="nil"/>
                  </w:tcBorders>
                  <w:vAlign w:val="center"/>
                </w:tcPr>
                <w:p>
                  <w:pPr>
                    <w:spacing w:line="300" w:lineRule="exact"/>
                    <w:jc w:val="center"/>
                    <w:rPr>
                      <w:color w:val="auto"/>
                      <w:szCs w:val="21"/>
                    </w:rPr>
                  </w:pPr>
                  <w:r>
                    <w:rPr>
                      <w:color w:val="auto"/>
                      <w:szCs w:val="21"/>
                    </w:rPr>
                    <w:t>4</w:t>
                  </w:r>
                </w:p>
              </w:tc>
              <w:tc>
                <w:tcPr>
                  <w:tcW w:w="725" w:type="dxa"/>
                  <w:vMerge w:val="restart"/>
                  <w:tcBorders>
                    <w:tl2br w:val="nil"/>
                    <w:tr2bl w:val="nil"/>
                  </w:tcBorders>
                  <w:vAlign w:val="center"/>
                </w:tcPr>
                <w:p>
                  <w:pPr>
                    <w:spacing w:line="300" w:lineRule="exact"/>
                    <w:jc w:val="center"/>
                    <w:rPr>
                      <w:color w:val="auto"/>
                      <w:szCs w:val="21"/>
                    </w:rPr>
                  </w:pPr>
                  <w:r>
                    <w:rPr>
                      <w:color w:val="auto"/>
                      <w:szCs w:val="21"/>
                    </w:rPr>
                    <w:t>升空类</w:t>
                  </w:r>
                </w:p>
              </w:tc>
              <w:tc>
                <w:tcPr>
                  <w:tcW w:w="2302" w:type="dxa"/>
                  <w:vMerge w:val="restart"/>
                  <w:tcBorders>
                    <w:tl2br w:val="nil"/>
                    <w:tr2bl w:val="nil"/>
                  </w:tcBorders>
                  <w:vAlign w:val="center"/>
                </w:tcPr>
                <w:p>
                  <w:pPr>
                    <w:spacing w:line="300" w:lineRule="exact"/>
                    <w:jc w:val="center"/>
                    <w:rPr>
                      <w:color w:val="auto"/>
                      <w:szCs w:val="21"/>
                    </w:rPr>
                  </w:pPr>
                  <w:r>
                    <w:rPr>
                      <w:color w:val="auto"/>
                      <w:szCs w:val="21"/>
                    </w:rPr>
                    <w:t>燃放时主体定向或旋转升空的产品</w:t>
                  </w:r>
                </w:p>
              </w:tc>
              <w:tc>
                <w:tcPr>
                  <w:tcW w:w="1009" w:type="dxa"/>
                  <w:tcBorders>
                    <w:tl2br w:val="nil"/>
                    <w:tr2bl w:val="nil"/>
                  </w:tcBorders>
                  <w:vAlign w:val="center"/>
                </w:tcPr>
                <w:p>
                  <w:pPr>
                    <w:spacing w:line="300" w:lineRule="exact"/>
                    <w:jc w:val="center"/>
                    <w:rPr>
                      <w:color w:val="auto"/>
                      <w:szCs w:val="21"/>
                    </w:rPr>
                  </w:pPr>
                  <w:r>
                    <w:rPr>
                      <w:color w:val="auto"/>
                      <w:szCs w:val="21"/>
                    </w:rPr>
                    <w:t>火箭</w:t>
                  </w:r>
                </w:p>
              </w:tc>
              <w:tc>
                <w:tcPr>
                  <w:tcW w:w="3187" w:type="dxa"/>
                  <w:tcBorders>
                    <w:tl2br w:val="nil"/>
                    <w:tr2bl w:val="nil"/>
                  </w:tcBorders>
                  <w:vAlign w:val="center"/>
                </w:tcPr>
                <w:p>
                  <w:pPr>
                    <w:spacing w:line="300" w:lineRule="exact"/>
                    <w:jc w:val="center"/>
                    <w:rPr>
                      <w:color w:val="auto"/>
                      <w:szCs w:val="21"/>
                    </w:rPr>
                  </w:pPr>
                  <w:r>
                    <w:rPr>
                      <w:color w:val="auto"/>
                      <w:szCs w:val="21"/>
                    </w:rPr>
                    <w:t>产品安装有定向装置，起到稳定方向作用的升空类产品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tcBorders>
                    <w:tl2br w:val="nil"/>
                    <w:tr2bl w:val="nil"/>
                  </w:tcBorders>
                  <w:vAlign w:val="center"/>
                </w:tcPr>
                <w:p>
                  <w:pPr>
                    <w:spacing w:line="300" w:lineRule="exact"/>
                    <w:jc w:val="center"/>
                    <w:rPr>
                      <w:color w:val="auto"/>
                      <w:szCs w:val="21"/>
                    </w:rPr>
                  </w:pPr>
                </w:p>
              </w:tc>
              <w:tc>
                <w:tcPr>
                  <w:tcW w:w="725" w:type="dxa"/>
                  <w:vMerge w:val="continue"/>
                  <w:tcBorders>
                    <w:tl2br w:val="nil"/>
                    <w:tr2bl w:val="nil"/>
                  </w:tcBorders>
                  <w:vAlign w:val="center"/>
                </w:tcPr>
                <w:p>
                  <w:pPr>
                    <w:spacing w:line="300" w:lineRule="exact"/>
                    <w:jc w:val="center"/>
                    <w:rPr>
                      <w:color w:val="auto"/>
                      <w:szCs w:val="21"/>
                    </w:rPr>
                  </w:pPr>
                </w:p>
              </w:tc>
              <w:tc>
                <w:tcPr>
                  <w:tcW w:w="2302" w:type="dxa"/>
                  <w:vMerge w:val="continue"/>
                  <w:tcBorders>
                    <w:tl2br w:val="nil"/>
                    <w:tr2bl w:val="nil"/>
                  </w:tcBorders>
                  <w:vAlign w:val="center"/>
                </w:tcPr>
                <w:p>
                  <w:pPr>
                    <w:spacing w:line="300" w:lineRule="exact"/>
                    <w:jc w:val="center"/>
                    <w:rPr>
                      <w:color w:val="auto"/>
                      <w:szCs w:val="21"/>
                    </w:rPr>
                  </w:pPr>
                </w:p>
              </w:tc>
              <w:tc>
                <w:tcPr>
                  <w:tcW w:w="1009" w:type="dxa"/>
                  <w:tcBorders>
                    <w:tl2br w:val="nil"/>
                    <w:tr2bl w:val="nil"/>
                  </w:tcBorders>
                  <w:vAlign w:val="center"/>
                </w:tcPr>
                <w:p>
                  <w:pPr>
                    <w:spacing w:line="300" w:lineRule="exact"/>
                    <w:jc w:val="center"/>
                    <w:rPr>
                      <w:color w:val="auto"/>
                      <w:szCs w:val="21"/>
                    </w:rPr>
                  </w:pPr>
                  <w:r>
                    <w:rPr>
                      <w:color w:val="auto"/>
                      <w:szCs w:val="21"/>
                    </w:rPr>
                    <w:t>双响</w:t>
                  </w:r>
                </w:p>
              </w:tc>
              <w:tc>
                <w:tcPr>
                  <w:tcW w:w="3187" w:type="dxa"/>
                  <w:tcBorders>
                    <w:tl2br w:val="nil"/>
                    <w:tr2bl w:val="nil"/>
                  </w:tcBorders>
                  <w:vAlign w:val="center"/>
                </w:tcPr>
                <w:p>
                  <w:pPr>
                    <w:spacing w:line="300" w:lineRule="exact"/>
                    <w:jc w:val="center"/>
                    <w:rPr>
                      <w:color w:val="auto"/>
                      <w:szCs w:val="21"/>
                    </w:rPr>
                  </w:pPr>
                  <w:r>
                    <w:rPr>
                      <w:color w:val="auto"/>
                      <w:szCs w:val="21"/>
                    </w:rPr>
                    <w:t>圆柱形筒体内分别装填发射药和爆响药，点燃发射竖直升空（产生第一声爆响），在空中产生第二声爆响（可伴有其他效果）的升空类产品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tcBorders>
                    <w:tl2br w:val="nil"/>
                    <w:tr2bl w:val="nil"/>
                  </w:tcBorders>
                  <w:vAlign w:val="center"/>
                </w:tcPr>
                <w:p>
                  <w:pPr>
                    <w:spacing w:line="300" w:lineRule="exact"/>
                    <w:jc w:val="center"/>
                    <w:rPr>
                      <w:color w:val="auto"/>
                      <w:szCs w:val="21"/>
                    </w:rPr>
                  </w:pPr>
                </w:p>
              </w:tc>
              <w:tc>
                <w:tcPr>
                  <w:tcW w:w="725" w:type="dxa"/>
                  <w:vMerge w:val="continue"/>
                  <w:tcBorders>
                    <w:tl2br w:val="nil"/>
                    <w:tr2bl w:val="nil"/>
                  </w:tcBorders>
                  <w:vAlign w:val="center"/>
                </w:tcPr>
                <w:p>
                  <w:pPr>
                    <w:spacing w:line="300" w:lineRule="exact"/>
                    <w:jc w:val="center"/>
                    <w:rPr>
                      <w:color w:val="auto"/>
                      <w:szCs w:val="21"/>
                    </w:rPr>
                  </w:pPr>
                </w:p>
              </w:tc>
              <w:tc>
                <w:tcPr>
                  <w:tcW w:w="2302" w:type="dxa"/>
                  <w:vMerge w:val="continue"/>
                  <w:tcBorders>
                    <w:tl2br w:val="nil"/>
                    <w:tr2bl w:val="nil"/>
                  </w:tcBorders>
                  <w:vAlign w:val="center"/>
                </w:tcPr>
                <w:p>
                  <w:pPr>
                    <w:spacing w:line="300" w:lineRule="exact"/>
                    <w:jc w:val="center"/>
                    <w:rPr>
                      <w:color w:val="auto"/>
                      <w:szCs w:val="21"/>
                    </w:rPr>
                  </w:pPr>
                </w:p>
              </w:tc>
              <w:tc>
                <w:tcPr>
                  <w:tcW w:w="1009" w:type="dxa"/>
                  <w:tcBorders>
                    <w:tl2br w:val="nil"/>
                    <w:tr2bl w:val="nil"/>
                  </w:tcBorders>
                  <w:vAlign w:val="center"/>
                </w:tcPr>
                <w:p>
                  <w:pPr>
                    <w:spacing w:line="300" w:lineRule="exact"/>
                    <w:jc w:val="center"/>
                    <w:rPr>
                      <w:color w:val="auto"/>
                      <w:szCs w:val="21"/>
                    </w:rPr>
                  </w:pPr>
                  <w:r>
                    <w:rPr>
                      <w:color w:val="auto"/>
                      <w:szCs w:val="21"/>
                    </w:rPr>
                    <w:t>旋转升空烟花</w:t>
                  </w:r>
                </w:p>
              </w:tc>
              <w:tc>
                <w:tcPr>
                  <w:tcW w:w="3187" w:type="dxa"/>
                  <w:tcBorders>
                    <w:tl2br w:val="nil"/>
                    <w:tr2bl w:val="nil"/>
                  </w:tcBorders>
                  <w:vAlign w:val="center"/>
                </w:tcPr>
                <w:p>
                  <w:pPr>
                    <w:spacing w:line="300" w:lineRule="exact"/>
                    <w:jc w:val="center"/>
                    <w:rPr>
                      <w:color w:val="auto"/>
                      <w:szCs w:val="21"/>
                    </w:rPr>
                  </w:pPr>
                  <w:r>
                    <w:rPr>
                      <w:color w:val="auto"/>
                      <w:szCs w:val="21"/>
                    </w:rPr>
                    <w:t>燃放时自身旋转升空的产品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l2br w:val="nil"/>
                    <w:tr2bl w:val="nil"/>
                  </w:tcBorders>
                  <w:vAlign w:val="center"/>
                </w:tcPr>
                <w:p>
                  <w:pPr>
                    <w:spacing w:line="300" w:lineRule="exact"/>
                    <w:jc w:val="center"/>
                    <w:rPr>
                      <w:color w:val="auto"/>
                      <w:szCs w:val="21"/>
                    </w:rPr>
                  </w:pPr>
                  <w:r>
                    <w:rPr>
                      <w:color w:val="auto"/>
                      <w:szCs w:val="21"/>
                    </w:rPr>
                    <w:t>5</w:t>
                  </w:r>
                </w:p>
              </w:tc>
              <w:tc>
                <w:tcPr>
                  <w:tcW w:w="725" w:type="dxa"/>
                  <w:tcBorders>
                    <w:tl2br w:val="nil"/>
                    <w:tr2bl w:val="nil"/>
                  </w:tcBorders>
                  <w:vAlign w:val="center"/>
                </w:tcPr>
                <w:p>
                  <w:pPr>
                    <w:spacing w:line="300" w:lineRule="exact"/>
                    <w:jc w:val="center"/>
                    <w:rPr>
                      <w:color w:val="auto"/>
                      <w:szCs w:val="21"/>
                    </w:rPr>
                  </w:pPr>
                  <w:r>
                    <w:rPr>
                      <w:color w:val="auto"/>
                      <w:szCs w:val="21"/>
                    </w:rPr>
                    <w:t>吐珠类</w:t>
                  </w:r>
                </w:p>
              </w:tc>
              <w:tc>
                <w:tcPr>
                  <w:tcW w:w="2302" w:type="dxa"/>
                  <w:tcBorders>
                    <w:tl2br w:val="nil"/>
                    <w:tr2bl w:val="nil"/>
                  </w:tcBorders>
                  <w:vAlign w:val="center"/>
                </w:tcPr>
                <w:p>
                  <w:pPr>
                    <w:spacing w:line="300" w:lineRule="exact"/>
                    <w:jc w:val="center"/>
                    <w:rPr>
                      <w:color w:val="auto"/>
                      <w:szCs w:val="21"/>
                    </w:rPr>
                  </w:pPr>
                  <w:r>
                    <w:rPr>
                      <w:color w:val="auto"/>
                      <w:szCs w:val="21"/>
                    </w:rPr>
                    <w:t>燃放时从同一筒体内有规律地发射出（药粒或药柱）彩珠、彩花、声响等效果的产品</w:t>
                  </w:r>
                </w:p>
              </w:tc>
              <w:tc>
                <w:tcPr>
                  <w:tcW w:w="1009" w:type="dxa"/>
                  <w:tcBorders>
                    <w:tl2br w:val="nil"/>
                    <w:tr2bl w:val="nil"/>
                  </w:tcBorders>
                  <w:vAlign w:val="center"/>
                </w:tcPr>
                <w:p>
                  <w:pPr>
                    <w:spacing w:line="300" w:lineRule="exact"/>
                    <w:jc w:val="center"/>
                    <w:rPr>
                      <w:color w:val="auto"/>
                      <w:szCs w:val="21"/>
                    </w:rPr>
                  </w:pPr>
                  <w:r>
                    <w:rPr>
                      <w:color w:val="auto"/>
                      <w:szCs w:val="21"/>
                    </w:rPr>
                    <w:t>药粒型吐珠</w:t>
                  </w:r>
                </w:p>
              </w:tc>
              <w:tc>
                <w:tcPr>
                  <w:tcW w:w="3187" w:type="dxa"/>
                  <w:tcBorders>
                    <w:tl2br w:val="nil"/>
                    <w:tr2bl w:val="nil"/>
                  </w:tcBorders>
                  <w:vAlign w:val="center"/>
                </w:tcPr>
                <w:p>
                  <w:pPr>
                    <w:spacing w:line="300" w:lineRule="exact"/>
                    <w:jc w:val="center"/>
                    <w:rPr>
                      <w:color w:val="auto"/>
                      <w:szCs w:val="21"/>
                    </w:rPr>
                  </w:pPr>
                  <w:r>
                    <w:rPr>
                      <w:color w:val="auto"/>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tcBorders>
                    <w:tl2br w:val="nil"/>
                    <w:tr2bl w:val="nil"/>
                  </w:tcBorders>
                  <w:vAlign w:val="center"/>
                </w:tcPr>
                <w:p>
                  <w:pPr>
                    <w:spacing w:line="300" w:lineRule="exact"/>
                    <w:jc w:val="center"/>
                    <w:rPr>
                      <w:color w:val="auto"/>
                      <w:szCs w:val="21"/>
                    </w:rPr>
                  </w:pPr>
                  <w:r>
                    <w:rPr>
                      <w:color w:val="auto"/>
                      <w:szCs w:val="21"/>
                    </w:rPr>
                    <w:t>6</w:t>
                  </w:r>
                </w:p>
              </w:tc>
              <w:tc>
                <w:tcPr>
                  <w:tcW w:w="725" w:type="dxa"/>
                  <w:vMerge w:val="restart"/>
                  <w:tcBorders>
                    <w:tl2br w:val="nil"/>
                    <w:tr2bl w:val="nil"/>
                  </w:tcBorders>
                  <w:vAlign w:val="center"/>
                </w:tcPr>
                <w:p>
                  <w:pPr>
                    <w:spacing w:line="300" w:lineRule="exact"/>
                    <w:jc w:val="center"/>
                    <w:rPr>
                      <w:color w:val="auto"/>
                      <w:szCs w:val="21"/>
                    </w:rPr>
                  </w:pPr>
                  <w:r>
                    <w:rPr>
                      <w:color w:val="auto"/>
                      <w:szCs w:val="21"/>
                    </w:rPr>
                    <w:t>玩具类</w:t>
                  </w:r>
                </w:p>
              </w:tc>
              <w:tc>
                <w:tcPr>
                  <w:tcW w:w="2302" w:type="dxa"/>
                  <w:vMerge w:val="restart"/>
                  <w:tcBorders>
                    <w:tl2br w:val="nil"/>
                    <w:tr2bl w:val="nil"/>
                  </w:tcBorders>
                  <w:vAlign w:val="center"/>
                </w:tcPr>
                <w:p>
                  <w:pPr>
                    <w:spacing w:line="300" w:lineRule="exact"/>
                    <w:jc w:val="center"/>
                    <w:rPr>
                      <w:color w:val="auto"/>
                      <w:szCs w:val="21"/>
                    </w:rPr>
                  </w:pPr>
                  <w:r>
                    <w:rPr>
                      <w:color w:val="auto"/>
                      <w:szCs w:val="21"/>
                    </w:rPr>
                    <w:t>形式多样、运动范围相对较小的低空产品，燃放时产生火花、烟雾、爆响等效果，有玩具造型、线香型、摩擦型、烟雾型产品等</w:t>
                  </w:r>
                </w:p>
              </w:tc>
              <w:tc>
                <w:tcPr>
                  <w:tcW w:w="1009" w:type="dxa"/>
                  <w:tcBorders>
                    <w:tl2br w:val="nil"/>
                    <w:tr2bl w:val="nil"/>
                  </w:tcBorders>
                  <w:vAlign w:val="center"/>
                </w:tcPr>
                <w:p>
                  <w:pPr>
                    <w:spacing w:line="300" w:lineRule="exact"/>
                    <w:jc w:val="center"/>
                    <w:rPr>
                      <w:color w:val="auto"/>
                      <w:szCs w:val="21"/>
                    </w:rPr>
                  </w:pPr>
                  <w:r>
                    <w:rPr>
                      <w:color w:val="auto"/>
                      <w:szCs w:val="21"/>
                    </w:rPr>
                    <w:t>玩具造型</w:t>
                  </w:r>
                </w:p>
              </w:tc>
              <w:tc>
                <w:tcPr>
                  <w:tcW w:w="3187" w:type="dxa"/>
                  <w:tcBorders>
                    <w:tl2br w:val="nil"/>
                    <w:tr2bl w:val="nil"/>
                  </w:tcBorders>
                  <w:vAlign w:val="center"/>
                </w:tcPr>
                <w:p>
                  <w:pPr>
                    <w:spacing w:line="300" w:lineRule="exact"/>
                    <w:jc w:val="center"/>
                    <w:rPr>
                      <w:color w:val="auto"/>
                      <w:szCs w:val="21"/>
                    </w:rPr>
                  </w:pPr>
                  <w:r>
                    <w:rPr>
                      <w:color w:val="auto"/>
                      <w:szCs w:val="21"/>
                    </w:rPr>
                    <w:t>产品外壳制成各种形状，燃放时或燃放后能模仿塑造形象或动作；或产品外表无造型，但燃放时或燃放后能产生某种形象的产品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tcBorders>
                    <w:tl2br w:val="nil"/>
                    <w:tr2bl w:val="nil"/>
                  </w:tcBorders>
                  <w:vAlign w:val="center"/>
                </w:tcPr>
                <w:p>
                  <w:pPr>
                    <w:spacing w:line="300" w:lineRule="exact"/>
                    <w:jc w:val="center"/>
                    <w:rPr>
                      <w:color w:val="auto"/>
                      <w:szCs w:val="21"/>
                    </w:rPr>
                  </w:pPr>
                </w:p>
              </w:tc>
              <w:tc>
                <w:tcPr>
                  <w:tcW w:w="725" w:type="dxa"/>
                  <w:vMerge w:val="continue"/>
                  <w:tcBorders>
                    <w:tl2br w:val="nil"/>
                    <w:tr2bl w:val="nil"/>
                  </w:tcBorders>
                  <w:vAlign w:val="center"/>
                </w:tcPr>
                <w:p>
                  <w:pPr>
                    <w:spacing w:line="300" w:lineRule="exact"/>
                    <w:jc w:val="center"/>
                    <w:rPr>
                      <w:color w:val="auto"/>
                      <w:szCs w:val="21"/>
                    </w:rPr>
                  </w:pPr>
                </w:p>
              </w:tc>
              <w:tc>
                <w:tcPr>
                  <w:tcW w:w="2302" w:type="dxa"/>
                  <w:vMerge w:val="continue"/>
                  <w:tcBorders>
                    <w:tl2br w:val="nil"/>
                    <w:tr2bl w:val="nil"/>
                  </w:tcBorders>
                  <w:vAlign w:val="center"/>
                </w:tcPr>
                <w:p>
                  <w:pPr>
                    <w:spacing w:line="300" w:lineRule="exact"/>
                    <w:jc w:val="center"/>
                    <w:rPr>
                      <w:color w:val="auto"/>
                      <w:szCs w:val="21"/>
                    </w:rPr>
                  </w:pPr>
                </w:p>
              </w:tc>
              <w:tc>
                <w:tcPr>
                  <w:tcW w:w="1009" w:type="dxa"/>
                  <w:tcBorders>
                    <w:tl2br w:val="nil"/>
                    <w:tr2bl w:val="nil"/>
                  </w:tcBorders>
                  <w:vAlign w:val="center"/>
                </w:tcPr>
                <w:p>
                  <w:pPr>
                    <w:spacing w:line="300" w:lineRule="exact"/>
                    <w:jc w:val="center"/>
                    <w:rPr>
                      <w:color w:val="auto"/>
                      <w:szCs w:val="21"/>
                    </w:rPr>
                  </w:pPr>
                  <w:r>
                    <w:rPr>
                      <w:color w:val="auto"/>
                      <w:szCs w:val="21"/>
                    </w:rPr>
                    <w:t>线香型</w:t>
                  </w:r>
                </w:p>
              </w:tc>
              <w:tc>
                <w:tcPr>
                  <w:tcW w:w="3187" w:type="dxa"/>
                  <w:tcBorders>
                    <w:tl2br w:val="nil"/>
                    <w:tr2bl w:val="nil"/>
                  </w:tcBorders>
                  <w:vAlign w:val="center"/>
                </w:tcPr>
                <w:p>
                  <w:pPr>
                    <w:spacing w:line="300" w:lineRule="exact"/>
                    <w:jc w:val="center"/>
                    <w:rPr>
                      <w:color w:val="auto"/>
                      <w:szCs w:val="21"/>
                    </w:rPr>
                  </w:pPr>
                  <w:r>
                    <w:rPr>
                      <w:color w:val="auto"/>
                      <w:szCs w:val="21"/>
                    </w:rPr>
                    <w:t>将烟火药涂敷在金属丝、木杆、竹竿、纸条上，或将烟火药包裹在能形成线状可燃的载体内，燃烧时产生声、光、色、形效果的产品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tcBorders>
                    <w:tl2br w:val="nil"/>
                    <w:tr2bl w:val="nil"/>
                  </w:tcBorders>
                  <w:vAlign w:val="center"/>
                </w:tcPr>
                <w:p>
                  <w:pPr>
                    <w:spacing w:line="300" w:lineRule="exact"/>
                    <w:jc w:val="center"/>
                    <w:rPr>
                      <w:color w:val="auto"/>
                      <w:szCs w:val="21"/>
                    </w:rPr>
                  </w:pPr>
                  <w:r>
                    <w:rPr>
                      <w:color w:val="auto"/>
                      <w:szCs w:val="21"/>
                    </w:rPr>
                    <w:t>7</w:t>
                  </w:r>
                </w:p>
              </w:tc>
              <w:tc>
                <w:tcPr>
                  <w:tcW w:w="725" w:type="dxa"/>
                  <w:vMerge w:val="restart"/>
                  <w:tcBorders>
                    <w:tl2br w:val="nil"/>
                    <w:tr2bl w:val="nil"/>
                  </w:tcBorders>
                  <w:vAlign w:val="center"/>
                </w:tcPr>
                <w:p>
                  <w:pPr>
                    <w:spacing w:line="300" w:lineRule="exact"/>
                    <w:jc w:val="center"/>
                    <w:rPr>
                      <w:color w:val="auto"/>
                      <w:szCs w:val="21"/>
                    </w:rPr>
                  </w:pPr>
                  <w:r>
                    <w:rPr>
                      <w:color w:val="auto"/>
                      <w:szCs w:val="21"/>
                    </w:rPr>
                    <w:t>礼花类</w:t>
                  </w:r>
                </w:p>
              </w:tc>
              <w:tc>
                <w:tcPr>
                  <w:tcW w:w="2302" w:type="dxa"/>
                  <w:vMerge w:val="restart"/>
                  <w:tcBorders>
                    <w:tl2br w:val="nil"/>
                    <w:tr2bl w:val="nil"/>
                  </w:tcBorders>
                  <w:vAlign w:val="center"/>
                </w:tcPr>
                <w:p>
                  <w:pPr>
                    <w:spacing w:line="300" w:lineRule="exact"/>
                    <w:jc w:val="center"/>
                    <w:rPr>
                      <w:color w:val="auto"/>
                      <w:szCs w:val="21"/>
                    </w:rPr>
                  </w:pPr>
                  <w:r>
                    <w:rPr>
                      <w:color w:val="auto"/>
                      <w:szCs w:val="21"/>
                    </w:rPr>
                    <w:t>燃放时弹体、效果件从发射筒（单筒，含专用发射筒）发射到高空或水域后能爆发出各种光色、花型图案或其他效果的产品</w:t>
                  </w:r>
                </w:p>
              </w:tc>
              <w:tc>
                <w:tcPr>
                  <w:tcW w:w="1009" w:type="dxa"/>
                  <w:tcBorders>
                    <w:tl2br w:val="nil"/>
                    <w:tr2bl w:val="nil"/>
                  </w:tcBorders>
                  <w:vAlign w:val="center"/>
                </w:tcPr>
                <w:p>
                  <w:pPr>
                    <w:spacing w:line="300" w:lineRule="exact"/>
                    <w:jc w:val="center"/>
                    <w:rPr>
                      <w:color w:val="auto"/>
                      <w:szCs w:val="21"/>
                    </w:rPr>
                  </w:pPr>
                  <w:r>
                    <w:rPr>
                      <w:color w:val="auto"/>
                      <w:szCs w:val="21"/>
                    </w:rPr>
                    <w:t>小礼花</w:t>
                  </w:r>
                </w:p>
              </w:tc>
              <w:tc>
                <w:tcPr>
                  <w:tcW w:w="3187" w:type="dxa"/>
                  <w:tcBorders>
                    <w:tl2br w:val="nil"/>
                    <w:tr2bl w:val="nil"/>
                  </w:tcBorders>
                  <w:vAlign w:val="center"/>
                </w:tcPr>
                <w:p>
                  <w:pPr>
                    <w:spacing w:line="300" w:lineRule="exact"/>
                    <w:jc w:val="center"/>
                    <w:rPr>
                      <w:color w:val="auto"/>
                      <w:szCs w:val="21"/>
                    </w:rPr>
                  </w:pPr>
                  <w:r>
                    <w:rPr>
                      <w:color w:val="auto"/>
                      <w:szCs w:val="21"/>
                    </w:rPr>
                    <w:t>发射筒内径&lt;76mm，筒体内发射出单个或多个效果部件，在空中或水域产生各种花型、图案等效果。可分为裸药型、非裸药型；可发射单发、多发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tcBorders>
                    <w:tl2br w:val="nil"/>
                    <w:tr2bl w:val="nil"/>
                  </w:tcBorders>
                  <w:vAlign w:val="center"/>
                </w:tcPr>
                <w:p>
                  <w:pPr>
                    <w:spacing w:line="300" w:lineRule="exact"/>
                    <w:jc w:val="center"/>
                    <w:rPr>
                      <w:color w:val="auto"/>
                      <w:szCs w:val="21"/>
                    </w:rPr>
                  </w:pPr>
                </w:p>
              </w:tc>
              <w:tc>
                <w:tcPr>
                  <w:tcW w:w="725" w:type="dxa"/>
                  <w:vMerge w:val="continue"/>
                  <w:tcBorders>
                    <w:tl2br w:val="nil"/>
                    <w:tr2bl w:val="nil"/>
                  </w:tcBorders>
                  <w:vAlign w:val="center"/>
                </w:tcPr>
                <w:p>
                  <w:pPr>
                    <w:spacing w:line="300" w:lineRule="exact"/>
                    <w:jc w:val="center"/>
                    <w:rPr>
                      <w:color w:val="auto"/>
                      <w:szCs w:val="21"/>
                    </w:rPr>
                  </w:pPr>
                </w:p>
              </w:tc>
              <w:tc>
                <w:tcPr>
                  <w:tcW w:w="2302" w:type="dxa"/>
                  <w:vMerge w:val="continue"/>
                  <w:tcBorders>
                    <w:tl2br w:val="nil"/>
                    <w:tr2bl w:val="nil"/>
                  </w:tcBorders>
                  <w:vAlign w:val="center"/>
                </w:tcPr>
                <w:p>
                  <w:pPr>
                    <w:spacing w:line="300" w:lineRule="exact"/>
                    <w:jc w:val="center"/>
                    <w:rPr>
                      <w:color w:val="auto"/>
                      <w:szCs w:val="21"/>
                    </w:rPr>
                  </w:pPr>
                </w:p>
              </w:tc>
              <w:tc>
                <w:tcPr>
                  <w:tcW w:w="1009" w:type="dxa"/>
                  <w:tcBorders>
                    <w:tl2br w:val="nil"/>
                    <w:tr2bl w:val="nil"/>
                  </w:tcBorders>
                  <w:vAlign w:val="center"/>
                </w:tcPr>
                <w:p>
                  <w:pPr>
                    <w:spacing w:line="300" w:lineRule="exact"/>
                    <w:jc w:val="center"/>
                    <w:rPr>
                      <w:color w:val="auto"/>
                      <w:szCs w:val="21"/>
                    </w:rPr>
                  </w:pPr>
                  <w:r>
                    <w:rPr>
                      <w:color w:val="auto"/>
                      <w:szCs w:val="21"/>
                    </w:rPr>
                    <w:t>大礼花</w:t>
                  </w:r>
                </w:p>
              </w:tc>
              <w:tc>
                <w:tcPr>
                  <w:tcW w:w="3187" w:type="dxa"/>
                  <w:tcBorders>
                    <w:tl2br w:val="nil"/>
                    <w:tr2bl w:val="nil"/>
                  </w:tcBorders>
                  <w:vAlign w:val="center"/>
                </w:tcPr>
                <w:p>
                  <w:pPr>
                    <w:spacing w:line="300" w:lineRule="exact"/>
                    <w:jc w:val="center"/>
                    <w:rPr>
                      <w:color w:val="auto"/>
                      <w:szCs w:val="21"/>
                    </w:rPr>
                  </w:pPr>
                  <w:r>
                    <w:rPr>
                      <w:color w:val="auto"/>
                      <w:szCs w:val="21"/>
                    </w:rPr>
                    <w:t>弹体或效果件从专用发射筒（发射筒内径&gt;76mm）发射到空中或水域产生各种花形图案等效果。可分为药粒型（花束）、圆柱型、球型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l2br w:val="nil"/>
                    <w:tr2bl w:val="nil"/>
                  </w:tcBorders>
                  <w:vAlign w:val="center"/>
                </w:tcPr>
                <w:p>
                  <w:pPr>
                    <w:spacing w:line="300" w:lineRule="exact"/>
                    <w:jc w:val="center"/>
                    <w:rPr>
                      <w:color w:val="auto"/>
                      <w:szCs w:val="21"/>
                    </w:rPr>
                  </w:pPr>
                  <w:r>
                    <w:rPr>
                      <w:color w:val="auto"/>
                      <w:szCs w:val="21"/>
                    </w:rPr>
                    <w:t>8</w:t>
                  </w:r>
                </w:p>
              </w:tc>
              <w:tc>
                <w:tcPr>
                  <w:tcW w:w="725" w:type="dxa"/>
                  <w:tcBorders>
                    <w:tl2br w:val="nil"/>
                    <w:tr2bl w:val="nil"/>
                  </w:tcBorders>
                  <w:vAlign w:val="center"/>
                </w:tcPr>
                <w:p>
                  <w:pPr>
                    <w:spacing w:line="300" w:lineRule="exact"/>
                    <w:jc w:val="center"/>
                    <w:rPr>
                      <w:color w:val="auto"/>
                      <w:szCs w:val="21"/>
                    </w:rPr>
                  </w:pPr>
                  <w:r>
                    <w:rPr>
                      <w:color w:val="auto"/>
                      <w:szCs w:val="21"/>
                    </w:rPr>
                    <w:t>架子烟花类</w:t>
                  </w:r>
                </w:p>
              </w:tc>
              <w:tc>
                <w:tcPr>
                  <w:tcW w:w="2302" w:type="dxa"/>
                  <w:tcBorders>
                    <w:tl2br w:val="nil"/>
                    <w:tr2bl w:val="nil"/>
                  </w:tcBorders>
                  <w:vAlign w:val="center"/>
                </w:tcPr>
                <w:p>
                  <w:pPr>
                    <w:spacing w:line="300" w:lineRule="exact"/>
                    <w:jc w:val="center"/>
                    <w:rPr>
                      <w:color w:val="auto"/>
                      <w:szCs w:val="21"/>
                    </w:rPr>
                  </w:pPr>
                  <w:r>
                    <w:rPr>
                      <w:color w:val="auto"/>
                      <w:szCs w:val="21"/>
                    </w:rPr>
                    <w:t>以悬挂形式固定在架子装置上燃放的产品，燃放时可以喷射火苗、火花，形成字幕、图案、瀑布、人物、山水等画面。分为瀑布、字幕图案等</w:t>
                  </w:r>
                </w:p>
              </w:tc>
              <w:tc>
                <w:tcPr>
                  <w:tcW w:w="4196" w:type="dxa"/>
                  <w:gridSpan w:val="2"/>
                  <w:tcBorders>
                    <w:tl2br w:val="nil"/>
                    <w:tr2bl w:val="nil"/>
                  </w:tcBorders>
                  <w:vAlign w:val="center"/>
                </w:tcPr>
                <w:p>
                  <w:pPr>
                    <w:spacing w:line="300" w:lineRule="exact"/>
                    <w:jc w:val="center"/>
                    <w:rPr>
                      <w:color w:val="auto"/>
                      <w:szCs w:val="21"/>
                    </w:rPr>
                  </w:pPr>
                  <w:r>
                    <w:rPr>
                      <w:color w:val="auto"/>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tcBorders>
                    <w:tl2br w:val="nil"/>
                    <w:tr2bl w:val="nil"/>
                  </w:tcBorders>
                  <w:vAlign w:val="center"/>
                </w:tcPr>
                <w:p>
                  <w:pPr>
                    <w:spacing w:line="300" w:lineRule="exact"/>
                    <w:jc w:val="center"/>
                    <w:rPr>
                      <w:color w:val="auto"/>
                      <w:szCs w:val="21"/>
                    </w:rPr>
                  </w:pPr>
                  <w:r>
                    <w:rPr>
                      <w:color w:val="auto"/>
                      <w:szCs w:val="21"/>
                    </w:rPr>
                    <w:t>9</w:t>
                  </w:r>
                </w:p>
              </w:tc>
              <w:tc>
                <w:tcPr>
                  <w:tcW w:w="725" w:type="dxa"/>
                  <w:vMerge w:val="restart"/>
                  <w:tcBorders>
                    <w:tl2br w:val="nil"/>
                    <w:tr2bl w:val="nil"/>
                  </w:tcBorders>
                  <w:vAlign w:val="center"/>
                </w:tcPr>
                <w:p>
                  <w:pPr>
                    <w:spacing w:line="300" w:lineRule="exact"/>
                    <w:jc w:val="center"/>
                    <w:rPr>
                      <w:color w:val="auto"/>
                      <w:szCs w:val="21"/>
                    </w:rPr>
                  </w:pPr>
                  <w:r>
                    <w:rPr>
                      <w:color w:val="auto"/>
                      <w:szCs w:val="21"/>
                    </w:rPr>
                    <w:t>组合烟花类</w:t>
                  </w:r>
                </w:p>
              </w:tc>
              <w:tc>
                <w:tcPr>
                  <w:tcW w:w="2302" w:type="dxa"/>
                  <w:vMerge w:val="restart"/>
                  <w:tcBorders>
                    <w:tl2br w:val="nil"/>
                    <w:tr2bl w:val="nil"/>
                  </w:tcBorders>
                  <w:vAlign w:val="center"/>
                </w:tcPr>
                <w:p>
                  <w:pPr>
                    <w:spacing w:line="300" w:lineRule="exact"/>
                    <w:jc w:val="center"/>
                    <w:rPr>
                      <w:color w:val="auto"/>
                      <w:szCs w:val="21"/>
                    </w:rPr>
                  </w:pPr>
                  <w:r>
                    <w:rPr>
                      <w:color w:val="auto"/>
                      <w:szCs w:val="21"/>
                    </w:rPr>
                    <w:t>由两个或两个以上小礼花、喷花、吐珠同类或不同类烟花组合而成的产品</w:t>
                  </w:r>
                </w:p>
              </w:tc>
              <w:tc>
                <w:tcPr>
                  <w:tcW w:w="1009" w:type="dxa"/>
                  <w:tcBorders>
                    <w:tl2br w:val="nil"/>
                    <w:tr2bl w:val="nil"/>
                  </w:tcBorders>
                  <w:vAlign w:val="center"/>
                </w:tcPr>
                <w:p>
                  <w:pPr>
                    <w:spacing w:line="300" w:lineRule="exact"/>
                    <w:jc w:val="center"/>
                    <w:rPr>
                      <w:color w:val="auto"/>
                      <w:szCs w:val="21"/>
                    </w:rPr>
                  </w:pPr>
                  <w:r>
                    <w:rPr>
                      <w:color w:val="auto"/>
                      <w:szCs w:val="21"/>
                    </w:rPr>
                    <w:t>同类组合</w:t>
                  </w:r>
                </w:p>
              </w:tc>
              <w:tc>
                <w:tcPr>
                  <w:tcW w:w="3187" w:type="dxa"/>
                  <w:tcBorders>
                    <w:tl2br w:val="nil"/>
                    <w:tr2bl w:val="nil"/>
                  </w:tcBorders>
                  <w:vAlign w:val="center"/>
                </w:tcPr>
                <w:p>
                  <w:pPr>
                    <w:spacing w:line="300" w:lineRule="exact"/>
                    <w:jc w:val="center"/>
                    <w:rPr>
                      <w:color w:val="auto"/>
                      <w:szCs w:val="21"/>
                    </w:rPr>
                  </w:pPr>
                  <w:r>
                    <w:rPr>
                      <w:color w:val="auto"/>
                      <w:szCs w:val="21"/>
                    </w:rPr>
                    <w:t>限由小礼花、喷花、吐珠同类组合，</w:t>
                  </w:r>
                </w:p>
                <w:p>
                  <w:pPr>
                    <w:spacing w:line="300" w:lineRule="exact"/>
                    <w:jc w:val="center"/>
                    <w:rPr>
                      <w:color w:val="auto"/>
                      <w:szCs w:val="21"/>
                    </w:rPr>
                  </w:pPr>
                  <w:r>
                    <w:rPr>
                      <w:color w:val="auto"/>
                      <w:szCs w:val="21"/>
                    </w:rPr>
                    <w:t>小礼花组合包括药粒（花束）型、药柱型、圆柱型、球型以及助推型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tcBorders>
                    <w:tl2br w:val="nil"/>
                    <w:tr2bl w:val="nil"/>
                  </w:tcBorders>
                  <w:vAlign w:val="center"/>
                </w:tcPr>
                <w:p>
                  <w:pPr>
                    <w:spacing w:line="300" w:lineRule="exact"/>
                    <w:jc w:val="center"/>
                    <w:rPr>
                      <w:color w:val="auto"/>
                      <w:szCs w:val="21"/>
                    </w:rPr>
                  </w:pPr>
                </w:p>
              </w:tc>
              <w:tc>
                <w:tcPr>
                  <w:tcW w:w="725" w:type="dxa"/>
                  <w:vMerge w:val="continue"/>
                  <w:tcBorders>
                    <w:tl2br w:val="nil"/>
                    <w:tr2bl w:val="nil"/>
                  </w:tcBorders>
                  <w:vAlign w:val="center"/>
                </w:tcPr>
                <w:p>
                  <w:pPr>
                    <w:spacing w:line="300" w:lineRule="exact"/>
                    <w:jc w:val="center"/>
                    <w:rPr>
                      <w:color w:val="auto"/>
                      <w:szCs w:val="21"/>
                    </w:rPr>
                  </w:pPr>
                </w:p>
              </w:tc>
              <w:tc>
                <w:tcPr>
                  <w:tcW w:w="2302" w:type="dxa"/>
                  <w:vMerge w:val="continue"/>
                  <w:tcBorders>
                    <w:tl2br w:val="nil"/>
                    <w:tr2bl w:val="nil"/>
                  </w:tcBorders>
                  <w:vAlign w:val="center"/>
                </w:tcPr>
                <w:p>
                  <w:pPr>
                    <w:spacing w:line="300" w:lineRule="exact"/>
                    <w:jc w:val="center"/>
                    <w:rPr>
                      <w:color w:val="auto"/>
                      <w:szCs w:val="21"/>
                    </w:rPr>
                  </w:pPr>
                </w:p>
              </w:tc>
              <w:tc>
                <w:tcPr>
                  <w:tcW w:w="1009" w:type="dxa"/>
                  <w:tcBorders>
                    <w:tl2br w:val="nil"/>
                    <w:tr2bl w:val="nil"/>
                  </w:tcBorders>
                  <w:vAlign w:val="center"/>
                </w:tcPr>
                <w:p>
                  <w:pPr>
                    <w:spacing w:line="300" w:lineRule="exact"/>
                    <w:jc w:val="center"/>
                    <w:rPr>
                      <w:color w:val="auto"/>
                      <w:szCs w:val="21"/>
                    </w:rPr>
                  </w:pPr>
                  <w:r>
                    <w:rPr>
                      <w:color w:val="auto"/>
                      <w:szCs w:val="21"/>
                    </w:rPr>
                    <w:t>不同类组合</w:t>
                  </w:r>
                </w:p>
              </w:tc>
              <w:tc>
                <w:tcPr>
                  <w:tcW w:w="3187" w:type="dxa"/>
                  <w:tcBorders>
                    <w:tl2br w:val="nil"/>
                    <w:tr2bl w:val="nil"/>
                  </w:tcBorders>
                  <w:vAlign w:val="center"/>
                </w:tcPr>
                <w:p>
                  <w:pPr>
                    <w:spacing w:line="300" w:lineRule="exact"/>
                    <w:jc w:val="center"/>
                    <w:rPr>
                      <w:color w:val="auto"/>
                      <w:szCs w:val="21"/>
                    </w:rPr>
                  </w:pPr>
                  <w:r>
                    <w:rPr>
                      <w:color w:val="auto"/>
                      <w:szCs w:val="21"/>
                    </w:rPr>
                    <w:t>仅限由喷花、吐珠、小礼花中两种组合</w:t>
                  </w:r>
                </w:p>
              </w:tc>
            </w:tr>
          </w:tbl>
          <w:p>
            <w:pPr>
              <w:spacing w:line="520" w:lineRule="exact"/>
              <w:ind w:firstLine="480" w:firstLineChars="200"/>
              <w:rPr>
                <w:color w:val="auto"/>
                <w:sz w:val="24"/>
              </w:rPr>
            </w:pPr>
            <w:r>
              <w:rPr>
                <w:color w:val="auto"/>
                <w:sz w:val="24"/>
              </w:rPr>
              <w:t>根据《烟花爆竹 安全与质量》（GB10631-2013），个人燃放类烟花爆竹产品含药量规定见表2-3。</w:t>
            </w:r>
          </w:p>
          <w:p>
            <w:pPr>
              <w:pStyle w:val="52"/>
              <w:rPr>
                <w:color w:val="auto"/>
              </w:rPr>
            </w:pPr>
            <w:r>
              <w:rPr>
                <w:color w:val="auto"/>
              </w:rPr>
              <w:t>表2-3  个人燃放类产品最大允许含药量一览表</w:t>
            </w:r>
          </w:p>
          <w:tbl>
            <w:tblPr>
              <w:tblStyle w:val="27"/>
              <w:tblW w:w="49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979"/>
              <w:gridCol w:w="2729"/>
              <w:gridCol w:w="2318"/>
              <w:gridCol w:w="131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709" w:type="dxa"/>
                  <w:vMerge w:val="restart"/>
                  <w:tcBorders>
                    <w:tl2br w:val="nil"/>
                    <w:tr2bl w:val="nil"/>
                  </w:tcBorders>
                  <w:vAlign w:val="center"/>
                </w:tcPr>
                <w:p>
                  <w:pPr>
                    <w:spacing w:line="300" w:lineRule="exact"/>
                    <w:jc w:val="center"/>
                    <w:rPr>
                      <w:color w:val="auto"/>
                      <w:szCs w:val="21"/>
                    </w:rPr>
                  </w:pPr>
                  <w:r>
                    <w:rPr>
                      <w:color w:val="auto"/>
                      <w:szCs w:val="21"/>
                    </w:rPr>
                    <w:t>序号</w:t>
                  </w:r>
                </w:p>
              </w:tc>
              <w:tc>
                <w:tcPr>
                  <w:tcW w:w="3990" w:type="dxa"/>
                  <w:gridSpan w:val="2"/>
                  <w:vMerge w:val="restart"/>
                  <w:tcBorders>
                    <w:tl2br w:val="nil"/>
                    <w:tr2bl w:val="nil"/>
                  </w:tcBorders>
                  <w:vAlign w:val="center"/>
                </w:tcPr>
                <w:p>
                  <w:pPr>
                    <w:spacing w:line="300" w:lineRule="exact"/>
                    <w:jc w:val="center"/>
                    <w:rPr>
                      <w:color w:val="auto"/>
                      <w:szCs w:val="21"/>
                    </w:rPr>
                  </w:pPr>
                  <w:r>
                    <w:rPr>
                      <w:color w:val="auto"/>
                      <w:szCs w:val="21"/>
                    </w:rPr>
                    <w:t>产品名称</w:t>
                  </w:r>
                </w:p>
              </w:tc>
              <w:tc>
                <w:tcPr>
                  <w:tcW w:w="3925" w:type="dxa"/>
                  <w:gridSpan w:val="2"/>
                  <w:tcBorders>
                    <w:tl2br w:val="nil"/>
                    <w:tr2bl w:val="nil"/>
                  </w:tcBorders>
                  <w:vAlign w:val="center"/>
                </w:tcPr>
                <w:p>
                  <w:pPr>
                    <w:spacing w:line="300" w:lineRule="exact"/>
                    <w:jc w:val="center"/>
                    <w:rPr>
                      <w:color w:val="auto"/>
                      <w:szCs w:val="21"/>
                    </w:rPr>
                  </w:pPr>
                  <w:r>
                    <w:rPr>
                      <w:color w:val="auto"/>
                      <w:szCs w:val="21"/>
                    </w:rPr>
                    <w:t>最大允许药量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709" w:type="dxa"/>
                  <w:vMerge w:val="continue"/>
                  <w:tcBorders>
                    <w:tl2br w:val="nil"/>
                    <w:tr2bl w:val="nil"/>
                  </w:tcBorders>
                  <w:vAlign w:val="center"/>
                </w:tcPr>
                <w:p>
                  <w:pPr>
                    <w:spacing w:line="300" w:lineRule="exact"/>
                    <w:jc w:val="center"/>
                    <w:rPr>
                      <w:color w:val="auto"/>
                      <w:szCs w:val="21"/>
                    </w:rPr>
                  </w:pPr>
                </w:p>
              </w:tc>
              <w:tc>
                <w:tcPr>
                  <w:tcW w:w="3990" w:type="dxa"/>
                  <w:gridSpan w:val="2"/>
                  <w:vMerge w:val="continue"/>
                  <w:tcBorders>
                    <w:tl2br w:val="nil"/>
                    <w:tr2bl w:val="nil"/>
                  </w:tcBorders>
                  <w:vAlign w:val="center"/>
                </w:tcPr>
                <w:p>
                  <w:pPr>
                    <w:spacing w:line="300" w:lineRule="exact"/>
                    <w:jc w:val="center"/>
                    <w:rPr>
                      <w:color w:val="auto"/>
                      <w:szCs w:val="21"/>
                    </w:rPr>
                  </w:pPr>
                </w:p>
              </w:tc>
              <w:tc>
                <w:tcPr>
                  <w:tcW w:w="2520" w:type="dxa"/>
                  <w:tcBorders>
                    <w:tl2br w:val="nil"/>
                    <w:tr2bl w:val="nil"/>
                  </w:tcBorders>
                  <w:vAlign w:val="center"/>
                </w:tcPr>
                <w:p>
                  <w:pPr>
                    <w:spacing w:line="300" w:lineRule="exact"/>
                    <w:jc w:val="center"/>
                    <w:rPr>
                      <w:color w:val="auto"/>
                      <w:szCs w:val="21"/>
                    </w:rPr>
                  </w:pPr>
                  <w:r>
                    <w:rPr>
                      <w:color w:val="auto"/>
                      <w:szCs w:val="21"/>
                    </w:rPr>
                    <w:t>C级</w:t>
                  </w:r>
                </w:p>
              </w:tc>
              <w:tc>
                <w:tcPr>
                  <w:tcW w:w="1405" w:type="dxa"/>
                  <w:tcBorders>
                    <w:tl2br w:val="nil"/>
                    <w:tr2bl w:val="nil"/>
                  </w:tcBorders>
                  <w:vAlign w:val="center"/>
                </w:tcPr>
                <w:p>
                  <w:pPr>
                    <w:spacing w:line="300" w:lineRule="exact"/>
                    <w:jc w:val="center"/>
                    <w:rPr>
                      <w:color w:val="auto"/>
                      <w:szCs w:val="21"/>
                    </w:rPr>
                  </w:pPr>
                  <w:r>
                    <w:rPr>
                      <w:color w:val="auto"/>
                      <w:szCs w:val="21"/>
                    </w:rPr>
                    <w:t>D级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tcBorders>
                    <w:tl2br w:val="nil"/>
                    <w:tr2bl w:val="nil"/>
                  </w:tcBorders>
                  <w:vAlign w:val="center"/>
                </w:tcPr>
                <w:p>
                  <w:pPr>
                    <w:spacing w:line="300" w:lineRule="exact"/>
                    <w:jc w:val="center"/>
                    <w:rPr>
                      <w:color w:val="auto"/>
                      <w:szCs w:val="21"/>
                    </w:rPr>
                  </w:pPr>
                  <w:r>
                    <w:rPr>
                      <w:color w:val="auto"/>
                      <w:szCs w:val="21"/>
                    </w:rPr>
                    <w:t>1</w:t>
                  </w:r>
                </w:p>
              </w:tc>
              <w:tc>
                <w:tcPr>
                  <w:tcW w:w="1050" w:type="dxa"/>
                  <w:vMerge w:val="restart"/>
                  <w:tcBorders>
                    <w:tl2br w:val="nil"/>
                    <w:tr2bl w:val="nil"/>
                  </w:tcBorders>
                  <w:vAlign w:val="center"/>
                </w:tcPr>
                <w:p>
                  <w:pPr>
                    <w:spacing w:line="300" w:lineRule="exact"/>
                    <w:jc w:val="center"/>
                    <w:rPr>
                      <w:color w:val="auto"/>
                      <w:szCs w:val="21"/>
                    </w:rPr>
                  </w:pPr>
                  <w:r>
                    <w:rPr>
                      <w:color w:val="auto"/>
                      <w:szCs w:val="21"/>
                    </w:rPr>
                    <w:t>爆竹类</w:t>
                  </w:r>
                </w:p>
              </w:tc>
              <w:tc>
                <w:tcPr>
                  <w:tcW w:w="2940" w:type="dxa"/>
                  <w:tcBorders>
                    <w:tl2br w:val="nil"/>
                    <w:tr2bl w:val="nil"/>
                  </w:tcBorders>
                  <w:vAlign w:val="center"/>
                </w:tcPr>
                <w:p>
                  <w:pPr>
                    <w:spacing w:line="300" w:lineRule="exact"/>
                    <w:jc w:val="center"/>
                    <w:rPr>
                      <w:color w:val="auto"/>
                      <w:szCs w:val="21"/>
                    </w:rPr>
                  </w:pPr>
                  <w:r>
                    <w:rPr>
                      <w:color w:val="auto"/>
                      <w:szCs w:val="21"/>
                    </w:rPr>
                    <w:t>黑火药</w:t>
                  </w:r>
                </w:p>
              </w:tc>
              <w:tc>
                <w:tcPr>
                  <w:tcW w:w="2520" w:type="dxa"/>
                  <w:tcBorders>
                    <w:tl2br w:val="nil"/>
                    <w:tr2bl w:val="nil"/>
                  </w:tcBorders>
                  <w:vAlign w:val="center"/>
                </w:tcPr>
                <w:p>
                  <w:pPr>
                    <w:spacing w:line="300" w:lineRule="exact"/>
                    <w:jc w:val="center"/>
                    <w:rPr>
                      <w:color w:val="auto"/>
                      <w:szCs w:val="21"/>
                    </w:rPr>
                  </w:pPr>
                  <w:r>
                    <w:rPr>
                      <w:color w:val="auto"/>
                      <w:szCs w:val="21"/>
                    </w:rPr>
                    <w:t>1g/个</w:t>
                  </w:r>
                </w:p>
              </w:tc>
              <w:tc>
                <w:tcPr>
                  <w:tcW w:w="1405" w:type="dxa"/>
                  <w:vMerge w:val="restart"/>
                  <w:tcBorders>
                    <w:tl2br w:val="nil"/>
                    <w:tr2bl w:val="nil"/>
                  </w:tcBorders>
                  <w:vAlign w:val="center"/>
                </w:tcPr>
                <w:p>
                  <w:pPr>
                    <w:spacing w:line="300" w:lineRule="exact"/>
                    <w:jc w:val="center"/>
                    <w:rPr>
                      <w:color w:val="auto"/>
                      <w:szCs w:val="21"/>
                    </w:rPr>
                  </w:pPr>
                  <w:r>
                    <w:rPr>
                      <w:color w:val="auto"/>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tl2br w:val="nil"/>
                    <w:tr2bl w:val="nil"/>
                  </w:tcBorders>
                  <w:vAlign w:val="center"/>
                </w:tcPr>
                <w:p>
                  <w:pPr>
                    <w:spacing w:line="300" w:lineRule="exact"/>
                    <w:jc w:val="center"/>
                    <w:rPr>
                      <w:color w:val="auto"/>
                      <w:szCs w:val="21"/>
                    </w:rPr>
                  </w:pPr>
                </w:p>
              </w:tc>
              <w:tc>
                <w:tcPr>
                  <w:tcW w:w="1050" w:type="dxa"/>
                  <w:vMerge w:val="continue"/>
                  <w:tcBorders>
                    <w:tl2br w:val="nil"/>
                    <w:tr2bl w:val="nil"/>
                  </w:tcBorders>
                  <w:vAlign w:val="center"/>
                </w:tcPr>
                <w:p>
                  <w:pPr>
                    <w:spacing w:line="300" w:lineRule="exact"/>
                    <w:jc w:val="center"/>
                    <w:rPr>
                      <w:color w:val="auto"/>
                      <w:szCs w:val="21"/>
                    </w:rPr>
                  </w:pPr>
                </w:p>
              </w:tc>
              <w:tc>
                <w:tcPr>
                  <w:tcW w:w="2940" w:type="dxa"/>
                  <w:tcBorders>
                    <w:tl2br w:val="nil"/>
                    <w:tr2bl w:val="nil"/>
                  </w:tcBorders>
                  <w:vAlign w:val="center"/>
                </w:tcPr>
                <w:p>
                  <w:pPr>
                    <w:spacing w:line="300" w:lineRule="exact"/>
                    <w:jc w:val="center"/>
                    <w:rPr>
                      <w:color w:val="auto"/>
                      <w:szCs w:val="21"/>
                    </w:rPr>
                  </w:pPr>
                  <w:r>
                    <w:rPr>
                      <w:color w:val="auto"/>
                      <w:szCs w:val="21"/>
                    </w:rPr>
                    <w:t>白火药</w:t>
                  </w:r>
                </w:p>
              </w:tc>
              <w:tc>
                <w:tcPr>
                  <w:tcW w:w="2520" w:type="dxa"/>
                  <w:tcBorders>
                    <w:tl2br w:val="nil"/>
                    <w:tr2bl w:val="nil"/>
                  </w:tcBorders>
                  <w:vAlign w:val="center"/>
                </w:tcPr>
                <w:p>
                  <w:pPr>
                    <w:spacing w:line="300" w:lineRule="exact"/>
                    <w:jc w:val="center"/>
                    <w:rPr>
                      <w:color w:val="auto"/>
                      <w:szCs w:val="21"/>
                    </w:rPr>
                  </w:pPr>
                  <w:r>
                    <w:rPr>
                      <w:color w:val="auto"/>
                      <w:szCs w:val="21"/>
                    </w:rPr>
                    <w:t>0.2g/个</w:t>
                  </w:r>
                </w:p>
              </w:tc>
              <w:tc>
                <w:tcPr>
                  <w:tcW w:w="1405" w:type="dxa"/>
                  <w:vMerge w:val="continue"/>
                  <w:tcBorders>
                    <w:tl2br w:val="nil"/>
                    <w:tr2bl w:val="nil"/>
                  </w:tcBorders>
                  <w:vAlign w:val="center"/>
                </w:tcPr>
                <w:p>
                  <w:pPr>
                    <w:spacing w:line="300" w:lineRule="exact"/>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tcBorders>
                    <w:tl2br w:val="nil"/>
                    <w:tr2bl w:val="nil"/>
                  </w:tcBorders>
                  <w:vAlign w:val="center"/>
                </w:tcPr>
                <w:p>
                  <w:pPr>
                    <w:spacing w:line="300" w:lineRule="exact"/>
                    <w:jc w:val="center"/>
                    <w:rPr>
                      <w:color w:val="auto"/>
                      <w:szCs w:val="21"/>
                    </w:rPr>
                  </w:pPr>
                  <w:r>
                    <w:rPr>
                      <w:color w:val="auto"/>
                      <w:szCs w:val="21"/>
                    </w:rPr>
                    <w:t>2</w:t>
                  </w:r>
                </w:p>
              </w:tc>
              <w:tc>
                <w:tcPr>
                  <w:tcW w:w="1050" w:type="dxa"/>
                  <w:vMerge w:val="restart"/>
                  <w:tcBorders>
                    <w:tl2br w:val="nil"/>
                    <w:tr2bl w:val="nil"/>
                  </w:tcBorders>
                  <w:vAlign w:val="center"/>
                </w:tcPr>
                <w:p>
                  <w:pPr>
                    <w:spacing w:line="300" w:lineRule="exact"/>
                    <w:jc w:val="center"/>
                    <w:rPr>
                      <w:color w:val="auto"/>
                      <w:szCs w:val="21"/>
                    </w:rPr>
                  </w:pPr>
                  <w:r>
                    <w:rPr>
                      <w:color w:val="auto"/>
                      <w:szCs w:val="21"/>
                    </w:rPr>
                    <w:t>喷花类</w:t>
                  </w:r>
                </w:p>
              </w:tc>
              <w:tc>
                <w:tcPr>
                  <w:tcW w:w="2940" w:type="dxa"/>
                  <w:tcBorders>
                    <w:tl2br w:val="nil"/>
                    <w:tr2bl w:val="nil"/>
                  </w:tcBorders>
                  <w:vAlign w:val="center"/>
                </w:tcPr>
                <w:p>
                  <w:pPr>
                    <w:spacing w:line="300" w:lineRule="exact"/>
                    <w:jc w:val="center"/>
                    <w:rPr>
                      <w:color w:val="auto"/>
                      <w:szCs w:val="21"/>
                    </w:rPr>
                  </w:pPr>
                  <w:r>
                    <w:rPr>
                      <w:color w:val="auto"/>
                      <w:szCs w:val="21"/>
                    </w:rPr>
                    <w:t>地面（水上）喷花</w:t>
                  </w:r>
                </w:p>
              </w:tc>
              <w:tc>
                <w:tcPr>
                  <w:tcW w:w="2520" w:type="dxa"/>
                  <w:tcBorders>
                    <w:tl2br w:val="nil"/>
                    <w:tr2bl w:val="nil"/>
                  </w:tcBorders>
                  <w:vAlign w:val="center"/>
                </w:tcPr>
                <w:p>
                  <w:pPr>
                    <w:spacing w:line="300" w:lineRule="exact"/>
                    <w:jc w:val="center"/>
                    <w:rPr>
                      <w:color w:val="auto"/>
                      <w:szCs w:val="21"/>
                    </w:rPr>
                  </w:pPr>
                  <w:r>
                    <w:rPr>
                      <w:color w:val="auto"/>
                      <w:szCs w:val="21"/>
                    </w:rPr>
                    <w:t>200g</w:t>
                  </w:r>
                </w:p>
              </w:tc>
              <w:tc>
                <w:tcPr>
                  <w:tcW w:w="1405" w:type="dxa"/>
                  <w:tcBorders>
                    <w:tl2br w:val="nil"/>
                    <w:tr2bl w:val="nil"/>
                  </w:tcBorders>
                  <w:vAlign w:val="center"/>
                </w:tcPr>
                <w:p>
                  <w:pPr>
                    <w:spacing w:line="300" w:lineRule="exact"/>
                    <w:jc w:val="center"/>
                    <w:rPr>
                      <w:color w:val="auto"/>
                      <w:szCs w:val="21"/>
                    </w:rPr>
                  </w:pPr>
                  <w:r>
                    <w:rPr>
                      <w:color w:val="auto"/>
                      <w:szCs w:val="21"/>
                    </w:rPr>
                    <w:t>10g</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tl2br w:val="nil"/>
                    <w:tr2bl w:val="nil"/>
                  </w:tcBorders>
                  <w:vAlign w:val="center"/>
                </w:tcPr>
                <w:p>
                  <w:pPr>
                    <w:spacing w:line="300" w:lineRule="exact"/>
                    <w:jc w:val="center"/>
                    <w:rPr>
                      <w:color w:val="auto"/>
                      <w:szCs w:val="21"/>
                    </w:rPr>
                  </w:pPr>
                </w:p>
              </w:tc>
              <w:tc>
                <w:tcPr>
                  <w:tcW w:w="1050" w:type="dxa"/>
                  <w:vMerge w:val="continue"/>
                  <w:tcBorders>
                    <w:tl2br w:val="nil"/>
                    <w:tr2bl w:val="nil"/>
                  </w:tcBorders>
                  <w:vAlign w:val="center"/>
                </w:tcPr>
                <w:p>
                  <w:pPr>
                    <w:spacing w:line="300" w:lineRule="exact"/>
                    <w:jc w:val="center"/>
                    <w:rPr>
                      <w:color w:val="auto"/>
                      <w:szCs w:val="21"/>
                    </w:rPr>
                  </w:pPr>
                </w:p>
              </w:tc>
              <w:tc>
                <w:tcPr>
                  <w:tcW w:w="2940" w:type="dxa"/>
                  <w:tcBorders>
                    <w:tl2br w:val="nil"/>
                    <w:tr2bl w:val="nil"/>
                  </w:tcBorders>
                  <w:vAlign w:val="center"/>
                </w:tcPr>
                <w:p>
                  <w:pPr>
                    <w:spacing w:line="300" w:lineRule="exact"/>
                    <w:jc w:val="center"/>
                    <w:rPr>
                      <w:color w:val="auto"/>
                      <w:szCs w:val="21"/>
                    </w:rPr>
                  </w:pPr>
                  <w:r>
                    <w:rPr>
                      <w:color w:val="auto"/>
                      <w:szCs w:val="21"/>
                    </w:rPr>
                    <w:t>手持（插入）喷花</w:t>
                  </w:r>
                </w:p>
              </w:tc>
              <w:tc>
                <w:tcPr>
                  <w:tcW w:w="2520" w:type="dxa"/>
                  <w:tcBorders>
                    <w:tl2br w:val="nil"/>
                    <w:tr2bl w:val="nil"/>
                  </w:tcBorders>
                  <w:vAlign w:val="center"/>
                </w:tcPr>
                <w:p>
                  <w:pPr>
                    <w:spacing w:line="300" w:lineRule="exact"/>
                    <w:jc w:val="center"/>
                    <w:rPr>
                      <w:color w:val="auto"/>
                      <w:szCs w:val="21"/>
                    </w:rPr>
                  </w:pPr>
                  <w:r>
                    <w:rPr>
                      <w:color w:val="auto"/>
                      <w:szCs w:val="21"/>
                    </w:rPr>
                    <w:t>75g</w:t>
                  </w:r>
                </w:p>
              </w:tc>
              <w:tc>
                <w:tcPr>
                  <w:tcW w:w="1405" w:type="dxa"/>
                  <w:tcBorders>
                    <w:tl2br w:val="nil"/>
                    <w:tr2bl w:val="nil"/>
                  </w:tcBorders>
                  <w:vAlign w:val="center"/>
                </w:tcPr>
                <w:p>
                  <w:pPr>
                    <w:spacing w:line="300" w:lineRule="exact"/>
                    <w:jc w:val="center"/>
                    <w:rPr>
                      <w:color w:val="auto"/>
                      <w:szCs w:val="21"/>
                    </w:rPr>
                  </w:pPr>
                  <w:r>
                    <w:rPr>
                      <w:color w:val="auto"/>
                      <w:szCs w:val="21"/>
                    </w:rPr>
                    <w:t>10g</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tcBorders>
                    <w:tl2br w:val="nil"/>
                    <w:tr2bl w:val="nil"/>
                  </w:tcBorders>
                  <w:vAlign w:val="center"/>
                </w:tcPr>
                <w:p>
                  <w:pPr>
                    <w:spacing w:line="300" w:lineRule="exact"/>
                    <w:jc w:val="center"/>
                    <w:rPr>
                      <w:color w:val="auto"/>
                      <w:szCs w:val="21"/>
                    </w:rPr>
                  </w:pPr>
                  <w:r>
                    <w:rPr>
                      <w:color w:val="auto"/>
                      <w:szCs w:val="21"/>
                    </w:rPr>
                    <w:t>3</w:t>
                  </w:r>
                </w:p>
              </w:tc>
              <w:tc>
                <w:tcPr>
                  <w:tcW w:w="1050" w:type="dxa"/>
                  <w:vMerge w:val="restart"/>
                  <w:tcBorders>
                    <w:tl2br w:val="nil"/>
                    <w:tr2bl w:val="nil"/>
                  </w:tcBorders>
                  <w:vAlign w:val="center"/>
                </w:tcPr>
                <w:p>
                  <w:pPr>
                    <w:spacing w:line="300" w:lineRule="exact"/>
                    <w:jc w:val="center"/>
                    <w:rPr>
                      <w:color w:val="auto"/>
                      <w:szCs w:val="21"/>
                    </w:rPr>
                  </w:pPr>
                  <w:r>
                    <w:rPr>
                      <w:color w:val="auto"/>
                      <w:szCs w:val="21"/>
                    </w:rPr>
                    <w:t>旋转类</w:t>
                  </w:r>
                </w:p>
              </w:tc>
              <w:tc>
                <w:tcPr>
                  <w:tcW w:w="2940" w:type="dxa"/>
                  <w:tcBorders>
                    <w:tl2br w:val="nil"/>
                    <w:tr2bl w:val="nil"/>
                  </w:tcBorders>
                  <w:vAlign w:val="center"/>
                </w:tcPr>
                <w:p>
                  <w:pPr>
                    <w:spacing w:line="300" w:lineRule="exact"/>
                    <w:jc w:val="center"/>
                    <w:rPr>
                      <w:color w:val="auto"/>
                      <w:szCs w:val="21"/>
                    </w:rPr>
                  </w:pPr>
                  <w:r>
                    <w:rPr>
                      <w:color w:val="auto"/>
                      <w:szCs w:val="21"/>
                    </w:rPr>
                    <w:t>有固定轴旋转喷花</w:t>
                  </w:r>
                </w:p>
              </w:tc>
              <w:tc>
                <w:tcPr>
                  <w:tcW w:w="2520" w:type="dxa"/>
                  <w:tcBorders>
                    <w:tl2br w:val="nil"/>
                    <w:tr2bl w:val="nil"/>
                  </w:tcBorders>
                  <w:vAlign w:val="center"/>
                </w:tcPr>
                <w:p>
                  <w:pPr>
                    <w:spacing w:line="300" w:lineRule="exact"/>
                    <w:jc w:val="center"/>
                    <w:rPr>
                      <w:color w:val="auto"/>
                      <w:szCs w:val="21"/>
                    </w:rPr>
                  </w:pPr>
                  <w:r>
                    <w:rPr>
                      <w:color w:val="auto"/>
                      <w:szCs w:val="21"/>
                    </w:rPr>
                    <w:t>30g</w:t>
                  </w:r>
                </w:p>
              </w:tc>
              <w:tc>
                <w:tcPr>
                  <w:tcW w:w="1405" w:type="dxa"/>
                  <w:tcBorders>
                    <w:tl2br w:val="nil"/>
                    <w:tr2bl w:val="nil"/>
                  </w:tcBorders>
                  <w:vAlign w:val="center"/>
                </w:tcPr>
                <w:p>
                  <w:pPr>
                    <w:spacing w:line="300" w:lineRule="exact"/>
                    <w:jc w:val="center"/>
                    <w:rPr>
                      <w:color w:val="auto"/>
                      <w:szCs w:val="21"/>
                    </w:rPr>
                  </w:pPr>
                  <w:r>
                    <w:rPr>
                      <w:color w:val="auto"/>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tl2br w:val="nil"/>
                    <w:tr2bl w:val="nil"/>
                  </w:tcBorders>
                  <w:vAlign w:val="center"/>
                </w:tcPr>
                <w:p>
                  <w:pPr>
                    <w:spacing w:line="300" w:lineRule="exact"/>
                    <w:jc w:val="center"/>
                    <w:rPr>
                      <w:color w:val="auto"/>
                      <w:szCs w:val="21"/>
                    </w:rPr>
                  </w:pPr>
                </w:p>
              </w:tc>
              <w:tc>
                <w:tcPr>
                  <w:tcW w:w="1050" w:type="dxa"/>
                  <w:vMerge w:val="continue"/>
                  <w:tcBorders>
                    <w:tl2br w:val="nil"/>
                    <w:tr2bl w:val="nil"/>
                  </w:tcBorders>
                  <w:vAlign w:val="center"/>
                </w:tcPr>
                <w:p>
                  <w:pPr>
                    <w:spacing w:line="300" w:lineRule="exact"/>
                    <w:jc w:val="center"/>
                    <w:rPr>
                      <w:color w:val="auto"/>
                      <w:szCs w:val="21"/>
                    </w:rPr>
                  </w:pPr>
                </w:p>
              </w:tc>
              <w:tc>
                <w:tcPr>
                  <w:tcW w:w="2940" w:type="dxa"/>
                  <w:tcBorders>
                    <w:tl2br w:val="nil"/>
                    <w:tr2bl w:val="nil"/>
                  </w:tcBorders>
                  <w:vAlign w:val="center"/>
                </w:tcPr>
                <w:p>
                  <w:pPr>
                    <w:spacing w:line="300" w:lineRule="exact"/>
                    <w:jc w:val="center"/>
                    <w:rPr>
                      <w:color w:val="auto"/>
                      <w:szCs w:val="21"/>
                    </w:rPr>
                  </w:pPr>
                  <w:r>
                    <w:rPr>
                      <w:color w:val="auto"/>
                      <w:szCs w:val="21"/>
                    </w:rPr>
                    <w:t>无固定轴旋转喷花</w:t>
                  </w:r>
                </w:p>
              </w:tc>
              <w:tc>
                <w:tcPr>
                  <w:tcW w:w="2520" w:type="dxa"/>
                  <w:tcBorders>
                    <w:tl2br w:val="nil"/>
                    <w:tr2bl w:val="nil"/>
                  </w:tcBorders>
                  <w:vAlign w:val="center"/>
                </w:tcPr>
                <w:p>
                  <w:pPr>
                    <w:spacing w:line="300" w:lineRule="exact"/>
                    <w:jc w:val="center"/>
                    <w:rPr>
                      <w:color w:val="auto"/>
                      <w:szCs w:val="21"/>
                    </w:rPr>
                  </w:pPr>
                  <w:r>
                    <w:rPr>
                      <w:color w:val="auto"/>
                      <w:szCs w:val="21"/>
                    </w:rPr>
                    <w:t>15g</w:t>
                  </w:r>
                </w:p>
              </w:tc>
              <w:tc>
                <w:tcPr>
                  <w:tcW w:w="1405" w:type="dxa"/>
                  <w:tcBorders>
                    <w:tl2br w:val="nil"/>
                    <w:tr2bl w:val="nil"/>
                  </w:tcBorders>
                  <w:vAlign w:val="center"/>
                </w:tcPr>
                <w:p>
                  <w:pPr>
                    <w:spacing w:line="300" w:lineRule="exact"/>
                    <w:jc w:val="center"/>
                    <w:rPr>
                      <w:color w:val="auto"/>
                      <w:szCs w:val="21"/>
                    </w:rPr>
                  </w:pPr>
                  <w:r>
                    <w:rPr>
                      <w:color w:val="auto"/>
                      <w:szCs w:val="21"/>
                    </w:rPr>
                    <w:t>1g</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tcBorders>
                    <w:tl2br w:val="nil"/>
                    <w:tr2bl w:val="nil"/>
                  </w:tcBorders>
                  <w:vAlign w:val="center"/>
                </w:tcPr>
                <w:p>
                  <w:pPr>
                    <w:spacing w:line="300" w:lineRule="exact"/>
                    <w:jc w:val="center"/>
                    <w:rPr>
                      <w:color w:val="auto"/>
                      <w:szCs w:val="21"/>
                    </w:rPr>
                  </w:pPr>
                  <w:r>
                    <w:rPr>
                      <w:color w:val="auto"/>
                      <w:szCs w:val="21"/>
                    </w:rPr>
                    <w:t>4</w:t>
                  </w:r>
                </w:p>
              </w:tc>
              <w:tc>
                <w:tcPr>
                  <w:tcW w:w="1050" w:type="dxa"/>
                  <w:vMerge w:val="restart"/>
                  <w:tcBorders>
                    <w:tl2br w:val="nil"/>
                    <w:tr2bl w:val="nil"/>
                  </w:tcBorders>
                  <w:vAlign w:val="center"/>
                </w:tcPr>
                <w:p>
                  <w:pPr>
                    <w:spacing w:line="300" w:lineRule="exact"/>
                    <w:jc w:val="center"/>
                    <w:rPr>
                      <w:color w:val="auto"/>
                      <w:szCs w:val="21"/>
                    </w:rPr>
                  </w:pPr>
                  <w:r>
                    <w:rPr>
                      <w:color w:val="auto"/>
                      <w:szCs w:val="21"/>
                    </w:rPr>
                    <w:t>升空类</w:t>
                  </w:r>
                </w:p>
              </w:tc>
              <w:tc>
                <w:tcPr>
                  <w:tcW w:w="2940" w:type="dxa"/>
                  <w:tcBorders>
                    <w:tl2br w:val="nil"/>
                    <w:tr2bl w:val="nil"/>
                  </w:tcBorders>
                  <w:vAlign w:val="center"/>
                </w:tcPr>
                <w:p>
                  <w:pPr>
                    <w:spacing w:line="300" w:lineRule="exact"/>
                    <w:jc w:val="center"/>
                    <w:rPr>
                      <w:color w:val="auto"/>
                      <w:szCs w:val="21"/>
                    </w:rPr>
                  </w:pPr>
                  <w:r>
                    <w:rPr>
                      <w:color w:val="auto"/>
                      <w:szCs w:val="21"/>
                    </w:rPr>
                    <w:t>火箭</w:t>
                  </w:r>
                </w:p>
              </w:tc>
              <w:tc>
                <w:tcPr>
                  <w:tcW w:w="2520" w:type="dxa"/>
                  <w:tcBorders>
                    <w:tl2br w:val="nil"/>
                    <w:tr2bl w:val="nil"/>
                  </w:tcBorders>
                  <w:vAlign w:val="center"/>
                </w:tcPr>
                <w:p>
                  <w:pPr>
                    <w:spacing w:line="300" w:lineRule="exact"/>
                    <w:jc w:val="center"/>
                    <w:rPr>
                      <w:color w:val="auto"/>
                      <w:szCs w:val="21"/>
                    </w:rPr>
                  </w:pPr>
                  <w:r>
                    <w:rPr>
                      <w:color w:val="auto"/>
                      <w:szCs w:val="21"/>
                    </w:rPr>
                    <w:t>10g</w:t>
                  </w:r>
                </w:p>
              </w:tc>
              <w:tc>
                <w:tcPr>
                  <w:tcW w:w="1405" w:type="dxa"/>
                  <w:vMerge w:val="restart"/>
                  <w:tcBorders>
                    <w:tl2br w:val="nil"/>
                    <w:tr2bl w:val="nil"/>
                  </w:tcBorders>
                  <w:vAlign w:val="center"/>
                </w:tcPr>
                <w:p>
                  <w:pPr>
                    <w:spacing w:line="300" w:lineRule="exact"/>
                    <w:jc w:val="center"/>
                    <w:rPr>
                      <w:color w:val="auto"/>
                      <w:szCs w:val="21"/>
                    </w:rPr>
                  </w:pPr>
                  <w:r>
                    <w:rPr>
                      <w:color w:val="auto"/>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tl2br w:val="nil"/>
                    <w:tr2bl w:val="nil"/>
                  </w:tcBorders>
                  <w:vAlign w:val="center"/>
                </w:tcPr>
                <w:p>
                  <w:pPr>
                    <w:spacing w:line="300" w:lineRule="exact"/>
                    <w:jc w:val="center"/>
                    <w:rPr>
                      <w:color w:val="auto"/>
                      <w:szCs w:val="21"/>
                    </w:rPr>
                  </w:pPr>
                </w:p>
              </w:tc>
              <w:tc>
                <w:tcPr>
                  <w:tcW w:w="1050" w:type="dxa"/>
                  <w:vMerge w:val="continue"/>
                  <w:tcBorders>
                    <w:tl2br w:val="nil"/>
                    <w:tr2bl w:val="nil"/>
                  </w:tcBorders>
                  <w:vAlign w:val="center"/>
                </w:tcPr>
                <w:p>
                  <w:pPr>
                    <w:spacing w:line="300" w:lineRule="exact"/>
                    <w:jc w:val="center"/>
                    <w:rPr>
                      <w:color w:val="auto"/>
                      <w:szCs w:val="21"/>
                    </w:rPr>
                  </w:pPr>
                </w:p>
              </w:tc>
              <w:tc>
                <w:tcPr>
                  <w:tcW w:w="2940" w:type="dxa"/>
                  <w:tcBorders>
                    <w:tl2br w:val="nil"/>
                    <w:tr2bl w:val="nil"/>
                  </w:tcBorders>
                  <w:vAlign w:val="center"/>
                </w:tcPr>
                <w:p>
                  <w:pPr>
                    <w:spacing w:line="300" w:lineRule="exact"/>
                    <w:jc w:val="center"/>
                    <w:rPr>
                      <w:color w:val="auto"/>
                      <w:szCs w:val="21"/>
                    </w:rPr>
                  </w:pPr>
                  <w:r>
                    <w:rPr>
                      <w:color w:val="auto"/>
                      <w:szCs w:val="21"/>
                    </w:rPr>
                    <w:t>双响</w:t>
                  </w:r>
                </w:p>
              </w:tc>
              <w:tc>
                <w:tcPr>
                  <w:tcW w:w="2520" w:type="dxa"/>
                  <w:tcBorders>
                    <w:tl2br w:val="nil"/>
                    <w:tr2bl w:val="nil"/>
                  </w:tcBorders>
                  <w:vAlign w:val="center"/>
                </w:tcPr>
                <w:p>
                  <w:pPr>
                    <w:spacing w:line="300" w:lineRule="exact"/>
                    <w:jc w:val="center"/>
                    <w:rPr>
                      <w:color w:val="auto"/>
                      <w:szCs w:val="21"/>
                    </w:rPr>
                  </w:pPr>
                  <w:r>
                    <w:rPr>
                      <w:color w:val="auto"/>
                      <w:szCs w:val="21"/>
                    </w:rPr>
                    <w:t>9g</w:t>
                  </w:r>
                </w:p>
              </w:tc>
              <w:tc>
                <w:tcPr>
                  <w:tcW w:w="1405" w:type="dxa"/>
                  <w:vMerge w:val="continue"/>
                  <w:tcBorders>
                    <w:tl2br w:val="nil"/>
                    <w:tr2bl w:val="nil"/>
                  </w:tcBorders>
                  <w:vAlign w:val="center"/>
                </w:tcPr>
                <w:p>
                  <w:pPr>
                    <w:spacing w:line="300" w:lineRule="exact"/>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tl2br w:val="nil"/>
                    <w:tr2bl w:val="nil"/>
                  </w:tcBorders>
                  <w:vAlign w:val="center"/>
                </w:tcPr>
                <w:p>
                  <w:pPr>
                    <w:spacing w:line="300" w:lineRule="exact"/>
                    <w:jc w:val="center"/>
                    <w:rPr>
                      <w:color w:val="auto"/>
                      <w:szCs w:val="21"/>
                    </w:rPr>
                  </w:pPr>
                </w:p>
              </w:tc>
              <w:tc>
                <w:tcPr>
                  <w:tcW w:w="1050" w:type="dxa"/>
                  <w:vMerge w:val="continue"/>
                  <w:tcBorders>
                    <w:tl2br w:val="nil"/>
                    <w:tr2bl w:val="nil"/>
                  </w:tcBorders>
                  <w:vAlign w:val="center"/>
                </w:tcPr>
                <w:p>
                  <w:pPr>
                    <w:spacing w:line="300" w:lineRule="exact"/>
                    <w:jc w:val="center"/>
                    <w:rPr>
                      <w:color w:val="auto"/>
                      <w:szCs w:val="21"/>
                    </w:rPr>
                  </w:pPr>
                </w:p>
              </w:tc>
              <w:tc>
                <w:tcPr>
                  <w:tcW w:w="2940" w:type="dxa"/>
                  <w:tcBorders>
                    <w:tl2br w:val="nil"/>
                    <w:tr2bl w:val="nil"/>
                  </w:tcBorders>
                  <w:vAlign w:val="center"/>
                </w:tcPr>
                <w:p>
                  <w:pPr>
                    <w:spacing w:line="300" w:lineRule="exact"/>
                    <w:jc w:val="center"/>
                    <w:rPr>
                      <w:color w:val="auto"/>
                      <w:szCs w:val="21"/>
                    </w:rPr>
                  </w:pPr>
                  <w:r>
                    <w:rPr>
                      <w:color w:val="auto"/>
                      <w:szCs w:val="21"/>
                    </w:rPr>
                    <w:t>旋转升空烟花</w:t>
                  </w:r>
                </w:p>
              </w:tc>
              <w:tc>
                <w:tcPr>
                  <w:tcW w:w="2520" w:type="dxa"/>
                  <w:tcBorders>
                    <w:tl2br w:val="nil"/>
                    <w:tr2bl w:val="nil"/>
                  </w:tcBorders>
                  <w:vAlign w:val="center"/>
                </w:tcPr>
                <w:p>
                  <w:pPr>
                    <w:spacing w:line="300" w:lineRule="exact"/>
                    <w:jc w:val="center"/>
                    <w:rPr>
                      <w:color w:val="auto"/>
                      <w:szCs w:val="21"/>
                    </w:rPr>
                  </w:pPr>
                  <w:r>
                    <w:rPr>
                      <w:color w:val="auto"/>
                      <w:szCs w:val="21"/>
                    </w:rPr>
                    <w:t>1g/发</w:t>
                  </w:r>
                </w:p>
              </w:tc>
              <w:tc>
                <w:tcPr>
                  <w:tcW w:w="1405" w:type="dxa"/>
                  <w:vMerge w:val="continue"/>
                  <w:tcBorders>
                    <w:tl2br w:val="nil"/>
                    <w:tr2bl w:val="nil"/>
                  </w:tcBorders>
                  <w:vAlign w:val="center"/>
                </w:tcPr>
                <w:p>
                  <w:pPr>
                    <w:spacing w:line="300" w:lineRule="exact"/>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l2br w:val="nil"/>
                    <w:tr2bl w:val="nil"/>
                  </w:tcBorders>
                  <w:vAlign w:val="center"/>
                </w:tcPr>
                <w:p>
                  <w:pPr>
                    <w:spacing w:line="300" w:lineRule="exact"/>
                    <w:jc w:val="center"/>
                    <w:rPr>
                      <w:color w:val="auto"/>
                      <w:szCs w:val="21"/>
                    </w:rPr>
                  </w:pPr>
                  <w:r>
                    <w:rPr>
                      <w:color w:val="auto"/>
                      <w:szCs w:val="21"/>
                    </w:rPr>
                    <w:t>5</w:t>
                  </w:r>
                </w:p>
              </w:tc>
              <w:tc>
                <w:tcPr>
                  <w:tcW w:w="1050" w:type="dxa"/>
                  <w:tcBorders>
                    <w:tl2br w:val="nil"/>
                    <w:tr2bl w:val="nil"/>
                  </w:tcBorders>
                  <w:vAlign w:val="center"/>
                </w:tcPr>
                <w:p>
                  <w:pPr>
                    <w:spacing w:line="300" w:lineRule="exact"/>
                    <w:jc w:val="center"/>
                    <w:rPr>
                      <w:color w:val="auto"/>
                      <w:szCs w:val="21"/>
                    </w:rPr>
                  </w:pPr>
                  <w:r>
                    <w:rPr>
                      <w:color w:val="auto"/>
                      <w:szCs w:val="21"/>
                    </w:rPr>
                    <w:t>吐珠类</w:t>
                  </w:r>
                </w:p>
              </w:tc>
              <w:tc>
                <w:tcPr>
                  <w:tcW w:w="2940" w:type="dxa"/>
                  <w:tcBorders>
                    <w:tl2br w:val="nil"/>
                    <w:tr2bl w:val="nil"/>
                  </w:tcBorders>
                  <w:vAlign w:val="center"/>
                </w:tcPr>
                <w:p>
                  <w:pPr>
                    <w:spacing w:line="300" w:lineRule="exact"/>
                    <w:jc w:val="center"/>
                    <w:rPr>
                      <w:color w:val="auto"/>
                      <w:szCs w:val="21"/>
                    </w:rPr>
                  </w:pPr>
                  <w:r>
                    <w:rPr>
                      <w:color w:val="auto"/>
                      <w:szCs w:val="21"/>
                    </w:rPr>
                    <w:t>药粒型</w:t>
                  </w:r>
                </w:p>
              </w:tc>
              <w:tc>
                <w:tcPr>
                  <w:tcW w:w="2520" w:type="dxa"/>
                  <w:tcBorders>
                    <w:tl2br w:val="nil"/>
                    <w:tr2bl w:val="nil"/>
                  </w:tcBorders>
                  <w:vAlign w:val="center"/>
                </w:tcPr>
                <w:p>
                  <w:pPr>
                    <w:spacing w:line="300" w:lineRule="exact"/>
                    <w:jc w:val="center"/>
                    <w:rPr>
                      <w:color w:val="auto"/>
                      <w:szCs w:val="21"/>
                    </w:rPr>
                  </w:pPr>
                  <w:r>
                    <w:rPr>
                      <w:color w:val="auto"/>
                      <w:szCs w:val="21"/>
                    </w:rPr>
                    <w:t>20g（2g/珠）</w:t>
                  </w:r>
                </w:p>
              </w:tc>
              <w:tc>
                <w:tcPr>
                  <w:tcW w:w="1405" w:type="dxa"/>
                  <w:tcBorders>
                    <w:tl2br w:val="nil"/>
                    <w:tr2bl w:val="nil"/>
                  </w:tcBorders>
                  <w:vAlign w:val="center"/>
                </w:tcPr>
                <w:p>
                  <w:pPr>
                    <w:spacing w:line="300" w:lineRule="exact"/>
                    <w:jc w:val="center"/>
                    <w:rPr>
                      <w:color w:val="auto"/>
                      <w:szCs w:val="21"/>
                    </w:rPr>
                  </w:pPr>
                  <w:r>
                    <w:rPr>
                      <w:color w:val="auto"/>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tcBorders>
                    <w:tl2br w:val="nil"/>
                    <w:tr2bl w:val="nil"/>
                  </w:tcBorders>
                  <w:vAlign w:val="center"/>
                </w:tcPr>
                <w:p>
                  <w:pPr>
                    <w:spacing w:line="300" w:lineRule="exact"/>
                    <w:jc w:val="center"/>
                    <w:rPr>
                      <w:color w:val="auto"/>
                      <w:szCs w:val="21"/>
                    </w:rPr>
                  </w:pPr>
                  <w:r>
                    <w:rPr>
                      <w:color w:val="auto"/>
                      <w:szCs w:val="21"/>
                    </w:rPr>
                    <w:t>6</w:t>
                  </w:r>
                </w:p>
              </w:tc>
              <w:tc>
                <w:tcPr>
                  <w:tcW w:w="1050" w:type="dxa"/>
                  <w:vMerge w:val="restart"/>
                  <w:tcBorders>
                    <w:tl2br w:val="nil"/>
                    <w:tr2bl w:val="nil"/>
                  </w:tcBorders>
                  <w:vAlign w:val="center"/>
                </w:tcPr>
                <w:p>
                  <w:pPr>
                    <w:spacing w:line="300" w:lineRule="exact"/>
                    <w:jc w:val="center"/>
                    <w:rPr>
                      <w:color w:val="auto"/>
                      <w:szCs w:val="21"/>
                    </w:rPr>
                  </w:pPr>
                  <w:r>
                    <w:rPr>
                      <w:color w:val="auto"/>
                      <w:szCs w:val="21"/>
                    </w:rPr>
                    <w:t>玩具类</w:t>
                  </w:r>
                </w:p>
              </w:tc>
              <w:tc>
                <w:tcPr>
                  <w:tcW w:w="2940" w:type="dxa"/>
                  <w:tcBorders>
                    <w:tl2br w:val="nil"/>
                    <w:tr2bl w:val="nil"/>
                  </w:tcBorders>
                  <w:vAlign w:val="center"/>
                </w:tcPr>
                <w:p>
                  <w:pPr>
                    <w:spacing w:line="300" w:lineRule="exact"/>
                    <w:jc w:val="center"/>
                    <w:rPr>
                      <w:color w:val="auto"/>
                      <w:szCs w:val="21"/>
                    </w:rPr>
                  </w:pPr>
                  <w:r>
                    <w:rPr>
                      <w:color w:val="auto"/>
                      <w:szCs w:val="21"/>
                    </w:rPr>
                    <w:t>玩具造型</w:t>
                  </w:r>
                </w:p>
              </w:tc>
              <w:tc>
                <w:tcPr>
                  <w:tcW w:w="2520" w:type="dxa"/>
                  <w:tcBorders>
                    <w:tl2br w:val="nil"/>
                    <w:tr2bl w:val="nil"/>
                  </w:tcBorders>
                  <w:vAlign w:val="center"/>
                </w:tcPr>
                <w:p>
                  <w:pPr>
                    <w:spacing w:line="300" w:lineRule="exact"/>
                    <w:jc w:val="center"/>
                    <w:rPr>
                      <w:color w:val="auto"/>
                      <w:szCs w:val="21"/>
                    </w:rPr>
                  </w:pPr>
                  <w:r>
                    <w:rPr>
                      <w:color w:val="auto"/>
                      <w:szCs w:val="21"/>
                    </w:rPr>
                    <w:t>15g</w:t>
                  </w:r>
                </w:p>
              </w:tc>
              <w:tc>
                <w:tcPr>
                  <w:tcW w:w="1405" w:type="dxa"/>
                  <w:tcBorders>
                    <w:tl2br w:val="nil"/>
                    <w:tr2bl w:val="nil"/>
                  </w:tcBorders>
                  <w:vAlign w:val="center"/>
                </w:tcPr>
                <w:p>
                  <w:pPr>
                    <w:spacing w:line="300" w:lineRule="exact"/>
                    <w:jc w:val="center"/>
                    <w:rPr>
                      <w:color w:val="auto"/>
                      <w:szCs w:val="21"/>
                    </w:rPr>
                  </w:pPr>
                  <w:r>
                    <w:rPr>
                      <w:color w:val="auto"/>
                      <w:szCs w:val="21"/>
                    </w:rPr>
                    <w:t>3g</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tl2br w:val="nil"/>
                    <w:tr2bl w:val="nil"/>
                  </w:tcBorders>
                  <w:vAlign w:val="center"/>
                </w:tcPr>
                <w:p>
                  <w:pPr>
                    <w:spacing w:line="300" w:lineRule="exact"/>
                    <w:jc w:val="center"/>
                    <w:rPr>
                      <w:color w:val="auto"/>
                      <w:szCs w:val="21"/>
                    </w:rPr>
                  </w:pPr>
                </w:p>
              </w:tc>
              <w:tc>
                <w:tcPr>
                  <w:tcW w:w="1050" w:type="dxa"/>
                  <w:vMerge w:val="continue"/>
                  <w:tcBorders>
                    <w:tl2br w:val="nil"/>
                    <w:tr2bl w:val="nil"/>
                  </w:tcBorders>
                  <w:vAlign w:val="center"/>
                </w:tcPr>
                <w:p>
                  <w:pPr>
                    <w:spacing w:line="300" w:lineRule="exact"/>
                    <w:jc w:val="center"/>
                    <w:rPr>
                      <w:color w:val="auto"/>
                      <w:szCs w:val="21"/>
                    </w:rPr>
                  </w:pPr>
                </w:p>
              </w:tc>
              <w:tc>
                <w:tcPr>
                  <w:tcW w:w="2940" w:type="dxa"/>
                  <w:tcBorders>
                    <w:tl2br w:val="nil"/>
                    <w:tr2bl w:val="nil"/>
                  </w:tcBorders>
                  <w:vAlign w:val="center"/>
                </w:tcPr>
                <w:p>
                  <w:pPr>
                    <w:spacing w:line="300" w:lineRule="exact"/>
                    <w:jc w:val="center"/>
                    <w:rPr>
                      <w:color w:val="auto"/>
                      <w:szCs w:val="21"/>
                    </w:rPr>
                  </w:pPr>
                  <w:r>
                    <w:rPr>
                      <w:color w:val="auto"/>
                      <w:szCs w:val="21"/>
                    </w:rPr>
                    <w:t>线香型</w:t>
                  </w:r>
                </w:p>
              </w:tc>
              <w:tc>
                <w:tcPr>
                  <w:tcW w:w="2520" w:type="dxa"/>
                  <w:tcBorders>
                    <w:tl2br w:val="nil"/>
                    <w:tr2bl w:val="nil"/>
                  </w:tcBorders>
                  <w:vAlign w:val="center"/>
                </w:tcPr>
                <w:p>
                  <w:pPr>
                    <w:spacing w:line="300" w:lineRule="exact"/>
                    <w:jc w:val="center"/>
                    <w:rPr>
                      <w:color w:val="auto"/>
                      <w:szCs w:val="21"/>
                    </w:rPr>
                  </w:pPr>
                  <w:r>
                    <w:rPr>
                      <w:color w:val="auto"/>
                      <w:szCs w:val="21"/>
                    </w:rPr>
                    <w:t>20g</w:t>
                  </w:r>
                </w:p>
              </w:tc>
              <w:tc>
                <w:tcPr>
                  <w:tcW w:w="1405" w:type="dxa"/>
                  <w:tcBorders>
                    <w:tl2br w:val="nil"/>
                    <w:tr2bl w:val="nil"/>
                  </w:tcBorders>
                  <w:vAlign w:val="center"/>
                </w:tcPr>
                <w:p>
                  <w:pPr>
                    <w:spacing w:line="300" w:lineRule="exact"/>
                    <w:jc w:val="center"/>
                    <w:rPr>
                      <w:color w:val="auto"/>
                      <w:szCs w:val="21"/>
                    </w:rPr>
                  </w:pPr>
                  <w:r>
                    <w:rPr>
                      <w:color w:val="auto"/>
                      <w:szCs w:val="21"/>
                    </w:rPr>
                    <w:t>5g</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l2br w:val="nil"/>
                    <w:tr2bl w:val="nil"/>
                  </w:tcBorders>
                  <w:vAlign w:val="center"/>
                </w:tcPr>
                <w:p>
                  <w:pPr>
                    <w:spacing w:line="300" w:lineRule="exact"/>
                    <w:jc w:val="center"/>
                    <w:rPr>
                      <w:color w:val="auto"/>
                      <w:szCs w:val="21"/>
                    </w:rPr>
                  </w:pPr>
                  <w:r>
                    <w:rPr>
                      <w:color w:val="auto"/>
                      <w:szCs w:val="21"/>
                    </w:rPr>
                    <w:t>7</w:t>
                  </w:r>
                </w:p>
              </w:tc>
              <w:tc>
                <w:tcPr>
                  <w:tcW w:w="1050" w:type="dxa"/>
                  <w:tcBorders>
                    <w:tl2br w:val="nil"/>
                    <w:tr2bl w:val="nil"/>
                  </w:tcBorders>
                  <w:vAlign w:val="center"/>
                </w:tcPr>
                <w:p>
                  <w:pPr>
                    <w:spacing w:line="300" w:lineRule="exact"/>
                    <w:jc w:val="center"/>
                    <w:rPr>
                      <w:color w:val="auto"/>
                      <w:szCs w:val="21"/>
                    </w:rPr>
                  </w:pPr>
                  <w:r>
                    <w:rPr>
                      <w:color w:val="auto"/>
                      <w:szCs w:val="21"/>
                    </w:rPr>
                    <w:t>组合类</w:t>
                  </w:r>
                </w:p>
              </w:tc>
              <w:tc>
                <w:tcPr>
                  <w:tcW w:w="2940" w:type="dxa"/>
                  <w:tcBorders>
                    <w:tl2br w:val="nil"/>
                    <w:tr2bl w:val="nil"/>
                  </w:tcBorders>
                  <w:vAlign w:val="center"/>
                </w:tcPr>
                <w:p>
                  <w:pPr>
                    <w:spacing w:line="300" w:lineRule="exact"/>
                    <w:jc w:val="center"/>
                    <w:rPr>
                      <w:color w:val="auto"/>
                      <w:szCs w:val="21"/>
                    </w:rPr>
                  </w:pPr>
                  <w:r>
                    <w:rPr>
                      <w:color w:val="auto"/>
                      <w:szCs w:val="21"/>
                    </w:rPr>
                    <w:t>同类组合和不同类组合，其中：小礼花单筒内径＜30mm；圆柱形喷花内径≤52mm；圆锥形喷花内径≤86mm；吐珠单筒内径＜20mm</w:t>
                  </w:r>
                </w:p>
              </w:tc>
              <w:tc>
                <w:tcPr>
                  <w:tcW w:w="2520" w:type="dxa"/>
                  <w:tcBorders>
                    <w:tl2br w:val="nil"/>
                    <w:tr2bl w:val="nil"/>
                  </w:tcBorders>
                  <w:vAlign w:val="center"/>
                </w:tcPr>
                <w:p>
                  <w:pPr>
                    <w:spacing w:line="300" w:lineRule="exact"/>
                    <w:jc w:val="center"/>
                    <w:rPr>
                      <w:color w:val="auto"/>
                      <w:szCs w:val="21"/>
                    </w:rPr>
                  </w:pPr>
                  <w:r>
                    <w:rPr>
                      <w:color w:val="auto"/>
                      <w:szCs w:val="21"/>
                    </w:rPr>
                    <w:t>小礼花：25g/筒；喷花：200g/筒；吐珠：20g/筒；总药量：1200g（开包药：黑火药10g，硝酸盐加金属粉4g，高氯酸盐加金属粉2g）</w:t>
                  </w:r>
                </w:p>
              </w:tc>
              <w:tc>
                <w:tcPr>
                  <w:tcW w:w="1405" w:type="dxa"/>
                  <w:tcBorders>
                    <w:tl2br w:val="nil"/>
                    <w:tr2bl w:val="nil"/>
                  </w:tcBorders>
                  <w:vAlign w:val="center"/>
                </w:tcPr>
                <w:p>
                  <w:pPr>
                    <w:spacing w:line="300" w:lineRule="exact"/>
                    <w:jc w:val="center"/>
                    <w:rPr>
                      <w:color w:val="auto"/>
                      <w:szCs w:val="21"/>
                    </w:rPr>
                  </w:pPr>
                  <w:r>
                    <w:rPr>
                      <w:color w:val="auto"/>
                      <w:szCs w:val="21"/>
                    </w:rPr>
                    <w:t>50g（仅限喷花组合）</w:t>
                  </w:r>
                </w:p>
              </w:tc>
            </w:tr>
          </w:tbl>
          <w:p>
            <w:pPr>
              <w:spacing w:line="520" w:lineRule="exact"/>
              <w:ind w:firstLine="480" w:firstLineChars="200"/>
              <w:rPr>
                <w:color w:val="auto"/>
                <w:sz w:val="24"/>
              </w:rPr>
            </w:pPr>
            <w:r>
              <w:rPr>
                <w:color w:val="auto"/>
                <w:sz w:val="24"/>
              </w:rPr>
              <w:t>（3）本项目的烟花爆竹储存情况</w:t>
            </w:r>
          </w:p>
          <w:p>
            <w:pPr>
              <w:spacing w:line="520" w:lineRule="exact"/>
              <w:ind w:firstLine="480" w:firstLineChars="200"/>
              <w:rPr>
                <w:color w:val="auto"/>
                <w:sz w:val="24"/>
              </w:rPr>
            </w:pPr>
            <w:r>
              <w:rPr>
                <w:color w:val="auto"/>
                <w:sz w:val="24"/>
              </w:rPr>
              <w:t>本项目烟花爆竹仓库储存情况见下表。</w:t>
            </w:r>
          </w:p>
          <w:p>
            <w:pPr>
              <w:pStyle w:val="52"/>
              <w:rPr>
                <w:color w:val="auto"/>
              </w:rPr>
            </w:pPr>
            <w:r>
              <w:rPr>
                <w:color w:val="auto"/>
              </w:rPr>
              <w:t>表2-4  本项目储存方案一览表</w:t>
            </w:r>
          </w:p>
          <w:tbl>
            <w:tblPr>
              <w:tblStyle w:val="27"/>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98"/>
              <w:gridCol w:w="1429"/>
              <w:gridCol w:w="1200"/>
              <w:gridCol w:w="892"/>
              <w:gridCol w:w="1531"/>
              <w:gridCol w:w="153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76" w:type="pct"/>
                  <w:tcBorders>
                    <w:tl2br w:val="nil"/>
                    <w:tr2bl w:val="nil"/>
                  </w:tcBorders>
                  <w:vAlign w:val="center"/>
                </w:tcPr>
                <w:p>
                  <w:pPr>
                    <w:spacing w:line="300" w:lineRule="exact"/>
                    <w:jc w:val="center"/>
                    <w:rPr>
                      <w:color w:val="auto"/>
                      <w:szCs w:val="21"/>
                    </w:rPr>
                  </w:pPr>
                  <w:r>
                    <w:rPr>
                      <w:color w:val="auto"/>
                      <w:szCs w:val="21"/>
                    </w:rPr>
                    <w:t>仓库名称</w:t>
                  </w:r>
                </w:p>
              </w:tc>
              <w:tc>
                <w:tcPr>
                  <w:tcW w:w="873" w:type="pct"/>
                  <w:tcBorders>
                    <w:tl2br w:val="nil"/>
                    <w:tr2bl w:val="nil"/>
                  </w:tcBorders>
                  <w:vAlign w:val="center"/>
                </w:tcPr>
                <w:p>
                  <w:pPr>
                    <w:spacing w:line="300" w:lineRule="exact"/>
                    <w:jc w:val="center"/>
                    <w:rPr>
                      <w:color w:val="auto"/>
                      <w:szCs w:val="21"/>
                    </w:rPr>
                  </w:pPr>
                  <w:r>
                    <w:rPr>
                      <w:color w:val="auto"/>
                      <w:szCs w:val="21"/>
                    </w:rPr>
                    <w:t>建筑面积（m</w:t>
                  </w:r>
                  <w:r>
                    <w:rPr>
                      <w:color w:val="auto"/>
                      <w:szCs w:val="21"/>
                      <w:vertAlign w:val="superscript"/>
                    </w:rPr>
                    <w:t>2</w:t>
                  </w:r>
                  <w:r>
                    <w:rPr>
                      <w:color w:val="auto"/>
                      <w:szCs w:val="21"/>
                    </w:rPr>
                    <w:t>）</w:t>
                  </w:r>
                </w:p>
              </w:tc>
              <w:tc>
                <w:tcPr>
                  <w:tcW w:w="733" w:type="pct"/>
                  <w:tcBorders>
                    <w:tl2br w:val="nil"/>
                    <w:tr2bl w:val="nil"/>
                  </w:tcBorders>
                  <w:vAlign w:val="center"/>
                </w:tcPr>
                <w:p>
                  <w:pPr>
                    <w:spacing w:line="300" w:lineRule="exact"/>
                    <w:jc w:val="center"/>
                    <w:rPr>
                      <w:color w:val="auto"/>
                      <w:szCs w:val="21"/>
                    </w:rPr>
                  </w:pPr>
                  <w:r>
                    <w:rPr>
                      <w:color w:val="auto"/>
                      <w:szCs w:val="21"/>
                    </w:rPr>
                    <w:t>数量</w:t>
                  </w:r>
                </w:p>
                <w:p>
                  <w:pPr>
                    <w:spacing w:line="300" w:lineRule="exact"/>
                    <w:jc w:val="center"/>
                    <w:rPr>
                      <w:color w:val="auto"/>
                      <w:szCs w:val="21"/>
                    </w:rPr>
                  </w:pPr>
                  <w:r>
                    <w:rPr>
                      <w:color w:val="auto"/>
                      <w:szCs w:val="21"/>
                    </w:rPr>
                    <w:t>（间）</w:t>
                  </w:r>
                </w:p>
              </w:tc>
              <w:tc>
                <w:tcPr>
                  <w:tcW w:w="545" w:type="pct"/>
                  <w:tcBorders>
                    <w:tl2br w:val="nil"/>
                    <w:tr2bl w:val="nil"/>
                  </w:tcBorders>
                  <w:vAlign w:val="center"/>
                </w:tcPr>
                <w:p>
                  <w:pPr>
                    <w:spacing w:line="300" w:lineRule="exact"/>
                    <w:jc w:val="center"/>
                    <w:rPr>
                      <w:color w:val="auto"/>
                      <w:szCs w:val="21"/>
                    </w:rPr>
                  </w:pPr>
                  <w:r>
                    <w:rPr>
                      <w:color w:val="auto"/>
                      <w:szCs w:val="21"/>
                    </w:rPr>
                    <w:t>危险等级</w:t>
                  </w:r>
                </w:p>
              </w:tc>
              <w:tc>
                <w:tcPr>
                  <w:tcW w:w="935" w:type="pct"/>
                  <w:tcBorders>
                    <w:tl2br w:val="nil"/>
                    <w:tr2bl w:val="nil"/>
                  </w:tcBorders>
                  <w:vAlign w:val="center"/>
                </w:tcPr>
                <w:p>
                  <w:pPr>
                    <w:spacing w:line="300" w:lineRule="exact"/>
                    <w:jc w:val="center"/>
                    <w:rPr>
                      <w:color w:val="auto"/>
                      <w:szCs w:val="21"/>
                    </w:rPr>
                  </w:pPr>
                  <w:r>
                    <w:rPr>
                      <w:color w:val="auto"/>
                      <w:szCs w:val="21"/>
                    </w:rPr>
                    <w:t>存储量（t）</w:t>
                  </w:r>
                </w:p>
              </w:tc>
              <w:tc>
                <w:tcPr>
                  <w:tcW w:w="935" w:type="pct"/>
                  <w:tcBorders>
                    <w:tl2br w:val="nil"/>
                    <w:tr2bl w:val="nil"/>
                  </w:tcBorders>
                  <w:vAlign w:val="center"/>
                </w:tcPr>
                <w:p>
                  <w:pPr>
                    <w:spacing w:line="300" w:lineRule="exact"/>
                    <w:jc w:val="center"/>
                    <w:rPr>
                      <w:color w:val="auto"/>
                      <w:szCs w:val="21"/>
                    </w:rPr>
                  </w:pPr>
                  <w:r>
                    <w:rPr>
                      <w:color w:val="auto"/>
                      <w:szCs w:val="21"/>
                    </w:rPr>
                    <w:t>储存产品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76" w:type="pct"/>
                  <w:tcBorders>
                    <w:tl2br w:val="nil"/>
                    <w:tr2bl w:val="nil"/>
                  </w:tcBorders>
                  <w:vAlign w:val="center"/>
                </w:tcPr>
                <w:p>
                  <w:pPr>
                    <w:spacing w:line="300" w:lineRule="exact"/>
                    <w:jc w:val="center"/>
                    <w:rPr>
                      <w:color w:val="auto"/>
                      <w:szCs w:val="21"/>
                    </w:rPr>
                  </w:pPr>
                  <w:r>
                    <w:rPr>
                      <w:color w:val="auto"/>
                      <w:szCs w:val="21"/>
                    </w:rPr>
                    <w:t>1#仓库（1.3级）</w:t>
                  </w:r>
                </w:p>
              </w:tc>
              <w:tc>
                <w:tcPr>
                  <w:tcW w:w="873" w:type="pct"/>
                  <w:tcBorders>
                    <w:tl2br w:val="nil"/>
                    <w:tr2bl w:val="nil"/>
                  </w:tcBorders>
                  <w:vAlign w:val="center"/>
                </w:tcPr>
                <w:p>
                  <w:pPr>
                    <w:spacing w:line="300" w:lineRule="exact"/>
                    <w:jc w:val="center"/>
                    <w:rPr>
                      <w:color w:val="auto"/>
                      <w:szCs w:val="21"/>
                    </w:rPr>
                  </w:pPr>
                  <w:r>
                    <w:rPr>
                      <w:color w:val="auto"/>
                      <w:szCs w:val="21"/>
                    </w:rPr>
                    <w:t>500</w:t>
                  </w:r>
                </w:p>
              </w:tc>
              <w:tc>
                <w:tcPr>
                  <w:tcW w:w="733" w:type="pct"/>
                  <w:tcBorders>
                    <w:tl2br w:val="nil"/>
                    <w:tr2bl w:val="nil"/>
                  </w:tcBorders>
                  <w:vAlign w:val="center"/>
                </w:tcPr>
                <w:p>
                  <w:pPr>
                    <w:spacing w:line="300" w:lineRule="exact"/>
                    <w:jc w:val="center"/>
                    <w:rPr>
                      <w:color w:val="auto"/>
                      <w:szCs w:val="21"/>
                    </w:rPr>
                  </w:pPr>
                  <w:r>
                    <w:rPr>
                      <w:color w:val="auto"/>
                      <w:szCs w:val="21"/>
                    </w:rPr>
                    <w:t>1</w:t>
                  </w:r>
                </w:p>
              </w:tc>
              <w:tc>
                <w:tcPr>
                  <w:tcW w:w="545" w:type="pct"/>
                  <w:tcBorders>
                    <w:tl2br w:val="nil"/>
                    <w:tr2bl w:val="nil"/>
                  </w:tcBorders>
                  <w:vAlign w:val="center"/>
                </w:tcPr>
                <w:p>
                  <w:pPr>
                    <w:spacing w:line="300" w:lineRule="exact"/>
                    <w:jc w:val="center"/>
                    <w:rPr>
                      <w:color w:val="auto"/>
                      <w:szCs w:val="21"/>
                    </w:rPr>
                  </w:pPr>
                  <w:r>
                    <w:rPr>
                      <w:color w:val="auto"/>
                      <w:szCs w:val="21"/>
                    </w:rPr>
                    <w:t>1.3</w:t>
                  </w:r>
                </w:p>
              </w:tc>
              <w:tc>
                <w:tcPr>
                  <w:tcW w:w="935" w:type="pct"/>
                  <w:tcBorders>
                    <w:tl2br w:val="nil"/>
                    <w:tr2bl w:val="nil"/>
                  </w:tcBorders>
                  <w:vAlign w:val="center"/>
                </w:tcPr>
                <w:p>
                  <w:pPr>
                    <w:spacing w:line="300" w:lineRule="exact"/>
                    <w:jc w:val="center"/>
                    <w:rPr>
                      <w:color w:val="auto"/>
                      <w:szCs w:val="21"/>
                    </w:rPr>
                  </w:pPr>
                  <w:r>
                    <w:rPr>
                      <w:color w:val="auto"/>
                      <w:szCs w:val="21"/>
                    </w:rPr>
                    <w:t>烟花（10t）</w:t>
                  </w:r>
                </w:p>
              </w:tc>
              <w:tc>
                <w:tcPr>
                  <w:tcW w:w="935" w:type="pct"/>
                  <w:vMerge w:val="restart"/>
                  <w:tcBorders>
                    <w:tl2br w:val="nil"/>
                    <w:tr2bl w:val="nil"/>
                  </w:tcBorders>
                  <w:vAlign w:val="center"/>
                </w:tcPr>
                <w:p>
                  <w:pPr>
                    <w:spacing w:line="300" w:lineRule="exact"/>
                    <w:jc w:val="center"/>
                    <w:rPr>
                      <w:color w:val="auto"/>
                      <w:szCs w:val="21"/>
                    </w:rPr>
                  </w:pPr>
                  <w:r>
                    <w:rPr>
                      <w:color w:val="auto"/>
                      <w:szCs w:val="21"/>
                    </w:rPr>
                    <w:t>C、D级烟花和C级爆竹产品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76" w:type="pct"/>
                  <w:tcBorders>
                    <w:tl2br w:val="nil"/>
                    <w:tr2bl w:val="nil"/>
                  </w:tcBorders>
                  <w:vAlign w:val="center"/>
                </w:tcPr>
                <w:p>
                  <w:pPr>
                    <w:spacing w:line="300" w:lineRule="exact"/>
                    <w:jc w:val="center"/>
                    <w:rPr>
                      <w:color w:val="auto"/>
                      <w:szCs w:val="21"/>
                    </w:rPr>
                  </w:pPr>
                  <w:r>
                    <w:rPr>
                      <w:color w:val="auto"/>
                      <w:szCs w:val="21"/>
                    </w:rPr>
                    <w:t>2#仓库（1.3级）</w:t>
                  </w:r>
                </w:p>
              </w:tc>
              <w:tc>
                <w:tcPr>
                  <w:tcW w:w="873" w:type="pct"/>
                  <w:tcBorders>
                    <w:tl2br w:val="nil"/>
                    <w:tr2bl w:val="nil"/>
                  </w:tcBorders>
                  <w:vAlign w:val="center"/>
                </w:tcPr>
                <w:p>
                  <w:pPr>
                    <w:spacing w:line="300" w:lineRule="exact"/>
                    <w:jc w:val="center"/>
                    <w:rPr>
                      <w:color w:val="auto"/>
                      <w:szCs w:val="21"/>
                    </w:rPr>
                  </w:pPr>
                  <w:r>
                    <w:rPr>
                      <w:color w:val="auto"/>
                      <w:szCs w:val="21"/>
                    </w:rPr>
                    <w:t>500</w:t>
                  </w:r>
                </w:p>
              </w:tc>
              <w:tc>
                <w:tcPr>
                  <w:tcW w:w="733" w:type="pct"/>
                  <w:tcBorders>
                    <w:tl2br w:val="nil"/>
                    <w:tr2bl w:val="nil"/>
                  </w:tcBorders>
                  <w:vAlign w:val="center"/>
                </w:tcPr>
                <w:p>
                  <w:pPr>
                    <w:spacing w:line="300" w:lineRule="exact"/>
                    <w:jc w:val="center"/>
                    <w:rPr>
                      <w:color w:val="auto"/>
                      <w:szCs w:val="21"/>
                    </w:rPr>
                  </w:pPr>
                  <w:r>
                    <w:rPr>
                      <w:color w:val="auto"/>
                      <w:szCs w:val="21"/>
                    </w:rPr>
                    <w:t>1</w:t>
                  </w:r>
                </w:p>
              </w:tc>
              <w:tc>
                <w:tcPr>
                  <w:tcW w:w="545" w:type="pct"/>
                  <w:tcBorders>
                    <w:tl2br w:val="nil"/>
                    <w:tr2bl w:val="nil"/>
                  </w:tcBorders>
                  <w:vAlign w:val="center"/>
                </w:tcPr>
                <w:p>
                  <w:pPr>
                    <w:spacing w:line="300" w:lineRule="exact"/>
                    <w:jc w:val="center"/>
                    <w:rPr>
                      <w:color w:val="auto"/>
                      <w:szCs w:val="21"/>
                    </w:rPr>
                  </w:pPr>
                  <w:r>
                    <w:rPr>
                      <w:color w:val="auto"/>
                      <w:szCs w:val="21"/>
                    </w:rPr>
                    <w:t>1.3</w:t>
                  </w:r>
                </w:p>
              </w:tc>
              <w:tc>
                <w:tcPr>
                  <w:tcW w:w="935" w:type="pct"/>
                  <w:tcBorders>
                    <w:tl2br w:val="nil"/>
                    <w:tr2bl w:val="nil"/>
                  </w:tcBorders>
                  <w:vAlign w:val="center"/>
                </w:tcPr>
                <w:p>
                  <w:pPr>
                    <w:spacing w:line="300" w:lineRule="exact"/>
                    <w:jc w:val="center"/>
                    <w:rPr>
                      <w:color w:val="auto"/>
                      <w:szCs w:val="21"/>
                    </w:rPr>
                  </w:pPr>
                  <w:r>
                    <w:rPr>
                      <w:color w:val="auto"/>
                      <w:szCs w:val="21"/>
                    </w:rPr>
                    <w:t>爆竹（10t）</w:t>
                  </w:r>
                </w:p>
              </w:tc>
              <w:tc>
                <w:tcPr>
                  <w:tcW w:w="935" w:type="pct"/>
                  <w:vMerge w:val="continue"/>
                  <w:tcBorders>
                    <w:tl2br w:val="nil"/>
                    <w:tr2bl w:val="nil"/>
                  </w:tcBorders>
                  <w:vAlign w:val="center"/>
                </w:tcPr>
                <w:p>
                  <w:pPr>
                    <w:jc w:val="center"/>
                    <w:rPr>
                      <w:color w:val="auto"/>
                      <w:szCs w:val="21"/>
                    </w:rPr>
                  </w:pPr>
                </w:p>
              </w:tc>
            </w:tr>
          </w:tbl>
          <w:p>
            <w:pPr>
              <w:spacing w:line="520" w:lineRule="exact"/>
              <w:ind w:firstLine="480" w:firstLineChars="200"/>
              <w:rPr>
                <w:bCs/>
                <w:color w:val="auto"/>
                <w:kern w:val="0"/>
                <w:sz w:val="24"/>
              </w:rPr>
            </w:pPr>
            <w:r>
              <w:rPr>
                <w:bCs/>
                <w:color w:val="auto"/>
                <w:kern w:val="0"/>
                <w:sz w:val="24"/>
              </w:rPr>
              <w:t>根据业主提供资料以及参考其他烟花爆竹制造业生产情况可以预估本项目烟花、爆竹成分为：</w:t>
            </w:r>
          </w:p>
          <w:p>
            <w:pPr>
              <w:spacing w:line="520" w:lineRule="exact"/>
              <w:ind w:firstLine="480" w:firstLineChars="200"/>
              <w:rPr>
                <w:bCs/>
                <w:color w:val="auto"/>
                <w:kern w:val="0"/>
                <w:sz w:val="24"/>
              </w:rPr>
            </w:pPr>
            <w:r>
              <w:rPr>
                <w:bCs/>
                <w:color w:val="auto"/>
                <w:kern w:val="0"/>
                <w:sz w:val="24"/>
              </w:rPr>
              <w:t>烟花成分约为：20%黑火药、60%亮珠（30%红色、30%绿色）、20%开包药；</w:t>
            </w:r>
          </w:p>
          <w:p>
            <w:pPr>
              <w:spacing w:line="520" w:lineRule="exact"/>
              <w:ind w:firstLine="480" w:firstLineChars="200"/>
              <w:rPr>
                <w:bCs/>
                <w:color w:val="auto"/>
                <w:kern w:val="0"/>
                <w:sz w:val="24"/>
              </w:rPr>
            </w:pPr>
            <w:r>
              <w:rPr>
                <w:bCs/>
                <w:color w:val="auto"/>
                <w:kern w:val="0"/>
                <w:sz w:val="24"/>
              </w:rPr>
              <w:t>其中：开包药成分约为：50%高氯酸钾、25%硫黄、25%铝粉；亮珠（红色）成分约为：45%高氯酸钾、22%镁铝粉、32%碳酸锶、1%黑火药；亮珠（绿色）成分约为：26%高氯酸钾、22%镁铝粉、50%硝酸钡、2%黑火药；黑火药成分约为：硫黄、硝酸钾、木炭（比例2:1:3）。</w:t>
            </w:r>
          </w:p>
          <w:p>
            <w:pPr>
              <w:spacing w:line="520" w:lineRule="exact"/>
              <w:ind w:firstLine="480" w:firstLineChars="200"/>
              <w:rPr>
                <w:bCs/>
                <w:color w:val="auto"/>
                <w:kern w:val="0"/>
                <w:sz w:val="24"/>
              </w:rPr>
            </w:pPr>
            <w:r>
              <w:rPr>
                <w:bCs/>
                <w:color w:val="auto"/>
                <w:kern w:val="0"/>
                <w:sz w:val="24"/>
              </w:rPr>
              <w:t>爆竹成分约为：50%高氯酸钾、25%硫黄、25%铝粉。</w:t>
            </w:r>
          </w:p>
          <w:p>
            <w:pPr>
              <w:spacing w:line="520" w:lineRule="exact"/>
              <w:ind w:firstLine="480" w:firstLineChars="200"/>
              <w:rPr>
                <w:bCs/>
                <w:color w:val="auto"/>
                <w:kern w:val="0"/>
                <w:sz w:val="24"/>
              </w:rPr>
            </w:pPr>
            <w:r>
              <w:rPr>
                <w:bCs/>
                <w:color w:val="auto"/>
                <w:kern w:val="0"/>
                <w:sz w:val="24"/>
              </w:rPr>
              <w:t>项目原辅料理化性质情况见下表。</w:t>
            </w:r>
          </w:p>
          <w:p>
            <w:pPr>
              <w:pStyle w:val="52"/>
              <w:rPr>
                <w:color w:val="auto"/>
              </w:rPr>
            </w:pPr>
            <w:r>
              <w:rPr>
                <w:color w:val="auto"/>
              </w:rPr>
              <w:t>表2-5  原辅料理化性质一览表</w:t>
            </w:r>
          </w:p>
          <w:tbl>
            <w:tblPr>
              <w:tblStyle w:val="27"/>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1155"/>
              <w:gridCol w:w="633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86" w:type="dxa"/>
                  <w:tcBorders>
                    <w:tl2br w:val="nil"/>
                    <w:tr2bl w:val="nil"/>
                  </w:tcBorders>
                  <w:vAlign w:val="center"/>
                </w:tcPr>
                <w:p>
                  <w:pPr>
                    <w:spacing w:line="300" w:lineRule="exact"/>
                    <w:jc w:val="center"/>
                    <w:rPr>
                      <w:color w:val="auto"/>
                      <w:szCs w:val="21"/>
                    </w:rPr>
                  </w:pPr>
                  <w:r>
                    <w:rPr>
                      <w:color w:val="auto"/>
                      <w:szCs w:val="21"/>
                    </w:rPr>
                    <w:t>序号</w:t>
                  </w:r>
                </w:p>
              </w:tc>
              <w:tc>
                <w:tcPr>
                  <w:tcW w:w="1155" w:type="dxa"/>
                  <w:tcBorders>
                    <w:tl2br w:val="nil"/>
                    <w:tr2bl w:val="nil"/>
                  </w:tcBorders>
                  <w:vAlign w:val="center"/>
                </w:tcPr>
                <w:p>
                  <w:pPr>
                    <w:spacing w:line="300" w:lineRule="exact"/>
                    <w:jc w:val="center"/>
                    <w:rPr>
                      <w:color w:val="auto"/>
                      <w:szCs w:val="21"/>
                    </w:rPr>
                  </w:pPr>
                  <w:r>
                    <w:rPr>
                      <w:color w:val="auto"/>
                      <w:szCs w:val="21"/>
                    </w:rPr>
                    <w:t>物质名称</w:t>
                  </w:r>
                </w:p>
              </w:tc>
              <w:tc>
                <w:tcPr>
                  <w:tcW w:w="6334" w:type="dxa"/>
                  <w:tcBorders>
                    <w:tl2br w:val="nil"/>
                    <w:tr2bl w:val="nil"/>
                  </w:tcBorders>
                  <w:vAlign w:val="center"/>
                </w:tcPr>
                <w:p>
                  <w:pPr>
                    <w:spacing w:line="300" w:lineRule="exact"/>
                    <w:jc w:val="center"/>
                    <w:rPr>
                      <w:color w:val="auto"/>
                      <w:szCs w:val="21"/>
                    </w:rPr>
                  </w:pPr>
                  <w:r>
                    <w:rPr>
                      <w:color w:val="auto"/>
                      <w:szCs w:val="21"/>
                    </w:rPr>
                    <w:t>理化性质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86" w:type="dxa"/>
                  <w:tcBorders>
                    <w:tl2br w:val="nil"/>
                    <w:tr2bl w:val="nil"/>
                  </w:tcBorders>
                  <w:vAlign w:val="center"/>
                </w:tcPr>
                <w:p>
                  <w:pPr>
                    <w:spacing w:line="300" w:lineRule="exact"/>
                    <w:jc w:val="center"/>
                    <w:rPr>
                      <w:color w:val="auto"/>
                      <w:szCs w:val="21"/>
                    </w:rPr>
                  </w:pPr>
                  <w:r>
                    <w:rPr>
                      <w:color w:val="auto"/>
                      <w:szCs w:val="21"/>
                    </w:rPr>
                    <w:t>1</w:t>
                  </w:r>
                </w:p>
              </w:tc>
              <w:tc>
                <w:tcPr>
                  <w:tcW w:w="1155" w:type="dxa"/>
                  <w:tcBorders>
                    <w:tl2br w:val="nil"/>
                    <w:tr2bl w:val="nil"/>
                  </w:tcBorders>
                  <w:vAlign w:val="center"/>
                </w:tcPr>
                <w:p>
                  <w:pPr>
                    <w:spacing w:line="300" w:lineRule="exact"/>
                    <w:jc w:val="center"/>
                    <w:rPr>
                      <w:color w:val="auto"/>
                      <w:szCs w:val="21"/>
                    </w:rPr>
                  </w:pPr>
                  <w:r>
                    <w:rPr>
                      <w:color w:val="auto"/>
                      <w:szCs w:val="21"/>
                    </w:rPr>
                    <w:t>高氯酸钾</w:t>
                  </w:r>
                </w:p>
              </w:tc>
              <w:tc>
                <w:tcPr>
                  <w:tcW w:w="6334" w:type="dxa"/>
                  <w:tcBorders>
                    <w:tl2br w:val="nil"/>
                    <w:tr2bl w:val="nil"/>
                  </w:tcBorders>
                  <w:vAlign w:val="center"/>
                </w:tcPr>
                <w:p>
                  <w:pPr>
                    <w:spacing w:line="300" w:lineRule="exact"/>
                    <w:ind w:firstLine="420" w:firstLineChars="200"/>
                    <w:jc w:val="left"/>
                    <w:rPr>
                      <w:color w:val="auto"/>
                      <w:szCs w:val="21"/>
                    </w:rPr>
                  </w:pPr>
                  <w:r>
                    <w:rPr>
                      <w:color w:val="auto"/>
                      <w:szCs w:val="21"/>
                    </w:rPr>
                    <w:t>物化性质：白色粉末或无色结晶，相对密度2.52，无吸湿性，常温时稳定，加热至540℃～570℃左右渐渐熔融，在590℃～610℃左右急速分解而转变为氯化钾。如有二氧化锰及三氧化二铁等催化剂存在，可降低分解温度。微溶于水，水溶液呈中性，不溶于醇和醚。</w:t>
                  </w:r>
                </w:p>
                <w:p>
                  <w:pPr>
                    <w:spacing w:line="300" w:lineRule="exact"/>
                    <w:ind w:firstLine="420" w:firstLineChars="200"/>
                    <w:jc w:val="left"/>
                    <w:rPr>
                      <w:color w:val="auto"/>
                      <w:szCs w:val="21"/>
                    </w:rPr>
                  </w:pPr>
                  <w:r>
                    <w:rPr>
                      <w:color w:val="auto"/>
                      <w:szCs w:val="21"/>
                    </w:rPr>
                    <w:t>危险特性：强氧化剂。与还原剂、有机物、易燃物如硫、磷或金属粉等混合可形成爆炸性混合物。在火场中，受热的容器有爆炸危险。受热分解，放出氧气。</w:t>
                  </w:r>
                </w:p>
                <w:p>
                  <w:pPr>
                    <w:spacing w:line="300" w:lineRule="exact"/>
                    <w:ind w:firstLine="420" w:firstLineChars="200"/>
                    <w:jc w:val="left"/>
                    <w:rPr>
                      <w:color w:val="auto"/>
                      <w:szCs w:val="21"/>
                    </w:rPr>
                  </w:pPr>
                  <w:r>
                    <w:rPr>
                      <w:color w:val="auto"/>
                      <w:szCs w:val="21"/>
                    </w:rPr>
                    <w:t>燃烧（分解）产物：氯化物、氧化钾。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86" w:type="dxa"/>
                  <w:tcBorders>
                    <w:tl2br w:val="nil"/>
                    <w:tr2bl w:val="nil"/>
                  </w:tcBorders>
                  <w:vAlign w:val="center"/>
                </w:tcPr>
                <w:p>
                  <w:pPr>
                    <w:spacing w:line="300" w:lineRule="exact"/>
                    <w:jc w:val="center"/>
                    <w:rPr>
                      <w:color w:val="auto"/>
                      <w:szCs w:val="21"/>
                    </w:rPr>
                  </w:pPr>
                  <w:r>
                    <w:rPr>
                      <w:color w:val="auto"/>
                      <w:szCs w:val="21"/>
                    </w:rPr>
                    <w:t>2</w:t>
                  </w:r>
                </w:p>
              </w:tc>
              <w:tc>
                <w:tcPr>
                  <w:tcW w:w="1155" w:type="dxa"/>
                  <w:tcBorders>
                    <w:tl2br w:val="nil"/>
                    <w:tr2bl w:val="nil"/>
                  </w:tcBorders>
                  <w:vAlign w:val="center"/>
                </w:tcPr>
                <w:p>
                  <w:pPr>
                    <w:spacing w:line="300" w:lineRule="exact"/>
                    <w:jc w:val="center"/>
                    <w:rPr>
                      <w:color w:val="auto"/>
                      <w:szCs w:val="21"/>
                    </w:rPr>
                  </w:pPr>
                  <w:r>
                    <w:rPr>
                      <w:color w:val="auto"/>
                      <w:szCs w:val="21"/>
                    </w:rPr>
                    <w:t>硝酸钾</w:t>
                  </w:r>
                </w:p>
              </w:tc>
              <w:tc>
                <w:tcPr>
                  <w:tcW w:w="6334" w:type="dxa"/>
                  <w:tcBorders>
                    <w:tl2br w:val="nil"/>
                    <w:tr2bl w:val="nil"/>
                  </w:tcBorders>
                  <w:vAlign w:val="center"/>
                </w:tcPr>
                <w:p>
                  <w:pPr>
                    <w:spacing w:line="300" w:lineRule="exact"/>
                    <w:ind w:firstLine="420" w:firstLineChars="200"/>
                    <w:jc w:val="left"/>
                    <w:rPr>
                      <w:color w:val="auto"/>
                      <w:szCs w:val="21"/>
                    </w:rPr>
                  </w:pPr>
                  <w:r>
                    <w:rPr>
                      <w:color w:val="auto"/>
                      <w:szCs w:val="21"/>
                    </w:rPr>
                    <w:t>物化性质：无色透明结晶或白色颗粒乃至结晶性粉末，有冷感和刺激性咸味，相对密度2.11，熔点338℃，400℃时分解，释出氧气，易溶于水、液氨及甘油。不溶于无水乙醇与乙醚。</w:t>
                  </w:r>
                </w:p>
                <w:p>
                  <w:pPr>
                    <w:spacing w:line="300" w:lineRule="exact"/>
                    <w:ind w:firstLine="420" w:firstLineChars="200"/>
                    <w:jc w:val="left"/>
                    <w:rPr>
                      <w:color w:val="auto"/>
                      <w:szCs w:val="21"/>
                    </w:rPr>
                  </w:pPr>
                  <w:r>
                    <w:rPr>
                      <w:color w:val="auto"/>
                      <w:szCs w:val="21"/>
                    </w:rPr>
                    <w:t>危险特性：强氧化剂。遇可燃物着火时，能助长火势。与有机物、还原剂、易燃物如硫、磷等接触或混合时有引起燃烧爆炸的危险。燃烧分解时，放出有毒的氮氧化物。受高热分解，产生有毒的氮氧化物。燃烧（分解）产物：氮氧化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86" w:type="dxa"/>
                  <w:tcBorders>
                    <w:tl2br w:val="nil"/>
                    <w:tr2bl w:val="nil"/>
                  </w:tcBorders>
                  <w:vAlign w:val="center"/>
                </w:tcPr>
                <w:p>
                  <w:pPr>
                    <w:spacing w:line="300" w:lineRule="exact"/>
                    <w:jc w:val="center"/>
                    <w:rPr>
                      <w:color w:val="auto"/>
                      <w:szCs w:val="21"/>
                    </w:rPr>
                  </w:pPr>
                  <w:r>
                    <w:rPr>
                      <w:color w:val="auto"/>
                      <w:szCs w:val="21"/>
                    </w:rPr>
                    <w:t>3</w:t>
                  </w:r>
                </w:p>
              </w:tc>
              <w:tc>
                <w:tcPr>
                  <w:tcW w:w="1155" w:type="dxa"/>
                  <w:tcBorders>
                    <w:tl2br w:val="nil"/>
                    <w:tr2bl w:val="nil"/>
                  </w:tcBorders>
                  <w:vAlign w:val="center"/>
                </w:tcPr>
                <w:p>
                  <w:pPr>
                    <w:spacing w:line="300" w:lineRule="exact"/>
                    <w:jc w:val="center"/>
                    <w:rPr>
                      <w:color w:val="auto"/>
                      <w:szCs w:val="21"/>
                    </w:rPr>
                  </w:pPr>
                  <w:r>
                    <w:rPr>
                      <w:color w:val="auto"/>
                      <w:szCs w:val="21"/>
                    </w:rPr>
                    <w:t>硝酸钡</w:t>
                  </w:r>
                </w:p>
              </w:tc>
              <w:tc>
                <w:tcPr>
                  <w:tcW w:w="6334" w:type="dxa"/>
                  <w:tcBorders>
                    <w:tl2br w:val="nil"/>
                    <w:tr2bl w:val="nil"/>
                  </w:tcBorders>
                  <w:vAlign w:val="center"/>
                </w:tcPr>
                <w:p>
                  <w:pPr>
                    <w:spacing w:line="300" w:lineRule="exact"/>
                    <w:ind w:firstLine="420" w:firstLineChars="200"/>
                    <w:jc w:val="left"/>
                    <w:rPr>
                      <w:color w:val="auto"/>
                      <w:szCs w:val="21"/>
                    </w:rPr>
                  </w:pPr>
                  <w:r>
                    <w:rPr>
                      <w:color w:val="auto"/>
                      <w:szCs w:val="21"/>
                    </w:rPr>
                    <w:t>硝酸钡，化学式Ba(NO</w:t>
                  </w:r>
                  <w:r>
                    <w:rPr>
                      <w:color w:val="auto"/>
                      <w:szCs w:val="21"/>
                      <w:vertAlign w:val="subscript"/>
                    </w:rPr>
                    <w:t>3</w:t>
                  </w:r>
                  <w:r>
                    <w:rPr>
                      <w:color w:val="auto"/>
                      <w:szCs w:val="21"/>
                    </w:rPr>
                    <w:t>)</w:t>
                  </w:r>
                  <w:r>
                    <w:rPr>
                      <w:color w:val="auto"/>
                      <w:szCs w:val="21"/>
                      <w:vertAlign w:val="subscript"/>
                    </w:rPr>
                    <w:t>2</w:t>
                  </w:r>
                  <w:r>
                    <w:rPr>
                      <w:color w:val="auto"/>
                      <w:szCs w:val="21"/>
                    </w:rPr>
                    <w:t>，分子量261.35。无色立方晶体或白色粉末、有毒、密度3.24g/cm</w:t>
                  </w:r>
                  <w:r>
                    <w:rPr>
                      <w:color w:val="auto"/>
                      <w:szCs w:val="21"/>
                      <w:vertAlign w:val="superscript"/>
                    </w:rPr>
                    <w:t>3</w:t>
                  </w:r>
                  <w:r>
                    <w:rPr>
                      <w:color w:val="auto"/>
                      <w:szCs w:val="21"/>
                    </w:rPr>
                    <w:t>，微具吸湿性，溶于水，不溶于乙醇。加热时分解放出氧气，有强氧化性，跟硫、磷、有机物接触、摩擦或撞击能引起燃烧或爆炸。熔点592℃，温度再高即分解。燃烧时呈现绿色火焰，用作氧化剂、分析试剂，用于制钡盐、信号弹及焰火，还用于制陶瓷釉、医药等。由硝酸跟氢氧化钡反应制得。</w:t>
                  </w:r>
                </w:p>
                <w:p>
                  <w:pPr>
                    <w:spacing w:line="300" w:lineRule="exact"/>
                    <w:ind w:firstLine="420" w:firstLineChars="200"/>
                    <w:jc w:val="left"/>
                    <w:rPr>
                      <w:color w:val="auto"/>
                      <w:szCs w:val="21"/>
                    </w:rPr>
                  </w:pPr>
                  <w:r>
                    <w:rPr>
                      <w:color w:val="auto"/>
                      <w:szCs w:val="21"/>
                    </w:rPr>
                    <w:t>危险性类别：强氧化剂。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86" w:type="dxa"/>
                  <w:tcBorders>
                    <w:tl2br w:val="nil"/>
                    <w:tr2bl w:val="nil"/>
                  </w:tcBorders>
                  <w:vAlign w:val="center"/>
                </w:tcPr>
                <w:p>
                  <w:pPr>
                    <w:spacing w:line="300" w:lineRule="exact"/>
                    <w:jc w:val="center"/>
                    <w:rPr>
                      <w:color w:val="auto"/>
                      <w:szCs w:val="21"/>
                    </w:rPr>
                  </w:pPr>
                  <w:r>
                    <w:rPr>
                      <w:color w:val="auto"/>
                      <w:szCs w:val="21"/>
                    </w:rPr>
                    <w:t>4</w:t>
                  </w:r>
                </w:p>
              </w:tc>
              <w:tc>
                <w:tcPr>
                  <w:tcW w:w="1155" w:type="dxa"/>
                  <w:tcBorders>
                    <w:tl2br w:val="nil"/>
                    <w:tr2bl w:val="nil"/>
                  </w:tcBorders>
                  <w:vAlign w:val="center"/>
                </w:tcPr>
                <w:p>
                  <w:pPr>
                    <w:spacing w:line="300" w:lineRule="exact"/>
                    <w:jc w:val="center"/>
                    <w:rPr>
                      <w:color w:val="auto"/>
                      <w:szCs w:val="21"/>
                    </w:rPr>
                  </w:pPr>
                  <w:r>
                    <w:rPr>
                      <w:color w:val="auto"/>
                      <w:szCs w:val="21"/>
                    </w:rPr>
                    <w:t>硫黄</w:t>
                  </w:r>
                </w:p>
              </w:tc>
              <w:tc>
                <w:tcPr>
                  <w:tcW w:w="6334" w:type="dxa"/>
                  <w:tcBorders>
                    <w:tl2br w:val="nil"/>
                    <w:tr2bl w:val="nil"/>
                  </w:tcBorders>
                  <w:vAlign w:val="center"/>
                </w:tcPr>
                <w:p>
                  <w:pPr>
                    <w:spacing w:line="300" w:lineRule="exact"/>
                    <w:ind w:firstLine="420" w:firstLineChars="200"/>
                    <w:jc w:val="left"/>
                    <w:rPr>
                      <w:color w:val="auto"/>
                      <w:szCs w:val="21"/>
                    </w:rPr>
                  </w:pPr>
                  <w:r>
                    <w:rPr>
                      <w:color w:val="auto"/>
                      <w:szCs w:val="21"/>
                    </w:rPr>
                    <w:t>物化性质：常温下化合力较迟钝，但在高温下则反应非常活跃，几乎能与金、白金以外的所有金属及氢化合而成硫化物。此外还能与氧、碳、卤素等化合。相对密度2.06；熔点112.8℃；沸点444.6℃。几乎不溶于水，微溶于乙醚、乙醇、苯、甘油，极易溶于氧化硫、二氧化碳。</w:t>
                  </w:r>
                </w:p>
                <w:p>
                  <w:pPr>
                    <w:spacing w:line="300" w:lineRule="exact"/>
                    <w:ind w:firstLine="420" w:firstLineChars="200"/>
                    <w:jc w:val="left"/>
                    <w:rPr>
                      <w:color w:val="auto"/>
                      <w:szCs w:val="21"/>
                    </w:rPr>
                  </w:pPr>
                  <w:r>
                    <w:rPr>
                      <w:color w:val="auto"/>
                      <w:szCs w:val="21"/>
                    </w:rPr>
                    <w:t>危险特性：粉尘或蒸气与空气或氧化剂混合形成爆炸性混合物。闪点207℃，自燃点232℃。空气中含量达35g/m</w:t>
                  </w:r>
                  <w:r>
                    <w:rPr>
                      <w:color w:val="auto"/>
                      <w:szCs w:val="21"/>
                      <w:vertAlign w:val="superscript"/>
                    </w:rPr>
                    <w:t>3</w:t>
                  </w:r>
                  <w:r>
                    <w:rPr>
                      <w:color w:val="auto"/>
                      <w:szCs w:val="21"/>
                    </w:rPr>
                    <w:t>以上即具燃烧性。与卤素、金属粉等接触剧烈反应。硫黄为不良导体，在运输或储存时易产生静电荷，可导致硫尘起火，硫黄堆放场所的意外火灾是颇为多见且是一种事故隐患，因为火被扑灭后，可能会复燃。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86" w:type="dxa"/>
                  <w:tcBorders>
                    <w:tl2br w:val="nil"/>
                    <w:tr2bl w:val="nil"/>
                  </w:tcBorders>
                  <w:vAlign w:val="center"/>
                </w:tcPr>
                <w:p>
                  <w:pPr>
                    <w:spacing w:line="300" w:lineRule="exact"/>
                    <w:jc w:val="center"/>
                    <w:rPr>
                      <w:color w:val="auto"/>
                      <w:szCs w:val="21"/>
                    </w:rPr>
                  </w:pPr>
                  <w:r>
                    <w:rPr>
                      <w:color w:val="auto"/>
                      <w:szCs w:val="21"/>
                    </w:rPr>
                    <w:t>5</w:t>
                  </w:r>
                </w:p>
              </w:tc>
              <w:tc>
                <w:tcPr>
                  <w:tcW w:w="1155" w:type="dxa"/>
                  <w:tcBorders>
                    <w:tl2br w:val="nil"/>
                    <w:tr2bl w:val="nil"/>
                  </w:tcBorders>
                  <w:vAlign w:val="center"/>
                </w:tcPr>
                <w:p>
                  <w:pPr>
                    <w:spacing w:line="300" w:lineRule="exact"/>
                    <w:jc w:val="center"/>
                    <w:rPr>
                      <w:color w:val="auto"/>
                      <w:szCs w:val="21"/>
                    </w:rPr>
                  </w:pPr>
                  <w:r>
                    <w:rPr>
                      <w:color w:val="auto"/>
                      <w:szCs w:val="21"/>
                    </w:rPr>
                    <w:t>铝粉</w:t>
                  </w:r>
                </w:p>
              </w:tc>
              <w:tc>
                <w:tcPr>
                  <w:tcW w:w="6334" w:type="dxa"/>
                  <w:tcBorders>
                    <w:tl2br w:val="nil"/>
                    <w:tr2bl w:val="nil"/>
                  </w:tcBorders>
                  <w:vAlign w:val="center"/>
                </w:tcPr>
                <w:p>
                  <w:pPr>
                    <w:spacing w:line="300" w:lineRule="exact"/>
                    <w:ind w:firstLine="420" w:firstLineChars="200"/>
                    <w:jc w:val="left"/>
                    <w:rPr>
                      <w:color w:val="auto"/>
                      <w:szCs w:val="21"/>
                    </w:rPr>
                  </w:pPr>
                  <w:r>
                    <w:rPr>
                      <w:color w:val="auto"/>
                      <w:szCs w:val="21"/>
                    </w:rPr>
                    <w:t>物化性质：银白色至银灰色和黑灰色两种。质地轻、浮力高、遮盖力强，稳定性好，反射光和热性能好。相对密度2.70，熔点660.4℃，沸点2060℃，一般粒度越细、颜色越深，活性铝越少，溶于稀盐酸、硫酸、氢氧化钾及氢氧化钠水溶液，同时产生氢气，不溶于浓硫酸或浓醋酸。</w:t>
                  </w:r>
                </w:p>
                <w:p>
                  <w:pPr>
                    <w:spacing w:line="300" w:lineRule="exact"/>
                    <w:ind w:firstLine="420" w:firstLineChars="200"/>
                    <w:jc w:val="left"/>
                    <w:rPr>
                      <w:color w:val="auto"/>
                      <w:szCs w:val="21"/>
                    </w:rPr>
                  </w:pPr>
                  <w:r>
                    <w:rPr>
                      <w:color w:val="auto"/>
                      <w:szCs w:val="21"/>
                    </w:rPr>
                    <w:t>危险特性：大量粉尘遇潮湿、水蒸气能自燃，与氧化剂混合能形成爆炸性混合物，与氟、氯等接触会发生剧烈的化学反应，与酸类或强碱接触也能产生氢气，引起燃烧爆炸。粉体与空气可形成爆炸性混合物，当达到一定浓度时，遇火星会发生爆炸。</w:t>
                  </w:r>
                </w:p>
                <w:p>
                  <w:pPr>
                    <w:spacing w:line="300" w:lineRule="exact"/>
                    <w:ind w:firstLine="420" w:firstLineChars="200"/>
                    <w:jc w:val="left"/>
                    <w:rPr>
                      <w:color w:val="auto"/>
                      <w:szCs w:val="21"/>
                    </w:rPr>
                  </w:pPr>
                  <w:r>
                    <w:rPr>
                      <w:color w:val="auto"/>
                      <w:szCs w:val="21"/>
                    </w:rPr>
                    <w:t>燃烧（分解）产物：氧化铝。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86" w:type="dxa"/>
                  <w:tcBorders>
                    <w:tl2br w:val="nil"/>
                    <w:tr2bl w:val="nil"/>
                  </w:tcBorders>
                  <w:vAlign w:val="center"/>
                </w:tcPr>
                <w:p>
                  <w:pPr>
                    <w:spacing w:line="300" w:lineRule="exact"/>
                    <w:jc w:val="center"/>
                    <w:rPr>
                      <w:color w:val="auto"/>
                      <w:szCs w:val="21"/>
                    </w:rPr>
                  </w:pPr>
                  <w:r>
                    <w:rPr>
                      <w:color w:val="auto"/>
                      <w:szCs w:val="21"/>
                    </w:rPr>
                    <w:t>6</w:t>
                  </w:r>
                </w:p>
              </w:tc>
              <w:tc>
                <w:tcPr>
                  <w:tcW w:w="1155" w:type="dxa"/>
                  <w:tcBorders>
                    <w:tl2br w:val="nil"/>
                    <w:tr2bl w:val="nil"/>
                  </w:tcBorders>
                  <w:vAlign w:val="center"/>
                </w:tcPr>
                <w:p>
                  <w:pPr>
                    <w:spacing w:line="300" w:lineRule="exact"/>
                    <w:jc w:val="center"/>
                    <w:rPr>
                      <w:color w:val="auto"/>
                      <w:szCs w:val="21"/>
                    </w:rPr>
                  </w:pPr>
                  <w:r>
                    <w:rPr>
                      <w:color w:val="auto"/>
                      <w:szCs w:val="21"/>
                    </w:rPr>
                    <w:t>镁铝粉</w:t>
                  </w:r>
                </w:p>
              </w:tc>
              <w:tc>
                <w:tcPr>
                  <w:tcW w:w="6334" w:type="dxa"/>
                  <w:tcBorders>
                    <w:tl2br w:val="nil"/>
                    <w:tr2bl w:val="nil"/>
                  </w:tcBorders>
                  <w:vAlign w:val="center"/>
                </w:tcPr>
                <w:p>
                  <w:pPr>
                    <w:spacing w:line="300" w:lineRule="exact"/>
                    <w:ind w:firstLine="420" w:firstLineChars="200"/>
                    <w:jc w:val="left"/>
                    <w:rPr>
                      <w:color w:val="auto"/>
                      <w:szCs w:val="21"/>
                    </w:rPr>
                  </w:pPr>
                  <w:r>
                    <w:rPr>
                      <w:color w:val="auto"/>
                      <w:szCs w:val="21"/>
                    </w:rPr>
                    <w:t>镁的熔点为651℃，沸点为1107℃。镁的蒸气压很高，627℃时为215215.95Pa，727℃时为1037.1Pa，因此镁铍极易挥发。镁原子最外层的两个电子很易失去，是很活泼的金属。常温下镁能与F、CL、BR、I等元素作用生成相应化合物。加热时镁能与硫、氮作用生成MgS和MgN。在空气中镁会慢慢氧化，失去银白光泽而变黑。若温度提高至400℃以上，镁的氧化速度增快，超过500℃以后氧化速度更快，会着火燃烧，此时会生成氧化镁和少量氮化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86" w:type="dxa"/>
                  <w:tcBorders>
                    <w:tl2br w:val="nil"/>
                    <w:tr2bl w:val="nil"/>
                  </w:tcBorders>
                  <w:vAlign w:val="center"/>
                </w:tcPr>
                <w:p>
                  <w:pPr>
                    <w:spacing w:line="300" w:lineRule="exact"/>
                    <w:jc w:val="center"/>
                    <w:rPr>
                      <w:color w:val="auto"/>
                      <w:szCs w:val="21"/>
                    </w:rPr>
                  </w:pPr>
                  <w:r>
                    <w:rPr>
                      <w:color w:val="auto"/>
                      <w:szCs w:val="21"/>
                    </w:rPr>
                    <w:t>7</w:t>
                  </w:r>
                </w:p>
              </w:tc>
              <w:tc>
                <w:tcPr>
                  <w:tcW w:w="1155" w:type="dxa"/>
                  <w:tcBorders>
                    <w:tl2br w:val="nil"/>
                    <w:tr2bl w:val="nil"/>
                  </w:tcBorders>
                  <w:vAlign w:val="center"/>
                </w:tcPr>
                <w:p>
                  <w:pPr>
                    <w:spacing w:line="300" w:lineRule="exact"/>
                    <w:jc w:val="center"/>
                    <w:rPr>
                      <w:color w:val="auto"/>
                      <w:szCs w:val="21"/>
                    </w:rPr>
                  </w:pPr>
                  <w:r>
                    <w:rPr>
                      <w:color w:val="auto"/>
                      <w:szCs w:val="21"/>
                    </w:rPr>
                    <w:t>碳酸锶</w:t>
                  </w:r>
                </w:p>
              </w:tc>
              <w:tc>
                <w:tcPr>
                  <w:tcW w:w="6334" w:type="dxa"/>
                  <w:tcBorders>
                    <w:tl2br w:val="nil"/>
                    <w:tr2bl w:val="nil"/>
                  </w:tcBorders>
                  <w:vAlign w:val="center"/>
                </w:tcPr>
                <w:p>
                  <w:pPr>
                    <w:spacing w:line="300" w:lineRule="exact"/>
                    <w:ind w:firstLine="420" w:firstLineChars="200"/>
                    <w:jc w:val="left"/>
                    <w:rPr>
                      <w:color w:val="auto"/>
                      <w:szCs w:val="21"/>
                    </w:rPr>
                  </w:pPr>
                  <w:r>
                    <w:rPr>
                      <w:color w:val="auto"/>
                      <w:szCs w:val="21"/>
                    </w:rPr>
                    <w:t>碳酸锶是一种无机化合物，化学式为SrCO</w:t>
                  </w:r>
                  <w:r>
                    <w:rPr>
                      <w:color w:val="auto"/>
                      <w:szCs w:val="21"/>
                      <w:vertAlign w:val="subscript"/>
                    </w:rPr>
                    <w:t>3</w:t>
                  </w:r>
                  <w:r>
                    <w:rPr>
                      <w:color w:val="auto"/>
                      <w:szCs w:val="21"/>
                    </w:rPr>
                    <w:t>，白色粉末或颗粒、无臭无味。主要用于玻壳玻璃，磁性材料，金属冶炼，锶盐制备，电子元件，焰火。</w:t>
                  </w:r>
                </w:p>
              </w:tc>
            </w:tr>
          </w:tbl>
          <w:p>
            <w:pPr>
              <w:spacing w:line="520" w:lineRule="exact"/>
              <w:ind w:firstLine="480" w:firstLineChars="200"/>
              <w:rPr>
                <w:color w:val="auto"/>
                <w:sz w:val="24"/>
              </w:rPr>
            </w:pPr>
            <w:r>
              <w:rPr>
                <w:color w:val="auto"/>
                <w:sz w:val="24"/>
              </w:rPr>
              <w:t>（4）存储期限和周转情况</w:t>
            </w:r>
          </w:p>
          <w:p>
            <w:pPr>
              <w:spacing w:line="520" w:lineRule="exact"/>
              <w:ind w:firstLine="480" w:firstLineChars="200"/>
              <w:rPr>
                <w:color w:val="auto"/>
                <w:sz w:val="24"/>
              </w:rPr>
            </w:pPr>
            <w:r>
              <w:rPr>
                <w:color w:val="auto"/>
                <w:sz w:val="24"/>
              </w:rPr>
              <w:t>根据企业设计资料，烟花爆竹仓库内C级和D级烟花爆竹存储期限为1年，烟花、爆竹最大储存量各为10t，年周转量即为最大储存量。</w:t>
            </w:r>
          </w:p>
          <w:p>
            <w:pPr>
              <w:numPr>
                <w:ilvl w:val="0"/>
                <w:numId w:val="6"/>
              </w:numPr>
              <w:spacing w:line="520" w:lineRule="exact"/>
              <w:ind w:firstLine="480" w:firstLineChars="200"/>
              <w:rPr>
                <w:color w:val="auto"/>
                <w:sz w:val="24"/>
              </w:rPr>
            </w:pPr>
            <w:r>
              <w:rPr>
                <w:color w:val="auto"/>
                <w:sz w:val="24"/>
              </w:rPr>
              <w:t>烟花爆竹的储存要求</w:t>
            </w:r>
          </w:p>
          <w:p>
            <w:pPr>
              <w:spacing w:line="520" w:lineRule="exact"/>
              <w:ind w:firstLine="480" w:firstLineChars="200"/>
              <w:rPr>
                <w:color w:val="auto"/>
                <w:sz w:val="24"/>
              </w:rPr>
            </w:pPr>
            <w:r>
              <w:rPr>
                <w:color w:val="auto"/>
                <w:sz w:val="24"/>
              </w:rPr>
              <w:t>①对入库烟花爆竹进行检查，满足入库条件的烟花爆竹入库储存，不满足入库条件的烟花爆竹退回供应商。</w:t>
            </w:r>
          </w:p>
          <w:p>
            <w:pPr>
              <w:spacing w:line="520" w:lineRule="exact"/>
              <w:ind w:firstLine="480" w:firstLineChars="200"/>
              <w:rPr>
                <w:color w:val="auto"/>
                <w:sz w:val="24"/>
              </w:rPr>
            </w:pPr>
            <w:r>
              <w:rPr>
                <w:color w:val="auto"/>
                <w:sz w:val="24"/>
              </w:rPr>
              <w:t>②控制好温度和湿度。储存仓库的温度应控制在-20℃～45℃，湿度控制在50%～85%范围内，对于特别敏感的产品，可能需要更严格的温湿度控制，应配备温湿度计，并每天进行检测记录。在夏季等高温季节，应采取降温措施，在雨季等潮湿季节，应加强防潮措施，</w:t>
            </w:r>
            <w:r>
              <w:rPr>
                <w:rFonts w:hint="eastAsia"/>
                <w:color w:val="auto"/>
                <w:sz w:val="24"/>
              </w:rPr>
              <w:t>仓库</w:t>
            </w:r>
            <w:r>
              <w:rPr>
                <w:color w:val="auto"/>
                <w:sz w:val="24"/>
              </w:rPr>
              <w:t>要根据温、湿度情况，加强通风。</w:t>
            </w:r>
          </w:p>
          <w:p>
            <w:pPr>
              <w:spacing w:line="520" w:lineRule="exact"/>
              <w:ind w:firstLine="480" w:firstLineChars="200"/>
              <w:rPr>
                <w:color w:val="auto"/>
                <w:sz w:val="24"/>
              </w:rPr>
            </w:pPr>
            <w:r>
              <w:rPr>
                <w:color w:val="auto"/>
                <w:sz w:val="24"/>
              </w:rPr>
              <w:t>③防止虫蛀鼠咬和各种火源。烟花爆竹在库存过程中，</w:t>
            </w:r>
            <w:r>
              <w:rPr>
                <w:rFonts w:hint="eastAsia"/>
                <w:color w:val="auto"/>
                <w:sz w:val="24"/>
              </w:rPr>
              <w:t>仓库</w:t>
            </w:r>
            <w:r>
              <w:rPr>
                <w:color w:val="auto"/>
                <w:sz w:val="24"/>
              </w:rPr>
              <w:t>内若有老鼠应及时扑杀灭净。因为老鼠喜欢啃咬花炮和粉珠，特别是有浆糊的烟火药和花炮，会引起着火和爆炸。同时，仓库应严禁烟火，不得穿带钉子的鞋入库，严禁在</w:t>
            </w:r>
            <w:r>
              <w:rPr>
                <w:rFonts w:hint="eastAsia"/>
                <w:color w:val="auto"/>
                <w:sz w:val="24"/>
              </w:rPr>
              <w:t>仓库</w:t>
            </w:r>
            <w:r>
              <w:rPr>
                <w:color w:val="auto"/>
                <w:sz w:val="24"/>
              </w:rPr>
              <w:t>内拆包、封装、修理等，并不得使用可产生火花的工具。</w:t>
            </w:r>
          </w:p>
          <w:p>
            <w:pPr>
              <w:spacing w:line="520" w:lineRule="exact"/>
              <w:ind w:firstLine="480" w:firstLineChars="200"/>
              <w:rPr>
                <w:color w:val="auto"/>
                <w:sz w:val="24"/>
              </w:rPr>
            </w:pPr>
            <w:r>
              <w:rPr>
                <w:color w:val="auto"/>
                <w:sz w:val="24"/>
              </w:rPr>
              <w:t>④不要储存过期的烟花爆竹。在正常情况下，烟花爆竹的保质期限为3年，过期应及时销毁。</w:t>
            </w:r>
          </w:p>
          <w:p>
            <w:pPr>
              <w:spacing w:line="520" w:lineRule="exact"/>
              <w:ind w:firstLine="482" w:firstLineChars="200"/>
              <w:contextualSpacing/>
              <w:rPr>
                <w:b/>
                <w:bCs/>
                <w:color w:val="auto"/>
                <w:sz w:val="24"/>
              </w:rPr>
            </w:pPr>
            <w:r>
              <w:rPr>
                <w:b/>
                <w:bCs/>
                <w:color w:val="auto"/>
                <w:sz w:val="24"/>
              </w:rPr>
              <w:t>2.4公用工程</w:t>
            </w:r>
          </w:p>
          <w:p>
            <w:pPr>
              <w:spacing w:line="520" w:lineRule="exact"/>
              <w:ind w:firstLine="480" w:firstLineChars="200"/>
              <w:rPr>
                <w:color w:val="auto"/>
                <w:sz w:val="24"/>
              </w:rPr>
            </w:pPr>
            <w:r>
              <w:rPr>
                <w:color w:val="auto"/>
                <w:sz w:val="24"/>
              </w:rPr>
              <w:t>（1）给水</w:t>
            </w:r>
          </w:p>
          <w:p>
            <w:pPr>
              <w:spacing w:line="520" w:lineRule="exact"/>
              <w:ind w:firstLine="480" w:firstLineChars="200"/>
              <w:rPr>
                <w:color w:val="auto"/>
                <w:sz w:val="24"/>
              </w:rPr>
            </w:pPr>
            <w:r>
              <w:rPr>
                <w:color w:val="auto"/>
                <w:sz w:val="24"/>
              </w:rPr>
              <w:t>项目主要用水为生活用水、绿化用水、消防用水，用水均由附近供水管网提供。</w:t>
            </w:r>
          </w:p>
          <w:p>
            <w:pPr>
              <w:spacing w:line="360" w:lineRule="auto"/>
              <w:ind w:firstLine="480" w:firstLineChars="200"/>
              <w:rPr>
                <w:color w:val="auto"/>
                <w:sz w:val="24"/>
              </w:rPr>
            </w:pPr>
            <w:r>
              <w:rPr>
                <w:color w:val="auto"/>
                <w:sz w:val="24"/>
              </w:rPr>
              <w:t>生活用水：本项目设计劳动定员</w:t>
            </w:r>
            <w:r>
              <w:rPr>
                <w:rFonts w:hint="eastAsia"/>
                <w:color w:val="auto"/>
                <w:sz w:val="24"/>
              </w:rPr>
              <w:t>7</w:t>
            </w:r>
            <w:r>
              <w:rPr>
                <w:color w:val="auto"/>
                <w:sz w:val="24"/>
              </w:rPr>
              <w:t>人，</w:t>
            </w:r>
            <w:r>
              <w:rPr>
                <w:rFonts w:hint="eastAsia"/>
                <w:color w:val="auto"/>
                <w:sz w:val="24"/>
              </w:rPr>
              <w:t>其中5人为装卸司机（</w:t>
            </w:r>
            <w:r>
              <w:rPr>
                <w:color w:val="auto"/>
                <w:sz w:val="24"/>
              </w:rPr>
              <w:t>不在厂区内食宿</w:t>
            </w:r>
            <w:r>
              <w:rPr>
                <w:rFonts w:hint="eastAsia"/>
                <w:color w:val="auto"/>
                <w:sz w:val="24"/>
              </w:rPr>
              <w:t>），2人为门卫</w:t>
            </w:r>
            <w:r>
              <w:rPr>
                <w:color w:val="auto"/>
                <w:sz w:val="24"/>
              </w:rPr>
              <w:t>在厂区内住宿（项目区不设置食堂）</w:t>
            </w:r>
            <w:r>
              <w:rPr>
                <w:rFonts w:hint="eastAsia"/>
                <w:color w:val="auto"/>
                <w:sz w:val="24"/>
              </w:rPr>
              <w:t>，项目</w:t>
            </w:r>
            <w:r>
              <w:rPr>
                <w:color w:val="auto"/>
                <w:sz w:val="24"/>
              </w:rPr>
              <w:t>年运行时长365d，</w:t>
            </w:r>
            <w:r>
              <w:rPr>
                <w:rFonts w:hint="eastAsia" w:eastAsiaTheme="minorEastAsia"/>
                <w:color w:val="auto"/>
                <w:sz w:val="24"/>
              </w:rPr>
              <w:t>本次按照2人排水量计算，</w:t>
            </w:r>
            <w:r>
              <w:rPr>
                <w:color w:val="auto"/>
                <w:sz w:val="24"/>
              </w:rPr>
              <w:t>生活用水参照《新疆维吾尔自治区生活用水定额标准》，确定用水量按80L/人·d计，则生活用水量为0.</w:t>
            </w:r>
            <w:r>
              <w:rPr>
                <w:rFonts w:hint="eastAsia"/>
                <w:color w:val="auto"/>
                <w:sz w:val="24"/>
              </w:rPr>
              <w:t>16</w:t>
            </w:r>
            <w:r>
              <w:rPr>
                <w:color w:val="auto"/>
                <w:sz w:val="24"/>
              </w:rPr>
              <w:t>m</w:t>
            </w:r>
            <w:r>
              <w:rPr>
                <w:color w:val="auto"/>
                <w:sz w:val="24"/>
                <w:vertAlign w:val="superscript"/>
              </w:rPr>
              <w:t>3</w:t>
            </w:r>
            <w:r>
              <w:rPr>
                <w:color w:val="auto"/>
                <w:sz w:val="24"/>
              </w:rPr>
              <w:t>/d（</w:t>
            </w:r>
            <w:r>
              <w:rPr>
                <w:rFonts w:hint="eastAsia"/>
                <w:color w:val="auto"/>
                <w:sz w:val="24"/>
              </w:rPr>
              <w:t>58.4</w:t>
            </w:r>
            <w:r>
              <w:rPr>
                <w:color w:val="auto"/>
                <w:sz w:val="24"/>
              </w:rPr>
              <w:t>m</w:t>
            </w:r>
            <w:r>
              <w:rPr>
                <w:color w:val="auto"/>
                <w:sz w:val="24"/>
                <w:vertAlign w:val="superscript"/>
              </w:rPr>
              <w:t>3</w:t>
            </w:r>
            <w:r>
              <w:rPr>
                <w:color w:val="auto"/>
                <w:sz w:val="24"/>
              </w:rPr>
              <w:t>/a）。</w:t>
            </w:r>
          </w:p>
          <w:p>
            <w:pPr>
              <w:spacing w:line="360" w:lineRule="auto"/>
              <w:ind w:firstLine="480" w:firstLineChars="200"/>
              <w:rPr>
                <w:color w:val="auto"/>
                <w:sz w:val="24"/>
              </w:rPr>
            </w:pPr>
            <w:r>
              <w:rPr>
                <w:color w:val="auto"/>
                <w:sz w:val="24"/>
              </w:rPr>
              <w:t>绿化用水：项目设计绿地率7%，绿化面积为450m</w:t>
            </w:r>
            <w:r>
              <w:rPr>
                <w:color w:val="auto"/>
                <w:sz w:val="24"/>
                <w:vertAlign w:val="superscript"/>
              </w:rPr>
              <w:t>2</w:t>
            </w:r>
            <w:r>
              <w:rPr>
                <w:color w:val="auto"/>
                <w:sz w:val="24"/>
              </w:rPr>
              <w:t>，绿化面积按600m</w:t>
            </w:r>
            <w:r>
              <w:rPr>
                <w:color w:val="auto"/>
                <w:sz w:val="24"/>
                <w:vertAlign w:val="superscript"/>
              </w:rPr>
              <w:t>3</w:t>
            </w:r>
            <w:r>
              <w:rPr>
                <w:color w:val="auto"/>
                <w:sz w:val="24"/>
              </w:rPr>
              <w:t>/亩·a，则绿化用水量为405m</w:t>
            </w:r>
            <w:r>
              <w:rPr>
                <w:color w:val="auto"/>
                <w:sz w:val="24"/>
                <w:vertAlign w:val="superscript"/>
              </w:rPr>
              <w:t>3</w:t>
            </w:r>
            <w:r>
              <w:rPr>
                <w:color w:val="auto"/>
                <w:sz w:val="24"/>
              </w:rPr>
              <w:t>/a。</w:t>
            </w:r>
          </w:p>
          <w:p>
            <w:pPr>
              <w:spacing w:line="360" w:lineRule="auto"/>
              <w:ind w:firstLine="480" w:firstLineChars="200"/>
              <w:rPr>
                <w:color w:val="auto"/>
                <w:sz w:val="24"/>
              </w:rPr>
            </w:pPr>
            <w:r>
              <w:rPr>
                <w:color w:val="auto"/>
                <w:sz w:val="24"/>
              </w:rPr>
              <w:t>消防用水：项目消防水池容积为400m</w:t>
            </w:r>
            <w:r>
              <w:rPr>
                <w:color w:val="auto"/>
                <w:sz w:val="24"/>
                <w:vertAlign w:val="superscript"/>
              </w:rPr>
              <w:t>3</w:t>
            </w:r>
            <w:r>
              <w:rPr>
                <w:color w:val="auto"/>
                <w:sz w:val="24"/>
              </w:rPr>
              <w:t>，一次性注满。</w:t>
            </w:r>
          </w:p>
          <w:p>
            <w:pPr>
              <w:spacing w:line="360" w:lineRule="auto"/>
              <w:ind w:firstLine="480" w:firstLineChars="200"/>
              <w:rPr>
                <w:color w:val="auto"/>
                <w:sz w:val="24"/>
              </w:rPr>
            </w:pPr>
            <w:r>
              <w:rPr>
                <w:color w:val="auto"/>
                <w:sz w:val="24"/>
              </w:rPr>
              <w:t>综上所述，项目运营期年用水量为</w:t>
            </w:r>
            <w:r>
              <w:rPr>
                <w:rFonts w:hint="eastAsia"/>
                <w:color w:val="auto"/>
                <w:sz w:val="24"/>
              </w:rPr>
              <w:t>863.4</w:t>
            </w:r>
            <w:r>
              <w:rPr>
                <w:color w:val="auto"/>
                <w:sz w:val="24"/>
              </w:rPr>
              <w:t>m</w:t>
            </w:r>
            <w:r>
              <w:rPr>
                <w:color w:val="auto"/>
                <w:sz w:val="24"/>
                <w:vertAlign w:val="superscript"/>
              </w:rPr>
              <w:t>3</w:t>
            </w:r>
            <w:r>
              <w:rPr>
                <w:color w:val="auto"/>
                <w:sz w:val="24"/>
              </w:rPr>
              <w:t>/a。</w:t>
            </w:r>
          </w:p>
          <w:p>
            <w:pPr>
              <w:spacing w:line="360" w:lineRule="auto"/>
              <w:ind w:firstLine="480" w:firstLineChars="200"/>
              <w:rPr>
                <w:color w:val="auto"/>
                <w:sz w:val="24"/>
              </w:rPr>
            </w:pPr>
            <w:r>
              <w:rPr>
                <w:color w:val="auto"/>
                <w:sz w:val="24"/>
              </w:rPr>
              <w:t>（2）排水</w:t>
            </w:r>
          </w:p>
          <w:p>
            <w:pPr>
              <w:spacing w:line="360" w:lineRule="auto"/>
              <w:ind w:firstLine="480" w:firstLineChars="200"/>
              <w:rPr>
                <w:color w:val="auto"/>
                <w:sz w:val="24"/>
              </w:rPr>
            </w:pPr>
            <w:r>
              <w:rPr>
                <w:color w:val="auto"/>
                <w:sz w:val="24"/>
              </w:rPr>
              <w:t>项目运营过程中排水主要为生活污水，生活污水的产生量按用水量的80%计，则生活污水的产生量为0.</w:t>
            </w:r>
            <w:r>
              <w:rPr>
                <w:rFonts w:hint="eastAsia"/>
                <w:color w:val="auto"/>
                <w:sz w:val="24"/>
              </w:rPr>
              <w:t>128</w:t>
            </w:r>
            <w:r>
              <w:rPr>
                <w:color w:val="auto"/>
                <w:sz w:val="24"/>
              </w:rPr>
              <w:t>m</w:t>
            </w:r>
            <w:r>
              <w:rPr>
                <w:color w:val="auto"/>
                <w:sz w:val="24"/>
                <w:vertAlign w:val="superscript"/>
              </w:rPr>
              <w:t>3</w:t>
            </w:r>
            <w:r>
              <w:rPr>
                <w:color w:val="auto"/>
                <w:sz w:val="24"/>
              </w:rPr>
              <w:t>/d（</w:t>
            </w:r>
            <w:r>
              <w:rPr>
                <w:rFonts w:hint="eastAsia"/>
                <w:color w:val="auto"/>
                <w:sz w:val="24"/>
              </w:rPr>
              <w:t>46.72</w:t>
            </w:r>
            <w:r>
              <w:rPr>
                <w:color w:val="auto"/>
                <w:sz w:val="24"/>
              </w:rPr>
              <w:t>m</w:t>
            </w:r>
            <w:r>
              <w:rPr>
                <w:color w:val="auto"/>
                <w:sz w:val="24"/>
                <w:vertAlign w:val="superscript"/>
              </w:rPr>
              <w:t>3</w:t>
            </w:r>
            <w:r>
              <w:rPr>
                <w:color w:val="auto"/>
                <w:sz w:val="24"/>
              </w:rPr>
              <w:t>/a），此部分生活污水排入防渗化粪池内暂存（</w:t>
            </w:r>
            <w:r>
              <w:rPr>
                <w:rFonts w:hint="eastAsia"/>
                <w:color w:val="auto"/>
                <w:sz w:val="24"/>
              </w:rPr>
              <w:t>27</w:t>
            </w:r>
            <w:r>
              <w:rPr>
                <w:color w:val="auto"/>
                <w:sz w:val="24"/>
              </w:rPr>
              <w:t>m</w:t>
            </w:r>
            <w:r>
              <w:rPr>
                <w:color w:val="auto"/>
                <w:sz w:val="24"/>
                <w:vertAlign w:val="superscript"/>
              </w:rPr>
              <w:t>3</w:t>
            </w:r>
            <w:r>
              <w:rPr>
                <w:color w:val="auto"/>
                <w:sz w:val="24"/>
              </w:rPr>
              <w:t>），定期拉运至尉犁县城镇污水处理厂处置。</w:t>
            </w:r>
          </w:p>
          <w:p>
            <w:pPr>
              <w:pStyle w:val="54"/>
              <w:ind w:firstLine="0" w:firstLineChars="0"/>
              <w:jc w:val="center"/>
              <w:rPr>
                <w:color w:val="auto"/>
              </w:rPr>
            </w:pPr>
            <w:r>
              <w:rPr>
                <w:color w:val="auto"/>
              </w:rPr>
              <w:drawing>
                <wp:inline distT="0" distB="0" distL="114300" distR="114300">
                  <wp:extent cx="4204335" cy="2136140"/>
                  <wp:effectExtent l="0" t="0" r="5715" b="1651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stretch>
                            <a:fillRect/>
                          </a:stretch>
                        </pic:blipFill>
                        <pic:spPr>
                          <a:xfrm>
                            <a:off x="0" y="0"/>
                            <a:ext cx="4204335" cy="2136140"/>
                          </a:xfrm>
                          <a:prstGeom prst="rect">
                            <a:avLst/>
                          </a:prstGeom>
                          <a:noFill/>
                          <a:ln>
                            <a:noFill/>
                          </a:ln>
                        </pic:spPr>
                      </pic:pic>
                    </a:graphicData>
                  </a:graphic>
                </wp:inline>
              </w:drawing>
            </w:r>
          </w:p>
          <w:p>
            <w:pPr>
              <w:pStyle w:val="52"/>
              <w:rPr>
                <w:color w:val="auto"/>
              </w:rPr>
            </w:pPr>
            <w:r>
              <w:rPr>
                <w:color w:val="auto"/>
              </w:rPr>
              <w:t>图2-1  项目水平衡示意图  单位：（m</w:t>
            </w:r>
            <w:r>
              <w:rPr>
                <w:color w:val="auto"/>
                <w:vertAlign w:val="superscript"/>
              </w:rPr>
              <w:t>3</w:t>
            </w:r>
            <w:r>
              <w:rPr>
                <w:color w:val="auto"/>
              </w:rPr>
              <w:t>/a）</w:t>
            </w:r>
          </w:p>
          <w:p>
            <w:pPr>
              <w:spacing w:line="360" w:lineRule="auto"/>
              <w:ind w:firstLine="480" w:firstLineChars="200"/>
              <w:rPr>
                <w:color w:val="auto"/>
                <w:sz w:val="24"/>
              </w:rPr>
            </w:pPr>
            <w:r>
              <w:rPr>
                <w:color w:val="auto"/>
                <w:sz w:val="24"/>
              </w:rPr>
              <w:t>（3）供电</w:t>
            </w:r>
          </w:p>
          <w:p>
            <w:pPr>
              <w:spacing w:line="360" w:lineRule="auto"/>
              <w:ind w:firstLine="480" w:firstLineChars="200"/>
              <w:rPr>
                <w:color w:val="auto"/>
                <w:sz w:val="24"/>
              </w:rPr>
            </w:pPr>
            <w:r>
              <w:rPr>
                <w:color w:val="auto"/>
                <w:sz w:val="24"/>
              </w:rPr>
              <w:t>项目用电接入国家电网，可以满足本项目用电需求。</w:t>
            </w:r>
          </w:p>
          <w:p>
            <w:pPr>
              <w:spacing w:line="360" w:lineRule="auto"/>
              <w:ind w:firstLine="480" w:firstLineChars="200"/>
              <w:rPr>
                <w:color w:val="auto"/>
                <w:sz w:val="24"/>
              </w:rPr>
            </w:pPr>
            <w:r>
              <w:rPr>
                <w:color w:val="auto"/>
                <w:sz w:val="24"/>
              </w:rPr>
              <w:t>（4）供暖</w:t>
            </w:r>
          </w:p>
          <w:p>
            <w:pPr>
              <w:spacing w:line="360" w:lineRule="auto"/>
              <w:ind w:firstLine="480" w:firstLineChars="200"/>
              <w:rPr>
                <w:color w:val="auto"/>
                <w:sz w:val="24"/>
              </w:rPr>
            </w:pPr>
            <w:r>
              <w:rPr>
                <w:color w:val="auto"/>
                <w:sz w:val="24"/>
              </w:rPr>
              <w:t>项目烟花爆竹仓库不设采暖设施，值班人员冬季采用电采暖。</w:t>
            </w:r>
          </w:p>
          <w:p>
            <w:pPr>
              <w:spacing w:line="360" w:lineRule="auto"/>
              <w:ind w:firstLine="480" w:firstLineChars="200"/>
              <w:rPr>
                <w:color w:val="auto"/>
                <w:sz w:val="24"/>
              </w:rPr>
            </w:pPr>
            <w:r>
              <w:rPr>
                <w:color w:val="auto"/>
                <w:sz w:val="24"/>
              </w:rPr>
              <w:t>（5）交通运输</w:t>
            </w:r>
          </w:p>
          <w:p>
            <w:pPr>
              <w:spacing w:line="360" w:lineRule="auto"/>
              <w:ind w:firstLine="480" w:firstLineChars="200"/>
              <w:rPr>
                <w:color w:val="auto"/>
                <w:sz w:val="24"/>
              </w:rPr>
            </w:pPr>
            <w:r>
              <w:rPr>
                <w:color w:val="auto"/>
                <w:sz w:val="24"/>
              </w:rPr>
              <w:t>本项目主要运输危险货物烟花爆竹成品。项目涉及运输过程包括两个环节：一是建设单位作为买方，从生产厂家购进爆竹至库区，该环节运输由生产厂家负责委托有资质的单位与车辆运至库区；二是建设单位作为批发供货商，将厂区仓储的烟花爆竹出售给当地的零售商，该环节的运输由建设单位委托当地具有从事危险货物运输经营许可证的运输单位进行配送。</w:t>
            </w:r>
          </w:p>
          <w:p>
            <w:pPr>
              <w:spacing w:line="360" w:lineRule="auto"/>
              <w:ind w:firstLine="480" w:firstLineChars="200"/>
              <w:rPr>
                <w:color w:val="auto"/>
                <w:sz w:val="24"/>
              </w:rPr>
            </w:pPr>
            <w:r>
              <w:rPr>
                <w:color w:val="auto"/>
                <w:sz w:val="24"/>
              </w:rPr>
              <w:t>（6）消防设施</w:t>
            </w:r>
          </w:p>
          <w:p>
            <w:pPr>
              <w:spacing w:line="360" w:lineRule="auto"/>
              <w:ind w:firstLine="480" w:firstLineChars="200"/>
              <w:rPr>
                <w:color w:val="auto"/>
                <w:sz w:val="24"/>
              </w:rPr>
            </w:pPr>
            <w:r>
              <w:rPr>
                <w:color w:val="auto"/>
                <w:sz w:val="24"/>
              </w:rPr>
              <w:t>根据《烟花爆竹工程设计安全标准》（GB50161-2022）及《建筑设计防火规范（2018年版）》（GB5006-2014）相关要求，本项目最大建筑物1.3级烟花爆竹仓库建筑物的单栋面积为500m</w:t>
            </w:r>
            <w:r>
              <w:rPr>
                <w:color w:val="auto"/>
                <w:sz w:val="24"/>
                <w:vertAlign w:val="superscript"/>
              </w:rPr>
              <w:t>2</w:t>
            </w:r>
            <w:r>
              <w:rPr>
                <w:color w:val="auto"/>
                <w:sz w:val="24"/>
              </w:rPr>
              <w:t>，</w:t>
            </w:r>
            <w:bookmarkStart w:id="3" w:name="OLE_LINK9"/>
            <w:r>
              <w:rPr>
                <w:color w:val="auto"/>
                <w:sz w:val="24"/>
              </w:rPr>
              <w:t>消防用水量应按现行国家标准《建筑设计防火规范（2018年版）》（GB5006-2014）中甲类仓库的规定执行，消防设计流量为25L/s，火灾延续时间按3h计，则消防用水量为270m³。本项目设置消防水池400m³，可满足消防要求。</w:t>
            </w:r>
          </w:p>
          <w:p>
            <w:pPr>
              <w:spacing w:line="360" w:lineRule="auto"/>
              <w:ind w:firstLine="480" w:firstLineChars="200"/>
              <w:rPr>
                <w:color w:val="auto"/>
                <w:sz w:val="24"/>
              </w:rPr>
            </w:pPr>
            <w:r>
              <w:rPr>
                <w:rFonts w:hint="eastAsia"/>
                <w:color w:val="auto"/>
                <w:sz w:val="24"/>
              </w:rPr>
              <w:t>本项目消防水池在事故状态下用于收集事故废水，具体可行性为：</w:t>
            </w:r>
          </w:p>
          <w:p>
            <w:pPr>
              <w:pStyle w:val="47"/>
              <w:ind w:firstLine="480"/>
              <w:rPr>
                <w:color w:val="auto"/>
              </w:rPr>
            </w:pPr>
            <w:bookmarkStart w:id="4" w:name="_Hlk216710624"/>
            <w:r>
              <w:rPr>
                <w:rFonts w:hint="eastAsia"/>
                <w:color w:val="auto"/>
              </w:rPr>
              <w:t>本项目设置400m</w:t>
            </w:r>
            <w:r>
              <w:rPr>
                <w:rFonts w:hint="eastAsia"/>
                <w:color w:val="auto"/>
                <w:vertAlign w:val="superscript"/>
              </w:rPr>
              <w:t>3</w:t>
            </w:r>
            <w:r>
              <w:rPr>
                <w:rFonts w:hint="eastAsia"/>
                <w:color w:val="auto"/>
              </w:rPr>
              <w:t>消防水池，消防水池采用钢筋混凝土结构，抗腐蚀、抗冲击，符合消防事故池对废水储存的结构要求；同时设置独立的进水、出水、排空管道，消防用水管道与事故废水排放管道分开设置，加装阀门控制，避免消防用水与事故废水混流，保障消防用水水质不受污染。</w:t>
            </w:r>
          </w:p>
          <w:p>
            <w:pPr>
              <w:pStyle w:val="47"/>
              <w:ind w:firstLine="480"/>
              <w:rPr>
                <w:color w:val="auto"/>
              </w:rPr>
            </w:pPr>
            <w:r>
              <w:rPr>
                <w:rFonts w:hint="eastAsia"/>
                <w:color w:val="auto"/>
              </w:rPr>
              <w:t>正常状态下，消防水池储存消防用水，维持消防系统常备状态；发生火灾时，灭火用水使用消防储备水，火灾结束后，剩余消防废水（含现场冲洗水）通过导流沟汇入水池，切换为事故池功能，暂存后定期拉运至尉犁县城镇污水处理厂进行处理，实现“灭火-收集-处置”无缝衔接。</w:t>
            </w:r>
          </w:p>
          <w:p>
            <w:pPr>
              <w:spacing w:line="360" w:lineRule="auto"/>
              <w:ind w:firstLine="480" w:firstLineChars="200"/>
              <w:rPr>
                <w:color w:val="auto"/>
                <w:sz w:val="24"/>
              </w:rPr>
            </w:pPr>
            <w:r>
              <w:rPr>
                <w:rFonts w:hint="eastAsia"/>
                <w:color w:val="auto"/>
                <w:sz w:val="24"/>
              </w:rPr>
              <w:t>项目消防水池设置液位计、报警装置，实时监测水位，当水位低于消防储备水位时，自动补水；当水位高于消防储备水位（即储存事故废水时），触发报警，提醒工作人员及时处置废水，既保障消防用水储备，又防止废水溢出引发二次污染。</w:t>
            </w:r>
          </w:p>
          <w:bookmarkEnd w:id="3"/>
          <w:bookmarkEnd w:id="4"/>
          <w:p>
            <w:pPr>
              <w:pStyle w:val="52"/>
              <w:rPr>
                <w:color w:val="auto"/>
              </w:rPr>
            </w:pPr>
            <w:r>
              <w:rPr>
                <w:color w:val="auto"/>
              </w:rPr>
              <w:t>表2-6  主要消防设施一览表</w:t>
            </w:r>
          </w:p>
          <w:tbl>
            <w:tblPr>
              <w:tblStyle w:val="2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4093"/>
              <w:gridCol w:w="1025"/>
              <w:gridCol w:w="204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25" w:type="pct"/>
                  <w:tcBorders>
                    <w:tl2br w:val="nil"/>
                    <w:tr2bl w:val="nil"/>
                  </w:tcBorders>
                  <w:vAlign w:val="center"/>
                </w:tcPr>
                <w:p>
                  <w:pPr>
                    <w:pStyle w:val="56"/>
                    <w:adjustRightInd/>
                    <w:snapToGrid/>
                    <w:spacing w:line="300" w:lineRule="exact"/>
                    <w:ind w:left="0"/>
                    <w:rPr>
                      <w:color w:val="auto"/>
                    </w:rPr>
                  </w:pPr>
                  <w:r>
                    <w:rPr>
                      <w:color w:val="auto"/>
                    </w:rPr>
                    <w:t>序号</w:t>
                  </w:r>
                </w:p>
              </w:tc>
              <w:tc>
                <w:tcPr>
                  <w:tcW w:w="2500" w:type="pct"/>
                  <w:tcBorders>
                    <w:tl2br w:val="nil"/>
                    <w:tr2bl w:val="nil"/>
                  </w:tcBorders>
                  <w:vAlign w:val="center"/>
                </w:tcPr>
                <w:p>
                  <w:pPr>
                    <w:pStyle w:val="56"/>
                    <w:adjustRightInd/>
                    <w:snapToGrid/>
                    <w:spacing w:line="300" w:lineRule="exact"/>
                    <w:ind w:left="0"/>
                    <w:rPr>
                      <w:color w:val="auto"/>
                    </w:rPr>
                  </w:pPr>
                  <w:r>
                    <w:rPr>
                      <w:color w:val="auto"/>
                    </w:rPr>
                    <w:t>消防设施名称</w:t>
                  </w:r>
                </w:p>
              </w:tc>
              <w:tc>
                <w:tcPr>
                  <w:tcW w:w="626" w:type="pct"/>
                  <w:tcBorders>
                    <w:tl2br w:val="nil"/>
                    <w:tr2bl w:val="nil"/>
                  </w:tcBorders>
                  <w:vAlign w:val="center"/>
                </w:tcPr>
                <w:p>
                  <w:pPr>
                    <w:pStyle w:val="56"/>
                    <w:adjustRightInd/>
                    <w:snapToGrid/>
                    <w:spacing w:line="300" w:lineRule="exact"/>
                    <w:ind w:left="0"/>
                    <w:rPr>
                      <w:color w:val="auto"/>
                    </w:rPr>
                  </w:pPr>
                  <w:r>
                    <w:rPr>
                      <w:color w:val="auto"/>
                    </w:rPr>
                    <w:t>数量</w:t>
                  </w:r>
                </w:p>
              </w:tc>
              <w:tc>
                <w:tcPr>
                  <w:tcW w:w="1247" w:type="pct"/>
                  <w:tcBorders>
                    <w:tl2br w:val="nil"/>
                    <w:tr2bl w:val="nil"/>
                  </w:tcBorders>
                  <w:vAlign w:val="center"/>
                </w:tcPr>
                <w:p>
                  <w:pPr>
                    <w:pStyle w:val="56"/>
                    <w:adjustRightInd/>
                    <w:snapToGrid/>
                    <w:spacing w:line="300" w:lineRule="exact"/>
                    <w:ind w:left="0"/>
                    <w:rPr>
                      <w:color w:val="auto"/>
                    </w:rPr>
                  </w:pPr>
                  <w:r>
                    <w:rPr>
                      <w:color w:val="auto"/>
                    </w:rPr>
                    <w:t>型号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25" w:type="pct"/>
                  <w:tcBorders>
                    <w:tl2br w:val="nil"/>
                    <w:tr2bl w:val="nil"/>
                  </w:tcBorders>
                  <w:vAlign w:val="center"/>
                </w:tcPr>
                <w:p>
                  <w:pPr>
                    <w:pStyle w:val="56"/>
                    <w:adjustRightInd/>
                    <w:snapToGrid/>
                    <w:spacing w:line="300" w:lineRule="exact"/>
                    <w:ind w:left="0"/>
                    <w:rPr>
                      <w:color w:val="auto"/>
                    </w:rPr>
                  </w:pPr>
                  <w:r>
                    <w:rPr>
                      <w:color w:val="auto"/>
                    </w:rPr>
                    <w:t>1</w:t>
                  </w:r>
                </w:p>
              </w:tc>
              <w:tc>
                <w:tcPr>
                  <w:tcW w:w="2500" w:type="pct"/>
                  <w:tcBorders>
                    <w:tl2br w:val="nil"/>
                    <w:tr2bl w:val="nil"/>
                  </w:tcBorders>
                  <w:vAlign w:val="center"/>
                </w:tcPr>
                <w:p>
                  <w:pPr>
                    <w:pStyle w:val="56"/>
                    <w:adjustRightInd/>
                    <w:snapToGrid/>
                    <w:spacing w:line="300" w:lineRule="exact"/>
                    <w:ind w:left="0"/>
                    <w:rPr>
                      <w:color w:val="auto"/>
                    </w:rPr>
                  </w:pPr>
                  <w:r>
                    <w:rPr>
                      <w:color w:val="auto"/>
                    </w:rPr>
                    <w:t>手提式干粉灭火器</w:t>
                  </w:r>
                </w:p>
              </w:tc>
              <w:tc>
                <w:tcPr>
                  <w:tcW w:w="626" w:type="pct"/>
                  <w:tcBorders>
                    <w:tl2br w:val="nil"/>
                    <w:tr2bl w:val="nil"/>
                  </w:tcBorders>
                  <w:vAlign w:val="center"/>
                </w:tcPr>
                <w:p>
                  <w:pPr>
                    <w:pStyle w:val="56"/>
                    <w:adjustRightInd/>
                    <w:snapToGrid/>
                    <w:spacing w:line="300" w:lineRule="exact"/>
                    <w:ind w:left="0"/>
                    <w:rPr>
                      <w:color w:val="auto"/>
                    </w:rPr>
                  </w:pPr>
                  <w:r>
                    <w:rPr>
                      <w:color w:val="auto"/>
                    </w:rPr>
                    <w:t>30个</w:t>
                  </w:r>
                </w:p>
              </w:tc>
              <w:tc>
                <w:tcPr>
                  <w:tcW w:w="1247" w:type="pct"/>
                  <w:tcBorders>
                    <w:tl2br w:val="nil"/>
                    <w:tr2bl w:val="nil"/>
                  </w:tcBorders>
                  <w:vAlign w:val="center"/>
                </w:tcPr>
                <w:p>
                  <w:pPr>
                    <w:pStyle w:val="56"/>
                    <w:adjustRightInd/>
                    <w:snapToGrid/>
                    <w:spacing w:line="300" w:lineRule="exact"/>
                    <w:ind w:left="0"/>
                    <w:rPr>
                      <w:color w:val="auto"/>
                    </w:rPr>
                  </w:pPr>
                  <w:r>
                    <w:rPr>
                      <w:color w:val="auto"/>
                    </w:rPr>
                    <w:t>MFZ</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25" w:type="pct"/>
                  <w:tcBorders>
                    <w:tl2br w:val="nil"/>
                    <w:tr2bl w:val="nil"/>
                  </w:tcBorders>
                  <w:vAlign w:val="center"/>
                </w:tcPr>
                <w:p>
                  <w:pPr>
                    <w:pStyle w:val="56"/>
                    <w:adjustRightInd/>
                    <w:snapToGrid/>
                    <w:spacing w:line="300" w:lineRule="exact"/>
                    <w:ind w:left="0"/>
                    <w:rPr>
                      <w:color w:val="auto"/>
                    </w:rPr>
                  </w:pPr>
                  <w:r>
                    <w:rPr>
                      <w:color w:val="auto"/>
                    </w:rPr>
                    <w:t>2</w:t>
                  </w:r>
                </w:p>
              </w:tc>
              <w:tc>
                <w:tcPr>
                  <w:tcW w:w="2500" w:type="pct"/>
                  <w:tcBorders>
                    <w:tl2br w:val="nil"/>
                    <w:tr2bl w:val="nil"/>
                  </w:tcBorders>
                  <w:vAlign w:val="center"/>
                </w:tcPr>
                <w:p>
                  <w:pPr>
                    <w:pStyle w:val="56"/>
                    <w:adjustRightInd/>
                    <w:snapToGrid/>
                    <w:spacing w:line="300" w:lineRule="exact"/>
                    <w:ind w:left="0"/>
                    <w:rPr>
                      <w:color w:val="auto"/>
                    </w:rPr>
                  </w:pPr>
                  <w:r>
                    <w:rPr>
                      <w:color w:val="auto"/>
                    </w:rPr>
                    <w:t>消防水带（30M/条）</w:t>
                  </w:r>
                </w:p>
              </w:tc>
              <w:tc>
                <w:tcPr>
                  <w:tcW w:w="626" w:type="pct"/>
                  <w:tcBorders>
                    <w:tl2br w:val="nil"/>
                    <w:tr2bl w:val="nil"/>
                  </w:tcBorders>
                  <w:vAlign w:val="center"/>
                </w:tcPr>
                <w:p>
                  <w:pPr>
                    <w:pStyle w:val="56"/>
                    <w:adjustRightInd/>
                    <w:snapToGrid/>
                    <w:spacing w:line="300" w:lineRule="exact"/>
                    <w:ind w:left="0"/>
                    <w:rPr>
                      <w:color w:val="auto"/>
                    </w:rPr>
                  </w:pPr>
                  <w:r>
                    <w:rPr>
                      <w:color w:val="auto"/>
                    </w:rPr>
                    <w:t>4条</w:t>
                  </w:r>
                </w:p>
              </w:tc>
              <w:tc>
                <w:tcPr>
                  <w:tcW w:w="1247" w:type="pct"/>
                  <w:tcBorders>
                    <w:tl2br w:val="nil"/>
                    <w:tr2bl w:val="nil"/>
                  </w:tcBorders>
                  <w:vAlign w:val="center"/>
                </w:tcPr>
                <w:p>
                  <w:pPr>
                    <w:pStyle w:val="56"/>
                    <w:adjustRightInd/>
                    <w:snapToGrid/>
                    <w:spacing w:line="300" w:lineRule="exact"/>
                    <w:ind w:left="0"/>
                    <w:rPr>
                      <w:color w:val="auto"/>
                    </w:rPr>
                  </w:pPr>
                  <w:r>
                    <w:rPr>
                      <w:color w:val="auto"/>
                    </w:rPr>
                    <w:t>DN65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25" w:type="pct"/>
                  <w:tcBorders>
                    <w:tl2br w:val="nil"/>
                    <w:tr2bl w:val="nil"/>
                  </w:tcBorders>
                  <w:vAlign w:val="center"/>
                </w:tcPr>
                <w:p>
                  <w:pPr>
                    <w:pStyle w:val="56"/>
                    <w:adjustRightInd/>
                    <w:snapToGrid/>
                    <w:spacing w:line="300" w:lineRule="exact"/>
                    <w:ind w:left="0"/>
                    <w:rPr>
                      <w:color w:val="auto"/>
                    </w:rPr>
                  </w:pPr>
                  <w:r>
                    <w:rPr>
                      <w:color w:val="auto"/>
                    </w:rPr>
                    <w:t>3</w:t>
                  </w:r>
                </w:p>
              </w:tc>
              <w:tc>
                <w:tcPr>
                  <w:tcW w:w="2500" w:type="pct"/>
                  <w:tcBorders>
                    <w:tl2br w:val="nil"/>
                    <w:tr2bl w:val="nil"/>
                  </w:tcBorders>
                  <w:vAlign w:val="center"/>
                </w:tcPr>
                <w:p>
                  <w:pPr>
                    <w:pStyle w:val="56"/>
                    <w:adjustRightInd/>
                    <w:snapToGrid/>
                    <w:spacing w:line="300" w:lineRule="exact"/>
                    <w:ind w:left="0"/>
                    <w:rPr>
                      <w:color w:val="auto"/>
                    </w:rPr>
                  </w:pPr>
                  <w:r>
                    <w:rPr>
                      <w:color w:val="auto"/>
                    </w:rPr>
                    <w:t>水枪</w:t>
                  </w:r>
                </w:p>
              </w:tc>
              <w:tc>
                <w:tcPr>
                  <w:tcW w:w="626" w:type="pct"/>
                  <w:tcBorders>
                    <w:tl2br w:val="nil"/>
                    <w:tr2bl w:val="nil"/>
                  </w:tcBorders>
                  <w:vAlign w:val="center"/>
                </w:tcPr>
                <w:p>
                  <w:pPr>
                    <w:pStyle w:val="56"/>
                    <w:adjustRightInd/>
                    <w:snapToGrid/>
                    <w:spacing w:line="300" w:lineRule="exact"/>
                    <w:ind w:left="0"/>
                    <w:rPr>
                      <w:color w:val="auto"/>
                    </w:rPr>
                  </w:pPr>
                  <w:r>
                    <w:rPr>
                      <w:color w:val="auto"/>
                    </w:rPr>
                    <w:t>1支</w:t>
                  </w:r>
                </w:p>
              </w:tc>
              <w:tc>
                <w:tcPr>
                  <w:tcW w:w="1247" w:type="pct"/>
                  <w:tcBorders>
                    <w:tl2br w:val="nil"/>
                    <w:tr2bl w:val="nil"/>
                  </w:tcBorders>
                  <w:vAlign w:val="center"/>
                </w:tcPr>
                <w:p>
                  <w:pPr>
                    <w:pStyle w:val="56"/>
                    <w:adjustRightInd/>
                    <w:snapToGrid/>
                    <w:spacing w:line="300" w:lineRule="exact"/>
                    <w:ind w:left="0"/>
                    <w:rPr>
                      <w:color w:val="auto"/>
                    </w:rPr>
                  </w:pPr>
                  <w:r>
                    <w:rPr>
                      <w:color w:val="auto"/>
                    </w:rPr>
                    <w:t>￠19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25" w:type="pct"/>
                  <w:tcBorders>
                    <w:tl2br w:val="nil"/>
                    <w:tr2bl w:val="nil"/>
                  </w:tcBorders>
                  <w:vAlign w:val="center"/>
                </w:tcPr>
                <w:p>
                  <w:pPr>
                    <w:pStyle w:val="56"/>
                    <w:adjustRightInd/>
                    <w:snapToGrid/>
                    <w:spacing w:line="300" w:lineRule="exact"/>
                    <w:ind w:left="0"/>
                    <w:rPr>
                      <w:color w:val="auto"/>
                    </w:rPr>
                  </w:pPr>
                  <w:r>
                    <w:rPr>
                      <w:color w:val="auto"/>
                    </w:rPr>
                    <w:t>4</w:t>
                  </w:r>
                </w:p>
              </w:tc>
              <w:tc>
                <w:tcPr>
                  <w:tcW w:w="2500" w:type="pct"/>
                  <w:tcBorders>
                    <w:tl2br w:val="nil"/>
                    <w:tr2bl w:val="nil"/>
                  </w:tcBorders>
                  <w:vAlign w:val="center"/>
                </w:tcPr>
                <w:p>
                  <w:pPr>
                    <w:pStyle w:val="56"/>
                    <w:adjustRightInd/>
                    <w:snapToGrid/>
                    <w:spacing w:line="300" w:lineRule="exact"/>
                    <w:ind w:left="0"/>
                    <w:rPr>
                      <w:color w:val="auto"/>
                    </w:rPr>
                  </w:pPr>
                  <w:r>
                    <w:rPr>
                      <w:color w:val="auto"/>
                    </w:rPr>
                    <w:t>消防水桶</w:t>
                  </w:r>
                </w:p>
              </w:tc>
              <w:tc>
                <w:tcPr>
                  <w:tcW w:w="626" w:type="pct"/>
                  <w:tcBorders>
                    <w:tl2br w:val="nil"/>
                    <w:tr2bl w:val="nil"/>
                  </w:tcBorders>
                  <w:vAlign w:val="center"/>
                </w:tcPr>
                <w:p>
                  <w:pPr>
                    <w:pStyle w:val="56"/>
                    <w:adjustRightInd/>
                    <w:snapToGrid/>
                    <w:spacing w:line="300" w:lineRule="exact"/>
                    <w:ind w:left="0"/>
                    <w:rPr>
                      <w:color w:val="auto"/>
                    </w:rPr>
                  </w:pPr>
                  <w:r>
                    <w:rPr>
                      <w:color w:val="auto"/>
                    </w:rPr>
                    <w:t>2个</w:t>
                  </w:r>
                </w:p>
              </w:tc>
              <w:tc>
                <w:tcPr>
                  <w:tcW w:w="1247" w:type="pct"/>
                  <w:tcBorders>
                    <w:tl2br w:val="nil"/>
                    <w:tr2bl w:val="nil"/>
                  </w:tcBorders>
                  <w:vAlign w:val="center"/>
                </w:tcPr>
                <w:p>
                  <w:pPr>
                    <w:pStyle w:val="56"/>
                    <w:adjustRightInd/>
                    <w:snapToGrid/>
                    <w:spacing w:line="300" w:lineRule="exact"/>
                    <w:ind w:left="0"/>
                    <w:rPr>
                      <w:color w:val="auto"/>
                    </w:rPr>
                  </w:pPr>
                  <w:r>
                    <w:rPr>
                      <w:color w:val="auto"/>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25" w:type="pct"/>
                  <w:tcBorders>
                    <w:tl2br w:val="nil"/>
                    <w:tr2bl w:val="nil"/>
                  </w:tcBorders>
                  <w:vAlign w:val="center"/>
                </w:tcPr>
                <w:p>
                  <w:pPr>
                    <w:pStyle w:val="56"/>
                    <w:adjustRightInd/>
                    <w:snapToGrid/>
                    <w:spacing w:line="300" w:lineRule="exact"/>
                    <w:ind w:left="0"/>
                    <w:rPr>
                      <w:color w:val="auto"/>
                    </w:rPr>
                  </w:pPr>
                  <w:r>
                    <w:rPr>
                      <w:color w:val="auto"/>
                    </w:rPr>
                    <w:t>5</w:t>
                  </w:r>
                </w:p>
              </w:tc>
              <w:tc>
                <w:tcPr>
                  <w:tcW w:w="2500" w:type="pct"/>
                  <w:tcBorders>
                    <w:tl2br w:val="nil"/>
                    <w:tr2bl w:val="nil"/>
                  </w:tcBorders>
                  <w:vAlign w:val="center"/>
                </w:tcPr>
                <w:p>
                  <w:pPr>
                    <w:pStyle w:val="56"/>
                    <w:adjustRightInd/>
                    <w:snapToGrid/>
                    <w:spacing w:line="300" w:lineRule="exact"/>
                    <w:ind w:left="0"/>
                    <w:rPr>
                      <w:color w:val="auto"/>
                    </w:rPr>
                  </w:pPr>
                  <w:r>
                    <w:rPr>
                      <w:color w:val="auto"/>
                    </w:rPr>
                    <w:t>消防铲</w:t>
                  </w:r>
                </w:p>
              </w:tc>
              <w:tc>
                <w:tcPr>
                  <w:tcW w:w="626" w:type="pct"/>
                  <w:tcBorders>
                    <w:tl2br w:val="nil"/>
                    <w:tr2bl w:val="nil"/>
                  </w:tcBorders>
                  <w:vAlign w:val="center"/>
                </w:tcPr>
                <w:p>
                  <w:pPr>
                    <w:pStyle w:val="56"/>
                    <w:adjustRightInd/>
                    <w:snapToGrid/>
                    <w:spacing w:line="300" w:lineRule="exact"/>
                    <w:ind w:left="0"/>
                    <w:rPr>
                      <w:color w:val="auto"/>
                    </w:rPr>
                  </w:pPr>
                  <w:r>
                    <w:rPr>
                      <w:color w:val="auto"/>
                    </w:rPr>
                    <w:t>2把</w:t>
                  </w:r>
                </w:p>
              </w:tc>
              <w:tc>
                <w:tcPr>
                  <w:tcW w:w="1247" w:type="pct"/>
                  <w:tcBorders>
                    <w:tl2br w:val="nil"/>
                    <w:tr2bl w:val="nil"/>
                  </w:tcBorders>
                  <w:vAlign w:val="center"/>
                </w:tcPr>
                <w:p>
                  <w:pPr>
                    <w:pStyle w:val="56"/>
                    <w:adjustRightInd/>
                    <w:snapToGrid/>
                    <w:spacing w:line="300" w:lineRule="exact"/>
                    <w:ind w:left="0"/>
                    <w:rPr>
                      <w:color w:val="auto"/>
                    </w:rPr>
                  </w:pPr>
                  <w:r>
                    <w:rPr>
                      <w:color w:val="auto"/>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25" w:type="pct"/>
                  <w:tcBorders>
                    <w:tl2br w:val="nil"/>
                    <w:tr2bl w:val="nil"/>
                  </w:tcBorders>
                  <w:vAlign w:val="center"/>
                </w:tcPr>
                <w:p>
                  <w:pPr>
                    <w:pStyle w:val="56"/>
                    <w:adjustRightInd/>
                    <w:snapToGrid/>
                    <w:spacing w:line="300" w:lineRule="exact"/>
                    <w:ind w:left="0"/>
                    <w:rPr>
                      <w:color w:val="auto"/>
                    </w:rPr>
                  </w:pPr>
                  <w:r>
                    <w:rPr>
                      <w:color w:val="auto"/>
                    </w:rPr>
                    <w:t>6</w:t>
                  </w:r>
                </w:p>
              </w:tc>
              <w:tc>
                <w:tcPr>
                  <w:tcW w:w="2500" w:type="pct"/>
                  <w:tcBorders>
                    <w:tl2br w:val="nil"/>
                    <w:tr2bl w:val="nil"/>
                  </w:tcBorders>
                  <w:vAlign w:val="center"/>
                </w:tcPr>
                <w:p>
                  <w:pPr>
                    <w:pStyle w:val="56"/>
                    <w:adjustRightInd/>
                    <w:snapToGrid/>
                    <w:spacing w:line="300" w:lineRule="exact"/>
                    <w:ind w:left="0"/>
                    <w:rPr>
                      <w:color w:val="auto"/>
                    </w:rPr>
                  </w:pPr>
                  <w:r>
                    <w:rPr>
                      <w:color w:val="auto"/>
                    </w:rPr>
                    <w:t>消防泵</w:t>
                  </w:r>
                </w:p>
              </w:tc>
              <w:tc>
                <w:tcPr>
                  <w:tcW w:w="626" w:type="pct"/>
                  <w:tcBorders>
                    <w:tl2br w:val="nil"/>
                    <w:tr2bl w:val="nil"/>
                  </w:tcBorders>
                  <w:vAlign w:val="center"/>
                </w:tcPr>
                <w:p>
                  <w:pPr>
                    <w:pStyle w:val="56"/>
                    <w:adjustRightInd/>
                    <w:snapToGrid/>
                    <w:spacing w:line="300" w:lineRule="exact"/>
                    <w:ind w:left="0"/>
                    <w:rPr>
                      <w:color w:val="auto"/>
                    </w:rPr>
                  </w:pPr>
                  <w:r>
                    <w:rPr>
                      <w:color w:val="auto"/>
                    </w:rPr>
                    <w:t>1台</w:t>
                  </w:r>
                </w:p>
              </w:tc>
              <w:tc>
                <w:tcPr>
                  <w:tcW w:w="1247" w:type="pct"/>
                  <w:tcBorders>
                    <w:tl2br w:val="nil"/>
                    <w:tr2bl w:val="nil"/>
                  </w:tcBorders>
                  <w:vAlign w:val="center"/>
                </w:tcPr>
                <w:p>
                  <w:pPr>
                    <w:pStyle w:val="56"/>
                    <w:adjustRightInd/>
                    <w:snapToGrid/>
                    <w:spacing w:line="300" w:lineRule="exact"/>
                    <w:ind w:left="0"/>
                    <w:rPr>
                      <w:color w:val="auto"/>
                    </w:rPr>
                  </w:pPr>
                  <w:r>
                    <w:rPr>
                      <w:color w:val="auto"/>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25" w:type="pct"/>
                  <w:tcBorders>
                    <w:tl2br w:val="nil"/>
                    <w:tr2bl w:val="nil"/>
                  </w:tcBorders>
                  <w:vAlign w:val="center"/>
                </w:tcPr>
                <w:p>
                  <w:pPr>
                    <w:pStyle w:val="56"/>
                    <w:adjustRightInd/>
                    <w:snapToGrid/>
                    <w:spacing w:line="300" w:lineRule="exact"/>
                    <w:ind w:left="0"/>
                    <w:rPr>
                      <w:color w:val="auto"/>
                    </w:rPr>
                  </w:pPr>
                  <w:r>
                    <w:rPr>
                      <w:color w:val="auto"/>
                    </w:rPr>
                    <w:t>7</w:t>
                  </w:r>
                </w:p>
              </w:tc>
              <w:tc>
                <w:tcPr>
                  <w:tcW w:w="2500" w:type="pct"/>
                  <w:tcBorders>
                    <w:tl2br w:val="nil"/>
                    <w:tr2bl w:val="nil"/>
                  </w:tcBorders>
                  <w:vAlign w:val="center"/>
                </w:tcPr>
                <w:p>
                  <w:pPr>
                    <w:pStyle w:val="56"/>
                    <w:adjustRightInd/>
                    <w:snapToGrid/>
                    <w:spacing w:line="300" w:lineRule="exact"/>
                    <w:ind w:left="0"/>
                    <w:rPr>
                      <w:color w:val="auto"/>
                    </w:rPr>
                  </w:pPr>
                  <w:r>
                    <w:rPr>
                      <w:color w:val="auto"/>
                    </w:rPr>
                    <w:t>防雷装置</w:t>
                  </w:r>
                </w:p>
              </w:tc>
              <w:tc>
                <w:tcPr>
                  <w:tcW w:w="626" w:type="pct"/>
                  <w:tcBorders>
                    <w:tl2br w:val="nil"/>
                    <w:tr2bl w:val="nil"/>
                  </w:tcBorders>
                  <w:vAlign w:val="center"/>
                </w:tcPr>
                <w:p>
                  <w:pPr>
                    <w:pStyle w:val="56"/>
                    <w:adjustRightInd/>
                    <w:snapToGrid/>
                    <w:spacing w:line="300" w:lineRule="exact"/>
                    <w:ind w:left="0"/>
                    <w:rPr>
                      <w:color w:val="auto"/>
                    </w:rPr>
                  </w:pPr>
                  <w:r>
                    <w:rPr>
                      <w:color w:val="auto"/>
                    </w:rPr>
                    <w:t>4个</w:t>
                  </w:r>
                </w:p>
              </w:tc>
              <w:tc>
                <w:tcPr>
                  <w:tcW w:w="1247" w:type="pct"/>
                  <w:tcBorders>
                    <w:tl2br w:val="nil"/>
                    <w:tr2bl w:val="nil"/>
                  </w:tcBorders>
                  <w:vAlign w:val="center"/>
                </w:tcPr>
                <w:p>
                  <w:pPr>
                    <w:pStyle w:val="56"/>
                    <w:adjustRightInd/>
                    <w:snapToGrid/>
                    <w:spacing w:line="300" w:lineRule="exact"/>
                    <w:ind w:left="0"/>
                    <w:rPr>
                      <w:color w:val="auto"/>
                    </w:rPr>
                  </w:pPr>
                  <w:r>
                    <w:rPr>
                      <w:color w:val="auto"/>
                    </w:rPr>
                    <w:t>独立避雷针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625" w:type="pct"/>
                  <w:tcBorders>
                    <w:tl2br w:val="nil"/>
                    <w:tr2bl w:val="nil"/>
                  </w:tcBorders>
                  <w:vAlign w:val="center"/>
                </w:tcPr>
                <w:p>
                  <w:pPr>
                    <w:pStyle w:val="56"/>
                    <w:adjustRightInd/>
                    <w:snapToGrid/>
                    <w:spacing w:line="300" w:lineRule="exact"/>
                    <w:ind w:left="0"/>
                    <w:rPr>
                      <w:color w:val="auto"/>
                    </w:rPr>
                  </w:pPr>
                  <w:r>
                    <w:rPr>
                      <w:color w:val="auto"/>
                    </w:rPr>
                    <w:t>8</w:t>
                  </w:r>
                </w:p>
              </w:tc>
              <w:tc>
                <w:tcPr>
                  <w:tcW w:w="2500" w:type="pct"/>
                  <w:tcBorders>
                    <w:tl2br w:val="nil"/>
                    <w:tr2bl w:val="nil"/>
                  </w:tcBorders>
                  <w:vAlign w:val="center"/>
                </w:tcPr>
                <w:p>
                  <w:pPr>
                    <w:pStyle w:val="56"/>
                    <w:adjustRightInd/>
                    <w:snapToGrid/>
                    <w:spacing w:line="300" w:lineRule="exact"/>
                    <w:ind w:left="0"/>
                    <w:rPr>
                      <w:color w:val="auto"/>
                    </w:rPr>
                  </w:pPr>
                  <w:r>
                    <w:rPr>
                      <w:color w:val="auto"/>
                    </w:rPr>
                    <w:t>人体防静电装置</w:t>
                  </w:r>
                </w:p>
              </w:tc>
              <w:tc>
                <w:tcPr>
                  <w:tcW w:w="626" w:type="pct"/>
                  <w:tcBorders>
                    <w:tl2br w:val="nil"/>
                    <w:tr2bl w:val="nil"/>
                  </w:tcBorders>
                  <w:vAlign w:val="center"/>
                </w:tcPr>
                <w:p>
                  <w:pPr>
                    <w:pStyle w:val="56"/>
                    <w:adjustRightInd/>
                    <w:snapToGrid/>
                    <w:spacing w:line="300" w:lineRule="exact"/>
                    <w:ind w:left="0"/>
                    <w:rPr>
                      <w:color w:val="auto"/>
                    </w:rPr>
                  </w:pPr>
                  <w:r>
                    <w:rPr>
                      <w:color w:val="auto"/>
                    </w:rPr>
                    <w:t>4根</w:t>
                  </w:r>
                </w:p>
              </w:tc>
              <w:tc>
                <w:tcPr>
                  <w:tcW w:w="1247" w:type="pct"/>
                  <w:tcBorders>
                    <w:tl2br w:val="nil"/>
                    <w:tr2bl w:val="nil"/>
                  </w:tcBorders>
                  <w:vAlign w:val="center"/>
                </w:tcPr>
                <w:p>
                  <w:pPr>
                    <w:pStyle w:val="56"/>
                    <w:adjustRightInd/>
                    <w:snapToGrid/>
                    <w:spacing w:line="300" w:lineRule="exact"/>
                    <w:ind w:left="0"/>
                    <w:rPr>
                      <w:color w:val="auto"/>
                    </w:rPr>
                  </w:pPr>
                  <w:r>
                    <w:rPr>
                      <w:color w:val="auto"/>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25" w:type="pct"/>
                  <w:tcBorders>
                    <w:tl2br w:val="nil"/>
                    <w:tr2bl w:val="nil"/>
                  </w:tcBorders>
                  <w:vAlign w:val="center"/>
                </w:tcPr>
                <w:p>
                  <w:pPr>
                    <w:pStyle w:val="56"/>
                    <w:adjustRightInd/>
                    <w:snapToGrid/>
                    <w:spacing w:line="300" w:lineRule="exact"/>
                    <w:ind w:left="0"/>
                    <w:rPr>
                      <w:color w:val="auto"/>
                    </w:rPr>
                  </w:pPr>
                  <w:r>
                    <w:rPr>
                      <w:color w:val="auto"/>
                    </w:rPr>
                    <w:t>9</w:t>
                  </w:r>
                </w:p>
              </w:tc>
              <w:tc>
                <w:tcPr>
                  <w:tcW w:w="2500" w:type="pct"/>
                  <w:tcBorders>
                    <w:tl2br w:val="nil"/>
                    <w:tr2bl w:val="nil"/>
                  </w:tcBorders>
                  <w:vAlign w:val="center"/>
                </w:tcPr>
                <w:p>
                  <w:pPr>
                    <w:pStyle w:val="56"/>
                    <w:adjustRightInd/>
                    <w:snapToGrid/>
                    <w:spacing w:line="300" w:lineRule="exact"/>
                    <w:ind w:left="0"/>
                    <w:rPr>
                      <w:color w:val="auto"/>
                    </w:rPr>
                  </w:pPr>
                  <w:r>
                    <w:rPr>
                      <w:color w:val="auto"/>
                    </w:rPr>
                    <w:t>消防水池</w:t>
                  </w:r>
                </w:p>
              </w:tc>
              <w:tc>
                <w:tcPr>
                  <w:tcW w:w="626" w:type="pct"/>
                  <w:tcBorders>
                    <w:tl2br w:val="nil"/>
                    <w:tr2bl w:val="nil"/>
                  </w:tcBorders>
                  <w:vAlign w:val="center"/>
                </w:tcPr>
                <w:p>
                  <w:pPr>
                    <w:pStyle w:val="56"/>
                    <w:adjustRightInd/>
                    <w:snapToGrid/>
                    <w:spacing w:line="300" w:lineRule="exact"/>
                    <w:ind w:left="0"/>
                    <w:rPr>
                      <w:color w:val="auto"/>
                    </w:rPr>
                  </w:pPr>
                  <w:r>
                    <w:rPr>
                      <w:color w:val="auto"/>
                    </w:rPr>
                    <w:t>1个</w:t>
                  </w:r>
                </w:p>
              </w:tc>
              <w:tc>
                <w:tcPr>
                  <w:tcW w:w="1247" w:type="pct"/>
                  <w:tcBorders>
                    <w:tl2br w:val="nil"/>
                    <w:tr2bl w:val="nil"/>
                  </w:tcBorders>
                  <w:vAlign w:val="center"/>
                </w:tcPr>
                <w:p>
                  <w:pPr>
                    <w:pStyle w:val="56"/>
                    <w:adjustRightInd/>
                    <w:snapToGrid/>
                    <w:spacing w:line="300" w:lineRule="exact"/>
                    <w:ind w:left="0"/>
                    <w:rPr>
                      <w:color w:val="auto"/>
                    </w:rPr>
                  </w:pPr>
                  <w:r>
                    <w:rPr>
                      <w:color w:val="auto"/>
                    </w:rPr>
                    <w:t>400m</w:t>
                  </w:r>
                  <w:r>
                    <w:rPr>
                      <w:color w:val="auto"/>
                      <w:vertAlign w:val="superscript"/>
                    </w:rPr>
                    <w:t>3</w:t>
                  </w:r>
                </w:p>
              </w:tc>
            </w:tr>
          </w:tbl>
          <w:p>
            <w:pPr>
              <w:spacing w:line="360" w:lineRule="auto"/>
              <w:ind w:firstLine="480" w:firstLineChars="200"/>
              <w:rPr>
                <w:color w:val="auto"/>
                <w:sz w:val="24"/>
              </w:rPr>
            </w:pPr>
            <w:r>
              <w:rPr>
                <w:color w:val="auto"/>
                <w:sz w:val="24"/>
              </w:rPr>
              <w:t>（7）监控及报警设施</w:t>
            </w:r>
          </w:p>
          <w:p>
            <w:pPr>
              <w:spacing w:line="360" w:lineRule="auto"/>
              <w:ind w:firstLine="480" w:firstLineChars="200"/>
              <w:rPr>
                <w:color w:val="auto"/>
                <w:sz w:val="24"/>
              </w:rPr>
            </w:pPr>
            <w:r>
              <w:rPr>
                <w:color w:val="auto"/>
                <w:sz w:val="24"/>
              </w:rPr>
              <w:t>设监控系统一套，在值班室配置固定电话一部，设手动火灾报警装置。安全管理人员配备消防电话一部。</w:t>
            </w:r>
          </w:p>
          <w:p>
            <w:pPr>
              <w:spacing w:line="360" w:lineRule="auto"/>
              <w:ind w:firstLine="480" w:firstLineChars="200"/>
              <w:rPr>
                <w:color w:val="auto"/>
                <w:sz w:val="24"/>
              </w:rPr>
            </w:pPr>
            <w:r>
              <w:rPr>
                <w:color w:val="auto"/>
                <w:sz w:val="24"/>
              </w:rPr>
              <w:t>（8）防雷设施</w:t>
            </w:r>
          </w:p>
          <w:p>
            <w:pPr>
              <w:spacing w:line="360" w:lineRule="auto"/>
              <w:ind w:firstLine="480" w:firstLineChars="200"/>
              <w:rPr>
                <w:color w:val="auto"/>
                <w:sz w:val="24"/>
              </w:rPr>
            </w:pPr>
            <w:r>
              <w:rPr>
                <w:color w:val="auto"/>
                <w:sz w:val="24"/>
              </w:rPr>
              <w:t>1.3级成品仓库采用避雷针防雷。</w:t>
            </w:r>
          </w:p>
          <w:p>
            <w:pPr>
              <w:pStyle w:val="12"/>
              <w:numPr>
                <w:ilvl w:val="0"/>
                <w:numId w:val="7"/>
              </w:numPr>
              <w:spacing w:before="0" w:after="0" w:line="360" w:lineRule="auto"/>
              <w:ind w:right="0" w:firstLine="480" w:firstLineChars="200"/>
              <w:rPr>
                <w:color w:val="auto"/>
                <w:kern w:val="2"/>
                <w:sz w:val="24"/>
                <w:szCs w:val="24"/>
              </w:rPr>
            </w:pPr>
            <w:r>
              <w:rPr>
                <w:rFonts w:hint="eastAsia"/>
                <w:color w:val="auto"/>
                <w:kern w:val="2"/>
                <w:sz w:val="24"/>
                <w:szCs w:val="24"/>
              </w:rPr>
              <w:t>防静电设施</w:t>
            </w:r>
          </w:p>
          <w:p>
            <w:pPr>
              <w:spacing w:line="360" w:lineRule="auto"/>
              <w:ind w:firstLine="480" w:firstLineChars="200"/>
              <w:rPr>
                <w:color w:val="auto"/>
                <w:sz w:val="24"/>
              </w:rPr>
            </w:pPr>
            <w:r>
              <w:rPr>
                <w:rFonts w:hint="eastAsia"/>
                <w:color w:val="auto"/>
                <w:sz w:val="24"/>
              </w:rPr>
              <w:t>项目仓库内出入口前设有人体防静电装置4根，其接电电阻值不大于4Ω作业人员、外来人员进入作业区穿静电防护服。</w:t>
            </w:r>
          </w:p>
          <w:p>
            <w:pPr>
              <w:spacing w:line="360" w:lineRule="auto"/>
              <w:ind w:firstLine="482" w:firstLineChars="200"/>
              <w:contextualSpacing/>
              <w:rPr>
                <w:b/>
                <w:bCs/>
                <w:color w:val="auto"/>
                <w:sz w:val="24"/>
              </w:rPr>
            </w:pPr>
            <w:r>
              <w:rPr>
                <w:b/>
                <w:bCs/>
                <w:color w:val="auto"/>
                <w:sz w:val="24"/>
              </w:rPr>
              <w:t>2.5劳动定员及工作制度</w:t>
            </w:r>
          </w:p>
          <w:p>
            <w:pPr>
              <w:pStyle w:val="2"/>
              <w:numPr>
                <w:ilvl w:val="2"/>
                <w:numId w:val="0"/>
              </w:numPr>
              <w:spacing w:before="0" w:after="0"/>
              <w:ind w:firstLine="480" w:firstLineChars="200"/>
              <w:rPr>
                <w:rFonts w:ascii="Times New Roman" w:eastAsia="宋体"/>
                <w:bCs w:val="0"/>
                <w:color w:val="auto"/>
                <w:sz w:val="24"/>
                <w:szCs w:val="24"/>
              </w:rPr>
            </w:pPr>
            <w:r>
              <w:rPr>
                <w:rFonts w:ascii="Times New Roman" w:eastAsia="宋体"/>
                <w:bCs w:val="0"/>
                <w:color w:val="auto"/>
                <w:sz w:val="24"/>
                <w:szCs w:val="24"/>
              </w:rPr>
              <w:t>本项目设计劳动定员</w:t>
            </w:r>
            <w:r>
              <w:rPr>
                <w:rFonts w:hint="eastAsia" w:ascii="Times New Roman" w:eastAsia="宋体"/>
                <w:bCs w:val="0"/>
                <w:color w:val="auto"/>
                <w:sz w:val="24"/>
                <w:szCs w:val="24"/>
              </w:rPr>
              <w:t>7</w:t>
            </w:r>
            <w:r>
              <w:rPr>
                <w:rFonts w:ascii="Times New Roman" w:eastAsia="宋体"/>
                <w:bCs w:val="0"/>
                <w:color w:val="auto"/>
                <w:sz w:val="24"/>
                <w:szCs w:val="24"/>
              </w:rPr>
              <w:t>人，</w:t>
            </w:r>
            <w:r>
              <w:rPr>
                <w:rFonts w:hint="eastAsia" w:ascii="Times New Roman" w:eastAsia="宋体"/>
                <w:bCs w:val="0"/>
                <w:color w:val="auto"/>
                <w:sz w:val="24"/>
                <w:szCs w:val="24"/>
              </w:rPr>
              <w:t>其中5人为装卸司机，不在厂区内食宿，2名门卫</w:t>
            </w:r>
            <w:r>
              <w:rPr>
                <w:rFonts w:ascii="Times New Roman" w:eastAsia="宋体"/>
                <w:bCs w:val="0"/>
                <w:color w:val="auto"/>
                <w:sz w:val="24"/>
                <w:szCs w:val="24"/>
              </w:rPr>
              <w:t>在厂区内住宿（项目区不设置食堂）</w:t>
            </w:r>
            <w:r>
              <w:rPr>
                <w:rFonts w:hint="eastAsia" w:ascii="Times New Roman" w:eastAsia="宋体"/>
                <w:bCs w:val="0"/>
                <w:color w:val="auto"/>
                <w:sz w:val="24"/>
                <w:szCs w:val="24"/>
              </w:rPr>
              <w:t>，</w:t>
            </w:r>
            <w:r>
              <w:rPr>
                <w:rFonts w:ascii="Times New Roman" w:eastAsia="宋体"/>
                <w:bCs w:val="0"/>
                <w:color w:val="auto"/>
                <w:sz w:val="24"/>
                <w:szCs w:val="24"/>
              </w:rPr>
              <w:t>年运行时长365d，不在厂区内食宿。</w:t>
            </w:r>
          </w:p>
          <w:p>
            <w:pPr>
              <w:spacing w:line="360" w:lineRule="auto"/>
              <w:ind w:firstLine="480"/>
              <w:rPr>
                <w:b/>
                <w:bCs/>
                <w:color w:val="auto"/>
                <w:sz w:val="24"/>
              </w:rPr>
            </w:pPr>
            <w:r>
              <w:rPr>
                <w:b/>
                <w:bCs/>
                <w:color w:val="auto"/>
                <w:sz w:val="24"/>
              </w:rPr>
              <w:t>2.6、平面布置合理</w:t>
            </w:r>
          </w:p>
          <w:p>
            <w:pPr>
              <w:spacing w:line="360" w:lineRule="auto"/>
              <w:ind w:firstLine="480" w:firstLineChars="200"/>
              <w:rPr>
                <w:color w:val="auto"/>
              </w:rPr>
            </w:pPr>
            <w:r>
              <w:rPr>
                <w:color w:val="auto"/>
                <w:sz w:val="24"/>
              </w:rPr>
              <w:t>本项目周围为空地，项目用地不占用林地和基本农田，本项目遵循《烟花爆竹工程设计安全标准》（GB50161-2022）等国家现行有关规范标准，满足生产及运输要求，合理布局，使流程、管线及道路短捷通畅。</w:t>
            </w:r>
            <w:r>
              <w:rPr>
                <w:rFonts w:hint="eastAsia"/>
                <w:color w:val="auto"/>
                <w:sz w:val="24"/>
              </w:rPr>
              <w:t>项目设置一个出入口，出入口位于项目区东侧，出入口进入项目区内北侧为值班室及消防控制室，南侧为消防泵房及发电机房，消防水池位于项目区东南角，1#仓库和2#仓库位于项目区西侧，</w:t>
            </w:r>
            <w:r>
              <w:rPr>
                <w:rFonts w:hint="eastAsia"/>
                <w:color w:val="auto"/>
                <w:sz w:val="24"/>
                <w:lang w:eastAsia="zh-CN"/>
              </w:rPr>
              <w:t>呈</w:t>
            </w:r>
            <w:r>
              <w:rPr>
                <w:rFonts w:hint="eastAsia"/>
                <w:color w:val="auto"/>
                <w:sz w:val="24"/>
              </w:rPr>
              <w:t>南北排列，北侧为1#仓库，南侧为2#仓库。项目工</w:t>
            </w:r>
            <w:r>
              <w:rPr>
                <w:color w:val="auto"/>
                <w:sz w:val="24"/>
              </w:rPr>
              <w:t>艺流程通顺，总体布置合理、紧凑，人货分流。布置有利于生产和运输。在符合国家有关防火、安全、卫生等规范要求及生产工艺要求的前提下，货物及人流路线最短，以达到工程管线短，日常能耗小，投资省，占地小，见效快的目的。综上所述，厂区平面布置功能分区较为明确，布置紧凑，管线短捷，运输方便，基本满足防火、安全要求，总图布置较为合理，</w:t>
            </w:r>
            <w:r>
              <w:rPr>
                <w:rFonts w:hint="eastAsia"/>
                <w:color w:val="auto"/>
                <w:sz w:val="24"/>
              </w:rPr>
              <w:t>项目各建筑物间距离明细表见表2-7，</w:t>
            </w:r>
            <w:r>
              <w:rPr>
                <w:color w:val="auto"/>
                <w:sz w:val="24"/>
              </w:rPr>
              <w:t>项目平面布置详见附图4。</w:t>
            </w:r>
          </w:p>
          <w:p>
            <w:pPr>
              <w:pStyle w:val="52"/>
              <w:rPr>
                <w:color w:val="auto"/>
              </w:rPr>
            </w:pPr>
            <w:r>
              <w:rPr>
                <w:rFonts w:hint="eastAsia"/>
                <w:color w:val="auto"/>
              </w:rPr>
              <w:t>表2-7各建筑物间距离明细表</w:t>
            </w:r>
          </w:p>
          <w:tbl>
            <w:tblPr>
              <w:tblStyle w:val="27"/>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1364"/>
              <w:gridCol w:w="1364"/>
              <w:gridCol w:w="1364"/>
              <w:gridCol w:w="1364"/>
              <w:gridCol w:w="136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tcBorders>
                    <w:tl2br w:val="nil"/>
                    <w:tr2bl w:val="nil"/>
                  </w:tcBorders>
                  <w:vAlign w:val="center"/>
                </w:tcPr>
                <w:p>
                  <w:pPr>
                    <w:jc w:val="center"/>
                    <w:rPr>
                      <w:color w:val="auto"/>
                      <w:szCs w:val="21"/>
                    </w:rPr>
                  </w:pPr>
                  <w:r>
                    <w:rPr>
                      <w:rFonts w:hint="eastAsia"/>
                      <w:color w:val="auto"/>
                      <w:szCs w:val="21"/>
                    </w:rPr>
                    <w:t>距离（m）</w:t>
                  </w:r>
                </w:p>
              </w:tc>
              <w:tc>
                <w:tcPr>
                  <w:tcW w:w="833" w:type="pct"/>
                  <w:tcBorders>
                    <w:tl2br w:val="nil"/>
                    <w:tr2bl w:val="nil"/>
                  </w:tcBorders>
                  <w:vAlign w:val="center"/>
                </w:tcPr>
                <w:p>
                  <w:pPr>
                    <w:jc w:val="center"/>
                    <w:rPr>
                      <w:color w:val="auto"/>
                      <w:szCs w:val="21"/>
                    </w:rPr>
                  </w:pPr>
                  <w:r>
                    <w:rPr>
                      <w:rFonts w:hint="eastAsia"/>
                      <w:color w:val="auto"/>
                      <w:szCs w:val="21"/>
                    </w:rPr>
                    <w:t>值班室及消防控制室</w:t>
                  </w:r>
                </w:p>
              </w:tc>
              <w:tc>
                <w:tcPr>
                  <w:tcW w:w="833" w:type="pct"/>
                  <w:tcBorders>
                    <w:tl2br w:val="nil"/>
                    <w:tr2bl w:val="nil"/>
                  </w:tcBorders>
                  <w:vAlign w:val="center"/>
                </w:tcPr>
                <w:p>
                  <w:pPr>
                    <w:jc w:val="center"/>
                    <w:rPr>
                      <w:color w:val="auto"/>
                      <w:szCs w:val="21"/>
                    </w:rPr>
                  </w:pPr>
                  <w:r>
                    <w:rPr>
                      <w:rFonts w:hint="eastAsia"/>
                      <w:color w:val="auto"/>
                      <w:szCs w:val="21"/>
                    </w:rPr>
                    <w:t>消防泵房及发电机房</w:t>
                  </w:r>
                </w:p>
              </w:tc>
              <w:tc>
                <w:tcPr>
                  <w:tcW w:w="833" w:type="pct"/>
                  <w:tcBorders>
                    <w:tl2br w:val="nil"/>
                    <w:tr2bl w:val="nil"/>
                  </w:tcBorders>
                  <w:vAlign w:val="center"/>
                </w:tcPr>
                <w:p>
                  <w:pPr>
                    <w:jc w:val="center"/>
                    <w:rPr>
                      <w:color w:val="auto"/>
                      <w:szCs w:val="21"/>
                    </w:rPr>
                  </w:pPr>
                  <w:r>
                    <w:rPr>
                      <w:rFonts w:hint="eastAsia"/>
                      <w:color w:val="auto"/>
                      <w:szCs w:val="21"/>
                    </w:rPr>
                    <w:t>1#仓库</w:t>
                  </w:r>
                </w:p>
              </w:tc>
              <w:tc>
                <w:tcPr>
                  <w:tcW w:w="833" w:type="pct"/>
                  <w:tcBorders>
                    <w:tl2br w:val="nil"/>
                    <w:tr2bl w:val="nil"/>
                  </w:tcBorders>
                  <w:vAlign w:val="center"/>
                </w:tcPr>
                <w:p>
                  <w:pPr>
                    <w:jc w:val="center"/>
                    <w:rPr>
                      <w:color w:val="auto"/>
                      <w:szCs w:val="21"/>
                    </w:rPr>
                  </w:pPr>
                  <w:r>
                    <w:rPr>
                      <w:rFonts w:hint="eastAsia"/>
                      <w:color w:val="auto"/>
                      <w:szCs w:val="21"/>
                    </w:rPr>
                    <w:t>2#仓库</w:t>
                  </w:r>
                </w:p>
              </w:tc>
              <w:tc>
                <w:tcPr>
                  <w:tcW w:w="833" w:type="pct"/>
                  <w:tcBorders>
                    <w:tl2br w:val="nil"/>
                    <w:tr2bl w:val="nil"/>
                  </w:tcBorders>
                  <w:vAlign w:val="center"/>
                </w:tcPr>
                <w:p>
                  <w:pPr>
                    <w:jc w:val="center"/>
                    <w:rPr>
                      <w:color w:val="auto"/>
                      <w:szCs w:val="21"/>
                    </w:rPr>
                  </w:pPr>
                  <w:r>
                    <w:rPr>
                      <w:rFonts w:hint="eastAsia"/>
                      <w:color w:val="auto"/>
                      <w:szCs w:val="21"/>
                    </w:rPr>
                    <w:t>消防水池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tcBorders>
                    <w:tl2br w:val="nil"/>
                    <w:tr2bl w:val="nil"/>
                  </w:tcBorders>
                  <w:vAlign w:val="center"/>
                </w:tcPr>
                <w:p>
                  <w:pPr>
                    <w:jc w:val="center"/>
                    <w:rPr>
                      <w:color w:val="auto"/>
                      <w:szCs w:val="21"/>
                    </w:rPr>
                  </w:pPr>
                  <w:r>
                    <w:rPr>
                      <w:rFonts w:hint="eastAsia"/>
                      <w:color w:val="auto"/>
                      <w:szCs w:val="21"/>
                    </w:rPr>
                    <w:t>值班室及消防控制室</w:t>
                  </w:r>
                </w:p>
              </w:tc>
              <w:tc>
                <w:tcPr>
                  <w:tcW w:w="833" w:type="pct"/>
                  <w:tcBorders>
                    <w:tl2br w:val="nil"/>
                    <w:tr2bl w:val="nil"/>
                  </w:tcBorders>
                  <w:vAlign w:val="center"/>
                </w:tcPr>
                <w:p>
                  <w:pPr>
                    <w:jc w:val="center"/>
                    <w:rPr>
                      <w:color w:val="auto"/>
                      <w:szCs w:val="21"/>
                    </w:rPr>
                  </w:pPr>
                  <w:r>
                    <w:rPr>
                      <w:rFonts w:hint="eastAsia"/>
                      <w:color w:val="auto"/>
                      <w:szCs w:val="21"/>
                    </w:rPr>
                    <w:t>/</w:t>
                  </w:r>
                </w:p>
              </w:tc>
              <w:tc>
                <w:tcPr>
                  <w:tcW w:w="833" w:type="pct"/>
                  <w:tcBorders>
                    <w:tl2br w:val="nil"/>
                    <w:tr2bl w:val="nil"/>
                  </w:tcBorders>
                  <w:vAlign w:val="center"/>
                </w:tcPr>
                <w:p>
                  <w:pPr>
                    <w:jc w:val="center"/>
                    <w:rPr>
                      <w:color w:val="auto"/>
                      <w:szCs w:val="21"/>
                    </w:rPr>
                  </w:pPr>
                  <w:r>
                    <w:rPr>
                      <w:rFonts w:hint="eastAsia"/>
                      <w:color w:val="auto"/>
                      <w:szCs w:val="21"/>
                    </w:rPr>
                    <w:t>19</w:t>
                  </w:r>
                </w:p>
              </w:tc>
              <w:tc>
                <w:tcPr>
                  <w:tcW w:w="833" w:type="pct"/>
                  <w:tcBorders>
                    <w:tl2br w:val="nil"/>
                    <w:tr2bl w:val="nil"/>
                  </w:tcBorders>
                  <w:vAlign w:val="center"/>
                </w:tcPr>
                <w:p>
                  <w:pPr>
                    <w:jc w:val="center"/>
                    <w:rPr>
                      <w:color w:val="auto"/>
                      <w:szCs w:val="21"/>
                    </w:rPr>
                  </w:pPr>
                  <w:r>
                    <w:rPr>
                      <w:rFonts w:hint="eastAsia"/>
                      <w:color w:val="auto"/>
                      <w:szCs w:val="21"/>
                    </w:rPr>
                    <w:t>40</w:t>
                  </w:r>
                </w:p>
              </w:tc>
              <w:tc>
                <w:tcPr>
                  <w:tcW w:w="833" w:type="pct"/>
                  <w:tcBorders>
                    <w:tl2br w:val="nil"/>
                    <w:tr2bl w:val="nil"/>
                  </w:tcBorders>
                  <w:vAlign w:val="center"/>
                </w:tcPr>
                <w:p>
                  <w:pPr>
                    <w:jc w:val="center"/>
                    <w:rPr>
                      <w:color w:val="auto"/>
                      <w:szCs w:val="21"/>
                    </w:rPr>
                  </w:pPr>
                  <w:r>
                    <w:rPr>
                      <w:rFonts w:hint="eastAsia"/>
                      <w:color w:val="auto"/>
                      <w:szCs w:val="21"/>
                    </w:rPr>
                    <w:t>46</w:t>
                  </w:r>
                </w:p>
              </w:tc>
              <w:tc>
                <w:tcPr>
                  <w:tcW w:w="833" w:type="pct"/>
                  <w:tcBorders>
                    <w:tl2br w:val="nil"/>
                    <w:tr2bl w:val="nil"/>
                  </w:tcBorders>
                  <w:vAlign w:val="center"/>
                </w:tcPr>
                <w:p>
                  <w:pPr>
                    <w:jc w:val="center"/>
                    <w:rPr>
                      <w:color w:val="auto"/>
                      <w:szCs w:val="21"/>
                    </w:rPr>
                  </w:pPr>
                  <w:r>
                    <w:rPr>
                      <w:rFonts w:hint="eastAsia"/>
                      <w:color w:val="auto"/>
                      <w:szCs w:val="21"/>
                    </w:rPr>
                    <w:t>37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tcBorders>
                    <w:tl2br w:val="nil"/>
                    <w:tr2bl w:val="nil"/>
                  </w:tcBorders>
                  <w:vAlign w:val="center"/>
                </w:tcPr>
                <w:p>
                  <w:pPr>
                    <w:jc w:val="center"/>
                    <w:rPr>
                      <w:color w:val="auto"/>
                      <w:szCs w:val="21"/>
                    </w:rPr>
                  </w:pPr>
                  <w:r>
                    <w:rPr>
                      <w:rFonts w:hint="eastAsia"/>
                      <w:color w:val="auto"/>
                      <w:szCs w:val="21"/>
                    </w:rPr>
                    <w:t>消防泵房及发电机房</w:t>
                  </w:r>
                </w:p>
              </w:tc>
              <w:tc>
                <w:tcPr>
                  <w:tcW w:w="833" w:type="pct"/>
                  <w:tcBorders>
                    <w:tl2br w:val="nil"/>
                    <w:tr2bl w:val="nil"/>
                  </w:tcBorders>
                  <w:vAlign w:val="center"/>
                </w:tcPr>
                <w:p>
                  <w:pPr>
                    <w:jc w:val="center"/>
                    <w:rPr>
                      <w:color w:val="auto"/>
                      <w:szCs w:val="21"/>
                    </w:rPr>
                  </w:pPr>
                  <w:r>
                    <w:rPr>
                      <w:rFonts w:hint="eastAsia"/>
                      <w:color w:val="auto"/>
                      <w:szCs w:val="21"/>
                    </w:rPr>
                    <w:t>19</w:t>
                  </w:r>
                </w:p>
              </w:tc>
              <w:tc>
                <w:tcPr>
                  <w:tcW w:w="833" w:type="pct"/>
                  <w:tcBorders>
                    <w:tl2br w:val="nil"/>
                    <w:tr2bl w:val="nil"/>
                  </w:tcBorders>
                  <w:vAlign w:val="center"/>
                </w:tcPr>
                <w:p>
                  <w:pPr>
                    <w:jc w:val="center"/>
                    <w:rPr>
                      <w:color w:val="auto"/>
                      <w:szCs w:val="21"/>
                    </w:rPr>
                  </w:pPr>
                  <w:r>
                    <w:rPr>
                      <w:rFonts w:hint="eastAsia"/>
                      <w:color w:val="auto"/>
                      <w:szCs w:val="21"/>
                    </w:rPr>
                    <w:t>/</w:t>
                  </w:r>
                </w:p>
              </w:tc>
              <w:tc>
                <w:tcPr>
                  <w:tcW w:w="833" w:type="pct"/>
                  <w:tcBorders>
                    <w:tl2br w:val="nil"/>
                    <w:tr2bl w:val="nil"/>
                  </w:tcBorders>
                  <w:vAlign w:val="center"/>
                </w:tcPr>
                <w:p>
                  <w:pPr>
                    <w:jc w:val="center"/>
                    <w:rPr>
                      <w:color w:val="auto"/>
                      <w:szCs w:val="21"/>
                    </w:rPr>
                  </w:pPr>
                  <w:r>
                    <w:rPr>
                      <w:rFonts w:hint="eastAsia"/>
                      <w:color w:val="auto"/>
                      <w:szCs w:val="21"/>
                    </w:rPr>
                    <w:t>47.4</w:t>
                  </w:r>
                </w:p>
              </w:tc>
              <w:tc>
                <w:tcPr>
                  <w:tcW w:w="833" w:type="pct"/>
                  <w:tcBorders>
                    <w:tl2br w:val="nil"/>
                    <w:tr2bl w:val="nil"/>
                  </w:tcBorders>
                  <w:vAlign w:val="center"/>
                </w:tcPr>
                <w:p>
                  <w:pPr>
                    <w:jc w:val="center"/>
                    <w:rPr>
                      <w:color w:val="auto"/>
                      <w:szCs w:val="21"/>
                    </w:rPr>
                  </w:pPr>
                  <w:r>
                    <w:rPr>
                      <w:rFonts w:hint="eastAsia"/>
                      <w:color w:val="auto"/>
                      <w:szCs w:val="21"/>
                    </w:rPr>
                    <w:t>40</w:t>
                  </w:r>
                </w:p>
              </w:tc>
              <w:tc>
                <w:tcPr>
                  <w:tcW w:w="833" w:type="pct"/>
                  <w:tcBorders>
                    <w:tl2br w:val="nil"/>
                    <w:tr2bl w:val="nil"/>
                  </w:tcBorders>
                  <w:vAlign w:val="center"/>
                </w:tcPr>
                <w:p>
                  <w:pPr>
                    <w:jc w:val="center"/>
                    <w:rPr>
                      <w:color w:val="auto"/>
                      <w:szCs w:val="21"/>
                    </w:rPr>
                  </w:pPr>
                  <w:r>
                    <w:rPr>
                      <w:rFonts w:hint="eastAsia"/>
                      <w:color w:val="auto"/>
                      <w:szCs w:val="21"/>
                    </w:rPr>
                    <w:t>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833" w:type="pct"/>
                  <w:tcBorders>
                    <w:tl2br w:val="nil"/>
                    <w:tr2bl w:val="nil"/>
                  </w:tcBorders>
                  <w:vAlign w:val="center"/>
                </w:tcPr>
                <w:p>
                  <w:pPr>
                    <w:jc w:val="center"/>
                    <w:rPr>
                      <w:color w:val="auto"/>
                      <w:szCs w:val="21"/>
                    </w:rPr>
                  </w:pPr>
                  <w:r>
                    <w:rPr>
                      <w:rFonts w:hint="eastAsia"/>
                      <w:color w:val="auto"/>
                      <w:szCs w:val="21"/>
                    </w:rPr>
                    <w:t>1#仓库</w:t>
                  </w:r>
                </w:p>
              </w:tc>
              <w:tc>
                <w:tcPr>
                  <w:tcW w:w="833" w:type="pct"/>
                  <w:tcBorders>
                    <w:tl2br w:val="nil"/>
                    <w:tr2bl w:val="nil"/>
                  </w:tcBorders>
                  <w:vAlign w:val="center"/>
                </w:tcPr>
                <w:p>
                  <w:pPr>
                    <w:jc w:val="center"/>
                    <w:rPr>
                      <w:color w:val="auto"/>
                      <w:szCs w:val="21"/>
                    </w:rPr>
                  </w:pPr>
                  <w:r>
                    <w:rPr>
                      <w:rFonts w:hint="eastAsia"/>
                      <w:color w:val="auto"/>
                      <w:szCs w:val="21"/>
                    </w:rPr>
                    <w:t>40</w:t>
                  </w:r>
                </w:p>
              </w:tc>
              <w:tc>
                <w:tcPr>
                  <w:tcW w:w="833" w:type="pct"/>
                  <w:tcBorders>
                    <w:tl2br w:val="nil"/>
                    <w:tr2bl w:val="nil"/>
                  </w:tcBorders>
                  <w:vAlign w:val="center"/>
                </w:tcPr>
                <w:p>
                  <w:pPr>
                    <w:jc w:val="center"/>
                    <w:rPr>
                      <w:color w:val="auto"/>
                      <w:szCs w:val="21"/>
                    </w:rPr>
                  </w:pPr>
                  <w:r>
                    <w:rPr>
                      <w:rFonts w:hint="eastAsia"/>
                      <w:color w:val="auto"/>
                      <w:szCs w:val="21"/>
                    </w:rPr>
                    <w:t>47.4</w:t>
                  </w:r>
                </w:p>
              </w:tc>
              <w:tc>
                <w:tcPr>
                  <w:tcW w:w="833" w:type="pct"/>
                  <w:tcBorders>
                    <w:tl2br w:val="nil"/>
                    <w:tr2bl w:val="nil"/>
                  </w:tcBorders>
                  <w:vAlign w:val="center"/>
                </w:tcPr>
                <w:p>
                  <w:pPr>
                    <w:jc w:val="center"/>
                    <w:rPr>
                      <w:color w:val="auto"/>
                      <w:szCs w:val="21"/>
                    </w:rPr>
                  </w:pPr>
                  <w:r>
                    <w:rPr>
                      <w:rFonts w:hint="eastAsia"/>
                      <w:color w:val="auto"/>
                      <w:szCs w:val="21"/>
                    </w:rPr>
                    <w:t>/</w:t>
                  </w:r>
                </w:p>
              </w:tc>
              <w:tc>
                <w:tcPr>
                  <w:tcW w:w="833" w:type="pct"/>
                  <w:tcBorders>
                    <w:tl2br w:val="nil"/>
                    <w:tr2bl w:val="nil"/>
                  </w:tcBorders>
                  <w:vAlign w:val="center"/>
                </w:tcPr>
                <w:p>
                  <w:pPr>
                    <w:jc w:val="center"/>
                    <w:rPr>
                      <w:color w:val="auto"/>
                      <w:szCs w:val="21"/>
                    </w:rPr>
                  </w:pPr>
                  <w:r>
                    <w:rPr>
                      <w:rFonts w:hint="eastAsia"/>
                      <w:color w:val="auto"/>
                      <w:szCs w:val="21"/>
                    </w:rPr>
                    <w:t>30</w:t>
                  </w:r>
                </w:p>
              </w:tc>
              <w:tc>
                <w:tcPr>
                  <w:tcW w:w="833" w:type="pct"/>
                  <w:tcBorders>
                    <w:tl2br w:val="nil"/>
                    <w:tr2bl w:val="nil"/>
                  </w:tcBorders>
                  <w:vAlign w:val="center"/>
                </w:tcPr>
                <w:p>
                  <w:pPr>
                    <w:jc w:val="center"/>
                    <w:rPr>
                      <w:color w:val="auto"/>
                      <w:szCs w:val="21"/>
                    </w:rPr>
                  </w:pPr>
                  <w:r>
                    <w:rPr>
                      <w:rFonts w:hint="eastAsia"/>
                      <w:color w:val="auto"/>
                      <w:szCs w:val="21"/>
                    </w:rPr>
                    <w:t>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833" w:type="pct"/>
                  <w:tcBorders>
                    <w:tl2br w:val="nil"/>
                    <w:tr2bl w:val="nil"/>
                  </w:tcBorders>
                  <w:vAlign w:val="center"/>
                </w:tcPr>
                <w:p>
                  <w:pPr>
                    <w:jc w:val="center"/>
                    <w:rPr>
                      <w:color w:val="auto"/>
                      <w:szCs w:val="21"/>
                    </w:rPr>
                  </w:pPr>
                  <w:r>
                    <w:rPr>
                      <w:rFonts w:hint="eastAsia"/>
                      <w:color w:val="auto"/>
                      <w:szCs w:val="21"/>
                    </w:rPr>
                    <w:t>2#仓库</w:t>
                  </w:r>
                </w:p>
              </w:tc>
              <w:tc>
                <w:tcPr>
                  <w:tcW w:w="833" w:type="pct"/>
                  <w:tcBorders>
                    <w:tl2br w:val="nil"/>
                    <w:tr2bl w:val="nil"/>
                  </w:tcBorders>
                  <w:vAlign w:val="center"/>
                </w:tcPr>
                <w:p>
                  <w:pPr>
                    <w:jc w:val="center"/>
                    <w:rPr>
                      <w:color w:val="auto"/>
                      <w:szCs w:val="21"/>
                    </w:rPr>
                  </w:pPr>
                  <w:r>
                    <w:rPr>
                      <w:rFonts w:hint="eastAsia"/>
                      <w:color w:val="auto"/>
                      <w:szCs w:val="21"/>
                    </w:rPr>
                    <w:t>46</w:t>
                  </w:r>
                </w:p>
              </w:tc>
              <w:tc>
                <w:tcPr>
                  <w:tcW w:w="833" w:type="pct"/>
                  <w:tcBorders>
                    <w:tl2br w:val="nil"/>
                    <w:tr2bl w:val="nil"/>
                  </w:tcBorders>
                  <w:vAlign w:val="center"/>
                </w:tcPr>
                <w:p>
                  <w:pPr>
                    <w:jc w:val="center"/>
                    <w:rPr>
                      <w:color w:val="auto"/>
                      <w:szCs w:val="21"/>
                    </w:rPr>
                  </w:pPr>
                  <w:r>
                    <w:rPr>
                      <w:rFonts w:hint="eastAsia"/>
                      <w:color w:val="auto"/>
                      <w:szCs w:val="21"/>
                    </w:rPr>
                    <w:t>40</w:t>
                  </w:r>
                </w:p>
              </w:tc>
              <w:tc>
                <w:tcPr>
                  <w:tcW w:w="833" w:type="pct"/>
                  <w:tcBorders>
                    <w:tl2br w:val="nil"/>
                    <w:tr2bl w:val="nil"/>
                  </w:tcBorders>
                  <w:vAlign w:val="center"/>
                </w:tcPr>
                <w:p>
                  <w:pPr>
                    <w:jc w:val="center"/>
                    <w:rPr>
                      <w:color w:val="auto"/>
                      <w:szCs w:val="21"/>
                    </w:rPr>
                  </w:pPr>
                  <w:r>
                    <w:rPr>
                      <w:rFonts w:hint="eastAsia"/>
                      <w:color w:val="auto"/>
                      <w:szCs w:val="21"/>
                    </w:rPr>
                    <w:t>30</w:t>
                  </w:r>
                </w:p>
              </w:tc>
              <w:tc>
                <w:tcPr>
                  <w:tcW w:w="833" w:type="pct"/>
                  <w:tcBorders>
                    <w:tl2br w:val="nil"/>
                    <w:tr2bl w:val="nil"/>
                  </w:tcBorders>
                  <w:vAlign w:val="center"/>
                </w:tcPr>
                <w:p>
                  <w:pPr>
                    <w:jc w:val="center"/>
                    <w:rPr>
                      <w:color w:val="auto"/>
                      <w:szCs w:val="21"/>
                    </w:rPr>
                  </w:pPr>
                  <w:r>
                    <w:rPr>
                      <w:rFonts w:hint="eastAsia"/>
                      <w:color w:val="auto"/>
                      <w:szCs w:val="21"/>
                    </w:rPr>
                    <w:t>/</w:t>
                  </w:r>
                </w:p>
              </w:tc>
              <w:tc>
                <w:tcPr>
                  <w:tcW w:w="833" w:type="pct"/>
                  <w:tcBorders>
                    <w:tl2br w:val="nil"/>
                    <w:tr2bl w:val="nil"/>
                  </w:tcBorders>
                  <w:vAlign w:val="center"/>
                </w:tcPr>
                <w:p>
                  <w:pPr>
                    <w:jc w:val="center"/>
                    <w:rPr>
                      <w:color w:val="auto"/>
                      <w:szCs w:val="21"/>
                    </w:rPr>
                  </w:pPr>
                  <w:r>
                    <w:rPr>
                      <w:rFonts w:hint="eastAsia"/>
                      <w:color w:val="auto"/>
                      <w:szCs w:val="21"/>
                    </w:rPr>
                    <w:t>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833" w:type="pct"/>
                  <w:tcBorders>
                    <w:tl2br w:val="nil"/>
                    <w:tr2bl w:val="nil"/>
                  </w:tcBorders>
                  <w:vAlign w:val="center"/>
                </w:tcPr>
                <w:p>
                  <w:pPr>
                    <w:jc w:val="center"/>
                    <w:rPr>
                      <w:color w:val="auto"/>
                      <w:szCs w:val="21"/>
                    </w:rPr>
                  </w:pPr>
                  <w:r>
                    <w:rPr>
                      <w:rFonts w:hint="eastAsia"/>
                      <w:color w:val="auto"/>
                      <w:szCs w:val="21"/>
                    </w:rPr>
                    <w:t>消防水池</w:t>
                  </w:r>
                </w:p>
              </w:tc>
              <w:tc>
                <w:tcPr>
                  <w:tcW w:w="833" w:type="pct"/>
                  <w:tcBorders>
                    <w:tl2br w:val="nil"/>
                    <w:tr2bl w:val="nil"/>
                  </w:tcBorders>
                  <w:vAlign w:val="center"/>
                </w:tcPr>
                <w:p>
                  <w:pPr>
                    <w:jc w:val="center"/>
                    <w:rPr>
                      <w:color w:val="auto"/>
                      <w:szCs w:val="21"/>
                    </w:rPr>
                  </w:pPr>
                  <w:r>
                    <w:rPr>
                      <w:rFonts w:hint="eastAsia"/>
                      <w:color w:val="auto"/>
                      <w:szCs w:val="21"/>
                    </w:rPr>
                    <w:t>37</w:t>
                  </w:r>
                </w:p>
              </w:tc>
              <w:tc>
                <w:tcPr>
                  <w:tcW w:w="833" w:type="pct"/>
                  <w:tcBorders>
                    <w:tl2br w:val="nil"/>
                    <w:tr2bl w:val="nil"/>
                  </w:tcBorders>
                  <w:vAlign w:val="center"/>
                </w:tcPr>
                <w:p>
                  <w:pPr>
                    <w:jc w:val="center"/>
                    <w:rPr>
                      <w:color w:val="auto"/>
                      <w:szCs w:val="21"/>
                    </w:rPr>
                  </w:pPr>
                  <w:r>
                    <w:rPr>
                      <w:rFonts w:hint="eastAsia"/>
                      <w:color w:val="auto"/>
                      <w:szCs w:val="21"/>
                    </w:rPr>
                    <w:t>5.5</w:t>
                  </w:r>
                </w:p>
              </w:tc>
              <w:tc>
                <w:tcPr>
                  <w:tcW w:w="833" w:type="pct"/>
                  <w:tcBorders>
                    <w:tl2br w:val="nil"/>
                    <w:tr2bl w:val="nil"/>
                  </w:tcBorders>
                  <w:vAlign w:val="center"/>
                </w:tcPr>
                <w:p>
                  <w:pPr>
                    <w:jc w:val="center"/>
                    <w:rPr>
                      <w:color w:val="auto"/>
                      <w:szCs w:val="21"/>
                    </w:rPr>
                  </w:pPr>
                  <w:r>
                    <w:rPr>
                      <w:rFonts w:hint="eastAsia"/>
                      <w:color w:val="auto"/>
                      <w:szCs w:val="21"/>
                    </w:rPr>
                    <w:t>56</w:t>
                  </w:r>
                </w:p>
              </w:tc>
              <w:tc>
                <w:tcPr>
                  <w:tcW w:w="833" w:type="pct"/>
                  <w:tcBorders>
                    <w:tl2br w:val="nil"/>
                    <w:tr2bl w:val="nil"/>
                  </w:tcBorders>
                  <w:vAlign w:val="center"/>
                </w:tcPr>
                <w:p>
                  <w:pPr>
                    <w:jc w:val="center"/>
                    <w:rPr>
                      <w:color w:val="auto"/>
                      <w:szCs w:val="21"/>
                    </w:rPr>
                  </w:pPr>
                  <w:r>
                    <w:rPr>
                      <w:rFonts w:hint="eastAsia"/>
                      <w:color w:val="auto"/>
                      <w:szCs w:val="21"/>
                    </w:rPr>
                    <w:t>40</w:t>
                  </w:r>
                </w:p>
              </w:tc>
              <w:tc>
                <w:tcPr>
                  <w:tcW w:w="833" w:type="pct"/>
                  <w:tcBorders>
                    <w:tl2br w:val="nil"/>
                    <w:tr2bl w:val="nil"/>
                  </w:tcBorders>
                  <w:vAlign w:val="center"/>
                </w:tcPr>
                <w:p>
                  <w:pPr>
                    <w:jc w:val="center"/>
                    <w:rPr>
                      <w:color w:val="auto"/>
                      <w:szCs w:val="21"/>
                    </w:rPr>
                  </w:pPr>
                  <w:r>
                    <w:rPr>
                      <w:rFonts w:hint="eastAsia"/>
                      <w:color w:val="auto"/>
                      <w:szCs w:val="21"/>
                    </w:rPr>
                    <w:t>/</w:t>
                  </w:r>
                </w:p>
              </w:tc>
            </w:tr>
          </w:tbl>
          <w:p>
            <w:pPr>
              <w:spacing w:line="520" w:lineRule="exact"/>
              <w:ind w:firstLine="420" w:firstLineChars="200"/>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59" w:type="dxa"/>
            <w:vAlign w:val="center"/>
          </w:tcPr>
          <w:p>
            <w:pPr>
              <w:pStyle w:val="23"/>
              <w:adjustRightInd w:val="0"/>
              <w:snapToGrid w:val="0"/>
              <w:spacing w:before="0" w:beforeAutospacing="0" w:after="0" w:afterAutospacing="0"/>
              <w:jc w:val="center"/>
              <w:rPr>
                <w:rFonts w:ascii="Times New Roman" w:hAnsi="Times New Roman"/>
                <w:color w:val="auto"/>
                <w:sz w:val="21"/>
                <w:szCs w:val="21"/>
              </w:rPr>
            </w:pPr>
            <w:r>
              <w:rPr>
                <w:rFonts w:ascii="Times New Roman" w:hAnsi="Times New Roman"/>
                <w:color w:val="auto"/>
                <w:sz w:val="21"/>
                <w:szCs w:val="21"/>
              </w:rPr>
              <w:t>工艺流程和产排污环节</w:t>
            </w:r>
          </w:p>
        </w:tc>
        <w:tc>
          <w:tcPr>
            <w:tcW w:w="8401" w:type="dxa"/>
          </w:tcPr>
          <w:p>
            <w:pPr>
              <w:spacing w:line="520" w:lineRule="exact"/>
              <w:rPr>
                <w:b/>
                <w:color w:val="auto"/>
                <w:sz w:val="24"/>
              </w:rPr>
            </w:pPr>
            <w:r>
              <w:rPr>
                <w:b/>
                <w:color w:val="auto"/>
                <w:sz w:val="24"/>
              </w:rPr>
              <w:t>一、施工期工艺流程及产污环节</w:t>
            </w:r>
          </w:p>
          <w:p>
            <w:pPr>
              <w:widowControl/>
              <w:spacing w:line="520" w:lineRule="exact"/>
              <w:ind w:firstLine="480" w:firstLineChars="200"/>
              <w:jc w:val="left"/>
              <w:rPr>
                <w:color w:val="auto"/>
                <w:kern w:val="0"/>
                <w:sz w:val="24"/>
              </w:rPr>
            </w:pPr>
            <w:r>
              <w:rPr>
                <w:color w:val="auto"/>
                <w:kern w:val="0"/>
                <w:sz w:val="24"/>
              </w:rPr>
              <w:t>本项目为新建，施工期主要活动包括基础开挖、场地平整、主体工程建设、设备安装等，将有施工废气、施工扬尘、施工噪声、施工废水、建筑废渣等产生，施工期工艺流程图及产污途径见下图2-2。</w:t>
            </w:r>
          </w:p>
          <w:p>
            <w:pPr>
              <w:adjustRightInd w:val="0"/>
              <w:snapToGrid w:val="0"/>
              <w:ind w:firstLine="480" w:firstLineChars="200"/>
              <w:jc w:val="center"/>
              <w:rPr>
                <w:color w:val="auto"/>
                <w:sz w:val="24"/>
              </w:rPr>
            </w:pPr>
            <w:r>
              <w:rPr>
                <w:color w:val="auto"/>
                <w:sz w:val="24"/>
              </w:rPr>
              <w:drawing>
                <wp:inline distT="0" distB="0" distL="114300" distR="114300">
                  <wp:extent cx="4064635" cy="1731010"/>
                  <wp:effectExtent l="0" t="0" r="0" b="0"/>
                  <wp:docPr id="1"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wps"/>
                          <pic:cNvPicPr>
                            <a:picLocks noChangeAspect="1"/>
                          </pic:cNvPicPr>
                        </pic:nvPicPr>
                        <pic:blipFill>
                          <a:blip r:embed="rId10" cstate="print"/>
                          <a:stretch>
                            <a:fillRect/>
                          </a:stretch>
                        </pic:blipFill>
                        <pic:spPr>
                          <a:xfrm>
                            <a:off x="0" y="0"/>
                            <a:ext cx="4064635" cy="1731010"/>
                          </a:xfrm>
                          <a:prstGeom prst="rect">
                            <a:avLst/>
                          </a:prstGeom>
                          <a:noFill/>
                          <a:ln>
                            <a:noFill/>
                          </a:ln>
                        </pic:spPr>
                      </pic:pic>
                    </a:graphicData>
                  </a:graphic>
                </wp:inline>
              </w:drawing>
            </w:r>
          </w:p>
          <w:p>
            <w:pPr>
              <w:spacing w:line="360" w:lineRule="auto"/>
              <w:ind w:firstLine="480"/>
              <w:jc w:val="center"/>
              <w:rPr>
                <w:b/>
                <w:color w:val="auto"/>
                <w:sz w:val="24"/>
              </w:rPr>
            </w:pPr>
            <w:r>
              <w:rPr>
                <w:b/>
                <w:color w:val="auto"/>
                <w:sz w:val="24"/>
              </w:rPr>
              <w:t>图2-2  施工期生产流程及产污环节图</w:t>
            </w:r>
          </w:p>
          <w:p>
            <w:pPr>
              <w:spacing w:line="360" w:lineRule="auto"/>
              <w:rPr>
                <w:b/>
                <w:color w:val="auto"/>
                <w:sz w:val="24"/>
              </w:rPr>
            </w:pPr>
            <w:r>
              <w:rPr>
                <w:b/>
                <w:color w:val="auto"/>
                <w:sz w:val="24"/>
              </w:rPr>
              <w:t>二、运营期生产工艺流程图</w:t>
            </w:r>
          </w:p>
          <w:p>
            <w:pPr>
              <w:widowControl/>
              <w:spacing w:line="360" w:lineRule="auto"/>
              <w:ind w:firstLine="480" w:firstLineChars="200"/>
              <w:jc w:val="left"/>
              <w:rPr>
                <w:color w:val="auto"/>
                <w:kern w:val="0"/>
                <w:sz w:val="24"/>
              </w:rPr>
            </w:pPr>
            <w:r>
              <w:rPr>
                <w:color w:val="auto"/>
                <w:kern w:val="0"/>
                <w:sz w:val="24"/>
              </w:rPr>
              <w:t>（1）工艺流程</w:t>
            </w:r>
          </w:p>
          <w:p>
            <w:pPr>
              <w:widowControl/>
              <w:spacing w:line="360" w:lineRule="auto"/>
              <w:ind w:firstLine="480" w:firstLineChars="200"/>
              <w:jc w:val="left"/>
              <w:rPr>
                <w:color w:val="auto"/>
                <w:kern w:val="0"/>
                <w:sz w:val="24"/>
              </w:rPr>
            </w:pPr>
            <w:r>
              <w:rPr>
                <w:color w:val="auto"/>
                <w:kern w:val="0"/>
                <w:sz w:val="24"/>
              </w:rPr>
              <w:t>项目营运期工艺流程如下图：</w:t>
            </w:r>
          </w:p>
          <w:p>
            <w:pPr>
              <w:pStyle w:val="2"/>
              <w:numPr>
                <w:ilvl w:val="2"/>
                <w:numId w:val="0"/>
              </w:numPr>
              <w:tabs>
                <w:tab w:val="clear" w:pos="0"/>
              </w:tabs>
              <w:spacing w:before="0" w:after="0"/>
              <w:jc w:val="center"/>
              <w:rPr>
                <w:rFonts w:ascii="Times New Roman" w:eastAsia="宋体"/>
                <w:b/>
                <w:color w:val="auto"/>
                <w:sz w:val="24"/>
                <w:szCs w:val="21"/>
              </w:rPr>
            </w:pPr>
            <w:r>
              <w:rPr>
                <w:rFonts w:ascii="Times New Roman"/>
                <w:color w:val="auto"/>
              </w:rPr>
              <w:drawing>
                <wp:anchor distT="0" distB="0" distL="114300" distR="114300" simplePos="0" relativeHeight="251659264" behindDoc="0" locked="0" layoutInCell="1" allowOverlap="1">
                  <wp:simplePos x="0" y="0"/>
                  <wp:positionH relativeFrom="column">
                    <wp:posOffset>34290</wp:posOffset>
                  </wp:positionH>
                  <wp:positionV relativeFrom="paragraph">
                    <wp:posOffset>161925</wp:posOffset>
                  </wp:positionV>
                  <wp:extent cx="5113020" cy="850265"/>
                  <wp:effectExtent l="0" t="0" r="11430" b="6985"/>
                  <wp:wrapTopAndBottom/>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cstate="print"/>
                          <a:stretch>
                            <a:fillRect/>
                          </a:stretch>
                        </pic:blipFill>
                        <pic:spPr>
                          <a:xfrm>
                            <a:off x="0" y="0"/>
                            <a:ext cx="5113020" cy="850265"/>
                          </a:xfrm>
                          <a:prstGeom prst="rect">
                            <a:avLst/>
                          </a:prstGeom>
                          <a:noFill/>
                          <a:ln>
                            <a:noFill/>
                          </a:ln>
                        </pic:spPr>
                      </pic:pic>
                    </a:graphicData>
                  </a:graphic>
                </wp:anchor>
              </w:drawing>
            </w:r>
            <w:r>
              <w:rPr>
                <w:rFonts w:ascii="Times New Roman" w:eastAsia="宋体"/>
                <w:b/>
                <w:color w:val="auto"/>
                <w:sz w:val="24"/>
                <w:szCs w:val="21"/>
              </w:rPr>
              <w:t>图2-3项目营运期工艺流程及产污节点图</w:t>
            </w:r>
          </w:p>
          <w:p>
            <w:pPr>
              <w:widowControl/>
              <w:spacing w:line="360" w:lineRule="auto"/>
              <w:ind w:firstLine="480" w:firstLineChars="200"/>
              <w:jc w:val="left"/>
              <w:rPr>
                <w:color w:val="auto"/>
                <w:kern w:val="0"/>
                <w:sz w:val="24"/>
              </w:rPr>
            </w:pPr>
            <w:r>
              <w:rPr>
                <w:color w:val="auto"/>
                <w:kern w:val="0"/>
                <w:sz w:val="24"/>
              </w:rPr>
              <w:t>营运期工艺流程简述：</w:t>
            </w:r>
          </w:p>
          <w:p>
            <w:pPr>
              <w:widowControl/>
              <w:spacing w:line="360" w:lineRule="auto"/>
              <w:ind w:firstLine="480" w:firstLineChars="200"/>
              <w:jc w:val="left"/>
              <w:rPr>
                <w:color w:val="auto"/>
                <w:kern w:val="0"/>
                <w:sz w:val="24"/>
              </w:rPr>
            </w:pPr>
            <w:r>
              <w:rPr>
                <w:rFonts w:hint="eastAsia"/>
                <w:color w:val="auto"/>
                <w:kern w:val="0"/>
                <w:sz w:val="24"/>
              </w:rPr>
              <w:t>本项目工艺流程分为运输流程和装卸流程</w:t>
            </w:r>
          </w:p>
          <w:p>
            <w:pPr>
              <w:pStyle w:val="12"/>
              <w:numPr>
                <w:ilvl w:val="0"/>
                <w:numId w:val="8"/>
              </w:numPr>
              <w:spacing w:before="0" w:after="0" w:line="360" w:lineRule="auto"/>
              <w:ind w:right="0" w:firstLine="480" w:firstLineChars="200"/>
              <w:rPr>
                <w:color w:val="auto"/>
                <w:sz w:val="24"/>
              </w:rPr>
            </w:pPr>
            <w:r>
              <w:rPr>
                <w:rFonts w:hint="eastAsia"/>
                <w:color w:val="auto"/>
                <w:sz w:val="24"/>
              </w:rPr>
              <w:t>运输流程</w:t>
            </w:r>
          </w:p>
          <w:p>
            <w:pPr>
              <w:widowControl/>
              <w:spacing w:line="360" w:lineRule="auto"/>
              <w:ind w:firstLine="480" w:firstLineChars="200"/>
              <w:jc w:val="left"/>
              <w:rPr>
                <w:color w:val="auto"/>
                <w:kern w:val="0"/>
                <w:sz w:val="24"/>
              </w:rPr>
            </w:pPr>
            <w:r>
              <w:rPr>
                <w:color w:val="auto"/>
                <w:kern w:val="0"/>
                <w:sz w:val="24"/>
              </w:rPr>
              <w:t>本项目经营的烟花爆竹从具有《烟花爆竹经营（批发）许可证》的单位购进，委托具有1类4项危货运输资质的单位负责运输、押运。运输方式为公路厢式汽车运输。装车由供货方负责，卸车由购货方负责。烟花爆竹运输的安全责任由运输方负责。</w:t>
            </w:r>
          </w:p>
          <w:p>
            <w:pPr>
              <w:widowControl/>
              <w:spacing w:line="360" w:lineRule="auto"/>
              <w:ind w:firstLine="480" w:firstLineChars="200"/>
              <w:jc w:val="left"/>
              <w:rPr>
                <w:color w:val="auto"/>
                <w:kern w:val="0"/>
                <w:sz w:val="24"/>
              </w:rPr>
            </w:pPr>
            <w:r>
              <w:rPr>
                <w:rFonts w:hint="eastAsia"/>
                <w:color w:val="auto"/>
                <w:kern w:val="0"/>
                <w:sz w:val="24"/>
              </w:rPr>
              <w:t>入库：</w:t>
            </w:r>
            <w:r>
              <w:rPr>
                <w:color w:val="auto"/>
                <w:kern w:val="0"/>
                <w:sz w:val="24"/>
              </w:rPr>
              <w:t>到达库区，</w:t>
            </w:r>
            <w:r>
              <w:rPr>
                <w:rFonts w:hint="eastAsia"/>
                <w:color w:val="auto"/>
                <w:kern w:val="0"/>
                <w:sz w:val="24"/>
              </w:rPr>
              <w:t>运输人员</w:t>
            </w:r>
            <w:r>
              <w:rPr>
                <w:color w:val="auto"/>
                <w:kern w:val="0"/>
                <w:sz w:val="24"/>
              </w:rPr>
              <w:t>到值班室进行出库登记后，由专人（安全员或库管员）引导，按指定路线行驶、按规定地点停放，并熄火，车辆停在</w:t>
            </w:r>
            <w:r>
              <w:rPr>
                <w:rFonts w:hint="eastAsia"/>
                <w:color w:val="auto"/>
                <w:kern w:val="0"/>
                <w:sz w:val="24"/>
              </w:rPr>
              <w:t>仓库</w:t>
            </w:r>
            <w:r>
              <w:rPr>
                <w:color w:val="auto"/>
                <w:kern w:val="0"/>
                <w:sz w:val="24"/>
              </w:rPr>
              <w:t>外3m装卸线之外</w:t>
            </w:r>
            <w:r>
              <w:rPr>
                <w:rFonts w:hint="eastAsia"/>
                <w:color w:val="auto"/>
                <w:kern w:val="0"/>
                <w:sz w:val="24"/>
              </w:rPr>
              <w:t>。</w:t>
            </w:r>
          </w:p>
          <w:p>
            <w:pPr>
              <w:widowControl/>
              <w:spacing w:line="360" w:lineRule="auto"/>
              <w:ind w:firstLine="480" w:firstLineChars="200"/>
              <w:jc w:val="left"/>
              <w:rPr>
                <w:color w:val="auto"/>
                <w:kern w:val="0"/>
                <w:sz w:val="24"/>
              </w:rPr>
            </w:pPr>
            <w:r>
              <w:rPr>
                <w:rFonts w:hint="eastAsia"/>
                <w:color w:val="auto"/>
                <w:kern w:val="0"/>
                <w:sz w:val="24"/>
              </w:rPr>
              <w:t>出库：</w:t>
            </w:r>
            <w:r>
              <w:rPr>
                <w:color w:val="auto"/>
                <w:kern w:val="0"/>
                <w:sz w:val="24"/>
              </w:rPr>
              <w:t>到达库区，到值班室进行出库登记后，由专人（安全员或库管员）引导，按指定路线行驶、按规定地点停放，并熄火，车辆停在</w:t>
            </w:r>
            <w:r>
              <w:rPr>
                <w:rFonts w:hint="eastAsia"/>
                <w:color w:val="auto"/>
                <w:sz w:val="24"/>
              </w:rPr>
              <w:t>仓库</w:t>
            </w:r>
            <w:r>
              <w:rPr>
                <w:color w:val="auto"/>
                <w:kern w:val="0"/>
                <w:sz w:val="24"/>
              </w:rPr>
              <w:t>外3m装卸线之外，搬运工先触摸</w:t>
            </w:r>
            <w:r>
              <w:rPr>
                <w:rFonts w:hint="eastAsia"/>
                <w:color w:val="auto"/>
                <w:sz w:val="24"/>
              </w:rPr>
              <w:t>仓库</w:t>
            </w:r>
            <w:r>
              <w:rPr>
                <w:color w:val="auto"/>
                <w:kern w:val="0"/>
                <w:sz w:val="24"/>
              </w:rPr>
              <w:t>门前的人体</w:t>
            </w:r>
            <w:r>
              <w:rPr>
                <w:rFonts w:hint="eastAsia"/>
                <w:color w:val="auto"/>
                <w:kern w:val="0"/>
                <w:sz w:val="24"/>
              </w:rPr>
              <w:t>防</w:t>
            </w:r>
            <w:r>
              <w:rPr>
                <w:color w:val="auto"/>
                <w:kern w:val="0"/>
                <w:sz w:val="24"/>
              </w:rPr>
              <w:t>静电装置，将人体的静电导入地下，再将烟花爆竹从仓库内搬运至配送车辆上，装车完毕后，应在专人的引导下驶出库区。配送车辆在配送过程中不得抢道、超速，按规定路线行驶并保持车距。将烟花爆竹送往具有零售资质的各零售点销售。</w:t>
            </w:r>
          </w:p>
          <w:p>
            <w:pPr>
              <w:pStyle w:val="13"/>
              <w:spacing w:after="0" w:line="360" w:lineRule="auto"/>
              <w:ind w:firstLine="480" w:firstLineChars="200"/>
              <w:rPr>
                <w:color w:val="auto"/>
              </w:rPr>
            </w:pPr>
            <w:r>
              <w:rPr>
                <w:rFonts w:hint="eastAsia"/>
                <w:color w:val="auto"/>
                <w:kern w:val="0"/>
                <w:sz w:val="24"/>
              </w:rPr>
              <w:t>本项目</w:t>
            </w:r>
            <w:r>
              <w:rPr>
                <w:color w:val="auto"/>
                <w:kern w:val="0"/>
                <w:sz w:val="24"/>
              </w:rPr>
              <w:t>正常情况下，每月运输3-5次</w:t>
            </w:r>
            <w:r>
              <w:rPr>
                <w:rFonts w:hint="eastAsia"/>
                <w:color w:val="auto"/>
                <w:kern w:val="0"/>
                <w:sz w:val="24"/>
              </w:rPr>
              <w:t>，</w:t>
            </w:r>
            <w:r>
              <w:rPr>
                <w:color w:val="auto"/>
                <w:kern w:val="0"/>
                <w:sz w:val="24"/>
              </w:rPr>
              <w:t>每次运输量不超过仓库核定最大存储量的20%；若遇节假日（如春节、元宵节）等销售旺季，可根据库存消耗情况调整为每周1-2次，但需提前3个工作日向当地公安、应急管理部门报备运输计划</w:t>
            </w:r>
          </w:p>
          <w:p>
            <w:pPr>
              <w:widowControl/>
              <w:numPr>
                <w:ilvl w:val="0"/>
                <w:numId w:val="8"/>
              </w:numPr>
              <w:spacing w:line="360" w:lineRule="auto"/>
              <w:ind w:firstLine="480" w:firstLineChars="200"/>
              <w:jc w:val="left"/>
              <w:rPr>
                <w:color w:val="auto"/>
              </w:rPr>
            </w:pPr>
            <w:r>
              <w:rPr>
                <w:rFonts w:hint="eastAsia"/>
                <w:color w:val="auto"/>
                <w:kern w:val="0"/>
                <w:sz w:val="24"/>
                <w:szCs w:val="20"/>
              </w:rPr>
              <w:t>装卸</w:t>
            </w:r>
            <w:r>
              <w:rPr>
                <w:rFonts w:hint="eastAsia"/>
                <w:color w:val="auto"/>
                <w:kern w:val="0"/>
                <w:sz w:val="24"/>
              </w:rPr>
              <w:t>流程</w:t>
            </w:r>
          </w:p>
          <w:p>
            <w:pPr>
              <w:pStyle w:val="12"/>
              <w:spacing w:before="0" w:after="0" w:line="360" w:lineRule="auto"/>
              <w:ind w:right="0" w:firstLine="480" w:firstLineChars="200"/>
              <w:rPr>
                <w:color w:val="auto"/>
                <w:sz w:val="24"/>
              </w:rPr>
            </w:pPr>
            <w:r>
              <w:rPr>
                <w:rFonts w:hint="eastAsia"/>
                <w:color w:val="auto"/>
                <w:sz w:val="24"/>
              </w:rPr>
              <w:t>烟花爆竹运输车辆到达项目区后，</w:t>
            </w:r>
            <w:r>
              <w:rPr>
                <w:color w:val="auto"/>
                <w:sz w:val="24"/>
              </w:rPr>
              <w:t>需在30分钟内启动装卸作业，</w:t>
            </w:r>
            <w:r>
              <w:rPr>
                <w:rFonts w:hint="eastAsia"/>
                <w:color w:val="auto"/>
                <w:sz w:val="24"/>
              </w:rPr>
              <w:t>所有参与搬运的人员须是经专项安全培训并考核合格人员，作业前触摸仓库门前设置的人体防静电装置，确保人体静电完全导入地下后，方可开展烟花爆竹搬运作业搬运过程中需轻拿轻放，严禁抛摔、碰撞、拖拽烟花爆竹产品；入库后严格按照《烟花爆竹工程设计安全规范》（GB 50161）及仓储管理规定进行分类堆码，确保堆码高度、间距符合安全标准，通道畅通无阻。</w:t>
            </w:r>
          </w:p>
          <w:p>
            <w:pPr>
              <w:widowControl/>
              <w:spacing w:line="360" w:lineRule="auto"/>
              <w:ind w:firstLine="480" w:firstLineChars="200"/>
              <w:jc w:val="left"/>
              <w:rPr>
                <w:color w:val="auto"/>
              </w:rPr>
            </w:pPr>
            <w:r>
              <w:rPr>
                <w:rFonts w:hint="eastAsia"/>
                <w:color w:val="auto"/>
                <w:kern w:val="0"/>
                <w:sz w:val="24"/>
              </w:rPr>
              <w:t>项目</w:t>
            </w:r>
            <w:r>
              <w:rPr>
                <w:color w:val="auto"/>
                <w:kern w:val="0"/>
                <w:sz w:val="24"/>
              </w:rPr>
              <w:t>装卸频次与运输频次严格匹配，单次装卸作业时长根据运输量确定，一般不超过2小时；若遇多辆运输车辆同时到达，采用“分区装卸、依次进行”的方式，合理调配装卸人员及设备，确保每辆车辆装卸等待时间不超过1小时。</w:t>
            </w:r>
          </w:p>
          <w:p>
            <w:pPr>
              <w:widowControl/>
              <w:spacing w:line="360" w:lineRule="auto"/>
              <w:jc w:val="left"/>
              <w:rPr>
                <w:color w:val="auto"/>
              </w:rPr>
            </w:pPr>
            <w:r>
              <w:rPr>
                <w:b/>
                <w:bCs/>
                <w:color w:val="auto"/>
                <w:kern w:val="0"/>
                <w:sz w:val="24"/>
                <w:lang w:bidi="ar"/>
              </w:rPr>
              <w:t>三、产污环节及主要污染因子</w:t>
            </w:r>
          </w:p>
          <w:p>
            <w:pPr>
              <w:pStyle w:val="52"/>
              <w:rPr>
                <w:color w:val="auto"/>
              </w:rPr>
            </w:pPr>
            <w:r>
              <w:rPr>
                <w:color w:val="auto"/>
              </w:rPr>
              <w:t>表2-</w:t>
            </w:r>
            <w:r>
              <w:rPr>
                <w:rFonts w:hint="eastAsia"/>
                <w:color w:val="auto"/>
              </w:rPr>
              <w:t>8</w:t>
            </w:r>
            <w:r>
              <w:rPr>
                <w:color w:val="auto"/>
              </w:rPr>
              <w:t>项目运营期主要污染环节及污染因子一览表</w:t>
            </w:r>
          </w:p>
          <w:tbl>
            <w:tblPr>
              <w:tblStyle w:val="27"/>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64"/>
              <w:gridCol w:w="2675"/>
              <w:gridCol w:w="322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4" w:type="dxa"/>
                  <w:tcBorders>
                    <w:tl2br w:val="nil"/>
                    <w:tr2bl w:val="nil"/>
                  </w:tcBorders>
                </w:tcPr>
                <w:p>
                  <w:pPr>
                    <w:pStyle w:val="7"/>
                    <w:ind w:firstLine="0"/>
                    <w:jc w:val="center"/>
                    <w:rPr>
                      <w:rFonts w:ascii="Times New Roman" w:hAnsi="Times New Roman"/>
                      <w:color w:val="auto"/>
                      <w:kern w:val="0"/>
                      <w:szCs w:val="21"/>
                      <w:lang w:bidi="ar"/>
                    </w:rPr>
                  </w:pPr>
                  <w:r>
                    <w:rPr>
                      <w:rFonts w:ascii="Times New Roman" w:hAnsi="Times New Roman"/>
                      <w:color w:val="auto"/>
                      <w:kern w:val="0"/>
                      <w:szCs w:val="21"/>
                      <w:lang w:bidi="ar"/>
                    </w:rPr>
                    <w:t>污染物类别</w:t>
                  </w:r>
                </w:p>
              </w:tc>
              <w:tc>
                <w:tcPr>
                  <w:tcW w:w="2675" w:type="dxa"/>
                  <w:tcBorders>
                    <w:tl2br w:val="nil"/>
                    <w:tr2bl w:val="nil"/>
                  </w:tcBorders>
                </w:tcPr>
                <w:p>
                  <w:pPr>
                    <w:pStyle w:val="7"/>
                    <w:ind w:firstLine="0"/>
                    <w:jc w:val="center"/>
                    <w:rPr>
                      <w:rFonts w:ascii="Times New Roman" w:hAnsi="Times New Roman"/>
                      <w:color w:val="auto"/>
                      <w:kern w:val="0"/>
                      <w:szCs w:val="21"/>
                      <w:lang w:bidi="ar"/>
                    </w:rPr>
                  </w:pPr>
                  <w:r>
                    <w:rPr>
                      <w:rFonts w:ascii="Times New Roman" w:hAnsi="Times New Roman"/>
                      <w:color w:val="auto"/>
                      <w:kern w:val="0"/>
                      <w:szCs w:val="21"/>
                      <w:lang w:bidi="ar"/>
                    </w:rPr>
                    <w:t>主要生产单元名称</w:t>
                  </w:r>
                </w:p>
              </w:tc>
              <w:tc>
                <w:tcPr>
                  <w:tcW w:w="3220" w:type="dxa"/>
                  <w:tcBorders>
                    <w:tl2br w:val="nil"/>
                    <w:tr2bl w:val="nil"/>
                  </w:tcBorders>
                </w:tcPr>
                <w:p>
                  <w:pPr>
                    <w:pStyle w:val="7"/>
                    <w:ind w:firstLine="0"/>
                    <w:jc w:val="center"/>
                    <w:rPr>
                      <w:rFonts w:ascii="Times New Roman" w:hAnsi="Times New Roman"/>
                      <w:color w:val="auto"/>
                      <w:kern w:val="0"/>
                      <w:szCs w:val="21"/>
                      <w:lang w:bidi="ar"/>
                    </w:rPr>
                  </w:pPr>
                  <w:r>
                    <w:rPr>
                      <w:rFonts w:ascii="Times New Roman" w:hAnsi="Times New Roman"/>
                      <w:color w:val="auto"/>
                      <w:kern w:val="0"/>
                      <w:szCs w:val="21"/>
                      <w:lang w:bidi="ar"/>
                    </w:rPr>
                    <w:t>主要污染物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2164" w:type="dxa"/>
                  <w:tcBorders>
                    <w:tl2br w:val="nil"/>
                    <w:tr2bl w:val="nil"/>
                  </w:tcBorders>
                </w:tcPr>
                <w:p>
                  <w:pPr>
                    <w:pStyle w:val="7"/>
                    <w:ind w:firstLine="0"/>
                    <w:jc w:val="center"/>
                    <w:rPr>
                      <w:rFonts w:ascii="Times New Roman" w:hAnsi="Times New Roman"/>
                      <w:color w:val="auto"/>
                      <w:kern w:val="0"/>
                      <w:szCs w:val="21"/>
                      <w:lang w:bidi="ar"/>
                    </w:rPr>
                  </w:pPr>
                  <w:r>
                    <w:rPr>
                      <w:rFonts w:ascii="Times New Roman" w:hAnsi="Times New Roman"/>
                      <w:color w:val="auto"/>
                      <w:kern w:val="0"/>
                      <w:szCs w:val="21"/>
                      <w:lang w:bidi="ar"/>
                    </w:rPr>
                    <w:t>废气</w:t>
                  </w:r>
                </w:p>
              </w:tc>
              <w:tc>
                <w:tcPr>
                  <w:tcW w:w="2675" w:type="dxa"/>
                  <w:tcBorders>
                    <w:tl2br w:val="nil"/>
                    <w:tr2bl w:val="nil"/>
                  </w:tcBorders>
                </w:tcPr>
                <w:p>
                  <w:pPr>
                    <w:pStyle w:val="7"/>
                    <w:ind w:firstLine="0"/>
                    <w:jc w:val="center"/>
                    <w:rPr>
                      <w:rFonts w:ascii="Times New Roman" w:hAnsi="Times New Roman"/>
                      <w:color w:val="auto"/>
                      <w:kern w:val="0"/>
                      <w:szCs w:val="21"/>
                      <w:lang w:bidi="ar"/>
                    </w:rPr>
                  </w:pPr>
                  <w:r>
                    <w:rPr>
                      <w:rFonts w:ascii="Times New Roman" w:hAnsi="Times New Roman"/>
                      <w:color w:val="auto"/>
                      <w:kern w:val="0"/>
                      <w:szCs w:val="21"/>
                      <w:lang w:bidi="ar"/>
                    </w:rPr>
                    <w:t>车辆运输扬尘</w:t>
                  </w:r>
                </w:p>
              </w:tc>
              <w:tc>
                <w:tcPr>
                  <w:tcW w:w="3220" w:type="dxa"/>
                  <w:tcBorders>
                    <w:tl2br w:val="nil"/>
                    <w:tr2bl w:val="nil"/>
                  </w:tcBorders>
                </w:tcPr>
                <w:p>
                  <w:pPr>
                    <w:widowControl/>
                    <w:jc w:val="center"/>
                    <w:rPr>
                      <w:color w:val="auto"/>
                      <w:kern w:val="0"/>
                      <w:szCs w:val="21"/>
                      <w:lang w:bidi="ar"/>
                    </w:rPr>
                  </w:pPr>
                  <w:r>
                    <w:rPr>
                      <w:color w:val="auto"/>
                      <w:kern w:val="0"/>
                      <w:szCs w:val="21"/>
                      <w:lang w:bidi="ar"/>
                    </w:rPr>
                    <w:t>颗粒物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2164" w:type="dxa"/>
                  <w:tcBorders>
                    <w:tl2br w:val="nil"/>
                    <w:tr2bl w:val="nil"/>
                  </w:tcBorders>
                </w:tcPr>
                <w:p>
                  <w:pPr>
                    <w:pStyle w:val="7"/>
                    <w:ind w:firstLine="0"/>
                    <w:jc w:val="center"/>
                    <w:rPr>
                      <w:rFonts w:ascii="Times New Roman" w:hAnsi="Times New Roman"/>
                      <w:color w:val="auto"/>
                      <w:kern w:val="0"/>
                      <w:szCs w:val="21"/>
                      <w:lang w:bidi="ar"/>
                    </w:rPr>
                  </w:pPr>
                  <w:r>
                    <w:rPr>
                      <w:rFonts w:ascii="Times New Roman" w:hAnsi="Times New Roman"/>
                      <w:color w:val="auto"/>
                      <w:kern w:val="0"/>
                      <w:szCs w:val="21"/>
                      <w:lang w:bidi="ar"/>
                    </w:rPr>
                    <w:t>废水</w:t>
                  </w:r>
                </w:p>
              </w:tc>
              <w:tc>
                <w:tcPr>
                  <w:tcW w:w="2675" w:type="dxa"/>
                  <w:tcBorders>
                    <w:tl2br w:val="nil"/>
                    <w:tr2bl w:val="nil"/>
                  </w:tcBorders>
                </w:tcPr>
                <w:p>
                  <w:pPr>
                    <w:pStyle w:val="7"/>
                    <w:ind w:firstLine="0"/>
                    <w:jc w:val="center"/>
                    <w:rPr>
                      <w:rFonts w:ascii="Times New Roman" w:hAnsi="Times New Roman"/>
                      <w:color w:val="auto"/>
                      <w:kern w:val="0"/>
                      <w:szCs w:val="21"/>
                      <w:lang w:bidi="ar"/>
                    </w:rPr>
                  </w:pPr>
                  <w:r>
                    <w:rPr>
                      <w:rFonts w:ascii="Times New Roman" w:hAnsi="Times New Roman"/>
                      <w:color w:val="auto"/>
                      <w:kern w:val="0"/>
                      <w:szCs w:val="21"/>
                      <w:lang w:bidi="ar"/>
                    </w:rPr>
                    <w:t>生活污水</w:t>
                  </w:r>
                </w:p>
              </w:tc>
              <w:tc>
                <w:tcPr>
                  <w:tcW w:w="3220" w:type="dxa"/>
                  <w:tcBorders>
                    <w:tl2br w:val="nil"/>
                    <w:tr2bl w:val="nil"/>
                  </w:tcBorders>
                </w:tcPr>
                <w:p>
                  <w:pPr>
                    <w:widowControl/>
                    <w:jc w:val="center"/>
                    <w:rPr>
                      <w:color w:val="auto"/>
                      <w:kern w:val="0"/>
                      <w:szCs w:val="21"/>
                      <w:lang w:bidi="ar"/>
                    </w:rPr>
                  </w:pPr>
                  <w:r>
                    <w:rPr>
                      <w:color w:val="auto"/>
                      <w:kern w:val="0"/>
                      <w:szCs w:val="21"/>
                      <w:lang w:bidi="ar"/>
                    </w:rPr>
                    <w:t>SS、COD、氨氮、pH、悬浮物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2164" w:type="dxa"/>
                  <w:tcBorders>
                    <w:tl2br w:val="nil"/>
                    <w:tr2bl w:val="nil"/>
                  </w:tcBorders>
                </w:tcPr>
                <w:p>
                  <w:pPr>
                    <w:pStyle w:val="7"/>
                    <w:ind w:firstLine="0"/>
                    <w:jc w:val="center"/>
                    <w:rPr>
                      <w:rFonts w:ascii="Times New Roman" w:hAnsi="Times New Roman"/>
                      <w:color w:val="auto"/>
                      <w:kern w:val="0"/>
                      <w:szCs w:val="21"/>
                      <w:lang w:bidi="ar"/>
                    </w:rPr>
                  </w:pPr>
                  <w:r>
                    <w:rPr>
                      <w:rFonts w:ascii="Times New Roman" w:hAnsi="Times New Roman"/>
                      <w:color w:val="auto"/>
                      <w:kern w:val="0"/>
                      <w:szCs w:val="21"/>
                      <w:lang w:bidi="ar"/>
                    </w:rPr>
                    <w:t>噪声</w:t>
                  </w:r>
                </w:p>
              </w:tc>
              <w:tc>
                <w:tcPr>
                  <w:tcW w:w="2675" w:type="dxa"/>
                  <w:tcBorders>
                    <w:tl2br w:val="nil"/>
                    <w:tr2bl w:val="nil"/>
                  </w:tcBorders>
                </w:tcPr>
                <w:p>
                  <w:pPr>
                    <w:pStyle w:val="7"/>
                    <w:ind w:firstLine="0"/>
                    <w:jc w:val="center"/>
                    <w:rPr>
                      <w:rFonts w:ascii="Times New Roman" w:hAnsi="Times New Roman"/>
                      <w:color w:val="auto"/>
                      <w:kern w:val="0"/>
                      <w:szCs w:val="21"/>
                      <w:lang w:bidi="ar"/>
                    </w:rPr>
                  </w:pPr>
                  <w:r>
                    <w:rPr>
                      <w:rFonts w:ascii="Times New Roman" w:hAnsi="Times New Roman"/>
                      <w:color w:val="auto"/>
                      <w:kern w:val="0"/>
                      <w:szCs w:val="21"/>
                      <w:lang w:bidi="ar"/>
                    </w:rPr>
                    <w:t>车辆运输噪声</w:t>
                  </w:r>
                </w:p>
              </w:tc>
              <w:tc>
                <w:tcPr>
                  <w:tcW w:w="3220" w:type="dxa"/>
                  <w:tcBorders>
                    <w:tl2br w:val="nil"/>
                    <w:tr2bl w:val="nil"/>
                  </w:tcBorders>
                </w:tcPr>
                <w:p>
                  <w:pPr>
                    <w:widowControl/>
                    <w:jc w:val="center"/>
                    <w:rPr>
                      <w:color w:val="auto"/>
                      <w:kern w:val="0"/>
                      <w:szCs w:val="21"/>
                      <w:lang w:bidi="ar"/>
                    </w:rPr>
                  </w:pPr>
                  <w:r>
                    <w:rPr>
                      <w:color w:val="auto"/>
                      <w:kern w:val="0"/>
                      <w:szCs w:val="21"/>
                      <w:lang w:bidi="ar"/>
                    </w:rPr>
                    <w:t>Leq（A）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2164" w:type="dxa"/>
                  <w:tcBorders>
                    <w:tl2br w:val="nil"/>
                    <w:tr2bl w:val="nil"/>
                  </w:tcBorders>
                </w:tcPr>
                <w:p>
                  <w:pPr>
                    <w:pStyle w:val="7"/>
                    <w:ind w:firstLine="0"/>
                    <w:jc w:val="center"/>
                    <w:rPr>
                      <w:rFonts w:ascii="Times New Roman" w:hAnsi="Times New Roman"/>
                      <w:color w:val="auto"/>
                      <w:kern w:val="0"/>
                      <w:szCs w:val="21"/>
                      <w:lang w:bidi="ar"/>
                    </w:rPr>
                  </w:pPr>
                  <w:r>
                    <w:rPr>
                      <w:rFonts w:ascii="Times New Roman" w:hAnsi="Times New Roman"/>
                      <w:color w:val="auto"/>
                      <w:kern w:val="0"/>
                      <w:szCs w:val="21"/>
                      <w:lang w:bidi="ar"/>
                    </w:rPr>
                    <w:t>固体废物</w:t>
                  </w:r>
                </w:p>
              </w:tc>
              <w:tc>
                <w:tcPr>
                  <w:tcW w:w="2675" w:type="dxa"/>
                  <w:tcBorders>
                    <w:tl2br w:val="nil"/>
                    <w:tr2bl w:val="nil"/>
                  </w:tcBorders>
                </w:tcPr>
                <w:p>
                  <w:pPr>
                    <w:pStyle w:val="7"/>
                    <w:ind w:firstLine="0"/>
                    <w:jc w:val="center"/>
                    <w:rPr>
                      <w:rFonts w:ascii="Times New Roman" w:hAnsi="Times New Roman"/>
                      <w:color w:val="auto"/>
                      <w:kern w:val="0"/>
                      <w:szCs w:val="21"/>
                      <w:lang w:bidi="ar"/>
                    </w:rPr>
                  </w:pPr>
                  <w:r>
                    <w:rPr>
                      <w:rFonts w:ascii="Times New Roman" w:hAnsi="Times New Roman"/>
                      <w:color w:val="auto"/>
                      <w:kern w:val="0"/>
                      <w:szCs w:val="21"/>
                      <w:lang w:bidi="ar"/>
                    </w:rPr>
                    <w:t>生活垃圾、过期或残损的烟花爆竹</w:t>
                  </w:r>
                </w:p>
              </w:tc>
              <w:tc>
                <w:tcPr>
                  <w:tcW w:w="3220" w:type="dxa"/>
                  <w:tcBorders>
                    <w:tl2br w:val="nil"/>
                    <w:tr2bl w:val="nil"/>
                  </w:tcBorders>
                </w:tcPr>
                <w:p>
                  <w:pPr>
                    <w:widowControl/>
                    <w:jc w:val="center"/>
                    <w:rPr>
                      <w:color w:val="auto"/>
                      <w:kern w:val="0"/>
                      <w:szCs w:val="21"/>
                      <w:lang w:bidi="ar"/>
                    </w:rPr>
                  </w:pPr>
                  <w:r>
                    <w:rPr>
                      <w:color w:val="auto"/>
                      <w:kern w:val="0"/>
                      <w:szCs w:val="21"/>
                      <w:lang w:bidi="ar"/>
                    </w:rPr>
                    <w:t>生活垃圾、过期或残损的烟花爆竹</w:t>
                  </w:r>
                </w:p>
              </w:tc>
            </w:tr>
          </w:tbl>
          <w:p>
            <w:pPr>
              <w:widowControl/>
              <w:spacing w:line="520" w:lineRule="exact"/>
              <w:ind w:firstLine="420" w:firstLineChars="200"/>
              <w:jc w:val="left"/>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9" w:type="dxa"/>
            <w:vAlign w:val="center"/>
          </w:tcPr>
          <w:p>
            <w:pPr>
              <w:pStyle w:val="23"/>
              <w:adjustRightInd w:val="0"/>
              <w:snapToGrid w:val="0"/>
              <w:spacing w:before="0" w:beforeAutospacing="0" w:after="0" w:afterAutospacing="0"/>
              <w:jc w:val="center"/>
              <w:rPr>
                <w:rFonts w:ascii="Times New Roman" w:hAnsi="Times New Roman"/>
                <w:color w:val="auto"/>
                <w:sz w:val="21"/>
                <w:szCs w:val="21"/>
              </w:rPr>
            </w:pPr>
            <w:r>
              <w:rPr>
                <w:rFonts w:ascii="Times New Roman" w:hAnsi="Times New Roman"/>
                <w:bCs/>
                <w:color w:val="auto"/>
                <w:kern w:val="2"/>
                <w:sz w:val="21"/>
                <w:szCs w:val="21"/>
              </w:rPr>
              <w:t>与项目有关的原有环境污染问题</w:t>
            </w:r>
          </w:p>
        </w:tc>
        <w:tc>
          <w:tcPr>
            <w:tcW w:w="8401" w:type="dxa"/>
            <w:vAlign w:val="center"/>
          </w:tcPr>
          <w:p>
            <w:pPr>
              <w:widowControl/>
              <w:spacing w:line="520" w:lineRule="exact"/>
              <w:ind w:firstLine="480" w:firstLineChars="200"/>
              <w:rPr>
                <w:color w:val="auto"/>
                <w:kern w:val="0"/>
                <w:sz w:val="24"/>
              </w:rPr>
            </w:pPr>
            <w:r>
              <w:rPr>
                <w:color w:val="auto"/>
                <w:kern w:val="0"/>
                <w:sz w:val="24"/>
              </w:rPr>
              <w:t>项目为新建项目不涉及原有环境污染问题。</w:t>
            </w:r>
          </w:p>
          <w:p>
            <w:pPr>
              <w:pStyle w:val="13"/>
              <w:rPr>
                <w:color w:val="auto"/>
                <w:kern w:val="0"/>
                <w:sz w:val="24"/>
              </w:rPr>
            </w:pPr>
          </w:p>
          <w:p>
            <w:pPr>
              <w:pStyle w:val="13"/>
              <w:rPr>
                <w:color w:val="auto"/>
                <w:kern w:val="0"/>
                <w:sz w:val="24"/>
              </w:rPr>
            </w:pPr>
          </w:p>
        </w:tc>
      </w:tr>
    </w:tbl>
    <w:p>
      <w:pPr>
        <w:pStyle w:val="23"/>
        <w:jc w:val="center"/>
        <w:rPr>
          <w:rFonts w:ascii="Times New Roman" w:hAnsi="Times New Roman" w:eastAsia="黑体"/>
          <w:snapToGrid w:val="0"/>
          <w:color w:val="auto"/>
          <w:sz w:val="36"/>
          <w:szCs w:val="36"/>
        </w:rPr>
        <w:sectPr>
          <w:pgSz w:w="11906" w:h="16838"/>
          <w:pgMar w:top="1701" w:right="1531" w:bottom="1701" w:left="1531" w:header="851" w:footer="851" w:gutter="0"/>
          <w:cols w:space="720" w:num="1"/>
          <w:docGrid w:linePitch="312" w:charSpace="0"/>
        </w:sectPr>
      </w:pPr>
    </w:p>
    <w:p>
      <w:pPr>
        <w:rPr>
          <w:color w:val="auto"/>
        </w:rPr>
      </w:pPr>
    </w:p>
    <w:p>
      <w:pPr>
        <w:pStyle w:val="23"/>
        <w:jc w:val="center"/>
        <w:outlineLvl w:val="0"/>
        <w:rPr>
          <w:rFonts w:ascii="Times New Roman" w:hAnsi="Times New Roman" w:eastAsia="黑体"/>
          <w:snapToGrid w:val="0"/>
          <w:color w:val="auto"/>
          <w:sz w:val="30"/>
          <w:szCs w:val="30"/>
        </w:rPr>
      </w:pPr>
      <w:r>
        <w:rPr>
          <w:rFonts w:ascii="Times New Roman" w:hAnsi="Times New Roman" w:eastAsia="黑体"/>
          <w:snapToGrid w:val="0"/>
          <w:color w:val="auto"/>
          <w:sz w:val="30"/>
          <w:szCs w:val="30"/>
        </w:rPr>
        <w:t>三、区域环境质量现状、环境保护目标及评价标准</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96" w:hRule="atLeast"/>
          <w:jc w:val="center"/>
        </w:trPr>
        <w:tc>
          <w:tcPr>
            <w:tcW w:w="800" w:type="dxa"/>
            <w:vAlign w:val="center"/>
          </w:tcPr>
          <w:p>
            <w:pPr>
              <w:adjustRightInd w:val="0"/>
              <w:snapToGrid w:val="0"/>
              <w:jc w:val="center"/>
              <w:rPr>
                <w:color w:val="auto"/>
                <w:kern w:val="0"/>
                <w:szCs w:val="21"/>
              </w:rPr>
            </w:pPr>
            <w:r>
              <w:rPr>
                <w:color w:val="auto"/>
                <w:kern w:val="0"/>
                <w:szCs w:val="21"/>
              </w:rPr>
              <w:t>区域</w:t>
            </w:r>
          </w:p>
          <w:p>
            <w:pPr>
              <w:adjustRightInd w:val="0"/>
              <w:snapToGrid w:val="0"/>
              <w:jc w:val="center"/>
              <w:rPr>
                <w:color w:val="auto"/>
                <w:kern w:val="0"/>
                <w:szCs w:val="21"/>
              </w:rPr>
            </w:pPr>
            <w:r>
              <w:rPr>
                <w:color w:val="auto"/>
                <w:kern w:val="0"/>
                <w:szCs w:val="21"/>
              </w:rPr>
              <w:t>环境</w:t>
            </w:r>
          </w:p>
          <w:p>
            <w:pPr>
              <w:adjustRightInd w:val="0"/>
              <w:snapToGrid w:val="0"/>
              <w:jc w:val="center"/>
              <w:rPr>
                <w:color w:val="auto"/>
                <w:kern w:val="0"/>
                <w:szCs w:val="21"/>
              </w:rPr>
            </w:pPr>
            <w:r>
              <w:rPr>
                <w:color w:val="auto"/>
                <w:kern w:val="0"/>
                <w:szCs w:val="21"/>
              </w:rPr>
              <w:t>质量</w:t>
            </w:r>
          </w:p>
          <w:p>
            <w:pPr>
              <w:adjustRightInd w:val="0"/>
              <w:snapToGrid w:val="0"/>
              <w:jc w:val="center"/>
              <w:rPr>
                <w:color w:val="auto"/>
                <w:kern w:val="0"/>
                <w:szCs w:val="21"/>
              </w:rPr>
            </w:pPr>
            <w:r>
              <w:rPr>
                <w:color w:val="auto"/>
                <w:kern w:val="0"/>
                <w:szCs w:val="21"/>
              </w:rPr>
              <w:t>现状</w:t>
            </w:r>
          </w:p>
        </w:tc>
        <w:tc>
          <w:tcPr>
            <w:tcW w:w="8190" w:type="dxa"/>
            <w:vAlign w:val="center"/>
          </w:tcPr>
          <w:p>
            <w:pPr>
              <w:widowControl/>
              <w:numPr>
                <w:ilvl w:val="0"/>
                <w:numId w:val="9"/>
              </w:numPr>
              <w:spacing w:line="360" w:lineRule="auto"/>
              <w:rPr>
                <w:b/>
                <w:color w:val="auto"/>
                <w:kern w:val="0"/>
                <w:sz w:val="24"/>
              </w:rPr>
            </w:pPr>
            <w:r>
              <w:rPr>
                <w:b/>
                <w:color w:val="auto"/>
                <w:kern w:val="0"/>
                <w:sz w:val="24"/>
              </w:rPr>
              <w:t>大气环境质量现状</w:t>
            </w:r>
          </w:p>
          <w:p>
            <w:pPr>
              <w:pStyle w:val="7"/>
              <w:spacing w:line="360" w:lineRule="auto"/>
              <w:ind w:left="105" w:leftChars="50" w:firstLine="480" w:firstLineChars="200"/>
              <w:rPr>
                <w:rFonts w:ascii="Times New Roman" w:hAnsi="Times New Roman"/>
                <w:color w:val="auto"/>
                <w:sz w:val="24"/>
                <w:szCs w:val="24"/>
              </w:rPr>
            </w:pPr>
            <w:r>
              <w:rPr>
                <w:rFonts w:ascii="Times New Roman" w:hAnsi="Times New Roman"/>
                <w:color w:val="auto"/>
                <w:sz w:val="24"/>
                <w:szCs w:val="24"/>
              </w:rPr>
              <w:t>（1）达标区判定</w:t>
            </w:r>
          </w:p>
          <w:p>
            <w:pPr>
              <w:spacing w:line="360" w:lineRule="auto"/>
              <w:ind w:firstLine="480" w:firstLineChars="200"/>
              <w:rPr>
                <w:rFonts w:cs="宋体"/>
                <w:color w:val="auto"/>
                <w:sz w:val="24"/>
              </w:rPr>
            </w:pPr>
            <w:r>
              <w:rPr>
                <w:rFonts w:hint="eastAsia" w:cs="宋体"/>
                <w:color w:val="auto"/>
                <w:sz w:val="24"/>
              </w:rPr>
              <w:t>根据《建设项目环境影响报告表编制技术指南（污染影响类）（试行）》，对于基本污染物环境质量现状数据，项目所在区域达标判定优先采用国家或地方生态环境主管部门公开发布的评价基准年环境质量公告或环境质量报告中的数据或结论。</w:t>
            </w:r>
          </w:p>
          <w:p>
            <w:pPr>
              <w:wordWrap w:val="0"/>
              <w:spacing w:line="520" w:lineRule="exact"/>
              <w:ind w:firstLine="480" w:firstLineChars="200"/>
              <w:rPr>
                <w:color w:val="auto"/>
                <w:sz w:val="24"/>
              </w:rPr>
            </w:pPr>
            <w:r>
              <w:rPr>
                <w:rFonts w:hint="eastAsia"/>
                <w:color w:val="auto"/>
                <w:sz w:val="24"/>
              </w:rPr>
              <w:t>本次评价现状监测资料引用巴音郭楞蒙古自治州尉犁县站点2024年的自动监测数据。作为环境空气现状评价基本污染物SO</w:t>
            </w:r>
            <w:r>
              <w:rPr>
                <w:rFonts w:hint="eastAsia"/>
                <w:color w:val="auto"/>
                <w:sz w:val="24"/>
                <w:vertAlign w:val="subscript"/>
              </w:rPr>
              <w:t>2</w:t>
            </w:r>
            <w:r>
              <w:rPr>
                <w:rFonts w:hint="eastAsia"/>
                <w:color w:val="auto"/>
                <w:sz w:val="24"/>
              </w:rPr>
              <w:t>、NO</w:t>
            </w:r>
            <w:r>
              <w:rPr>
                <w:rFonts w:hint="eastAsia"/>
                <w:color w:val="auto"/>
                <w:sz w:val="24"/>
                <w:vertAlign w:val="subscript"/>
              </w:rPr>
              <w:t>2</w:t>
            </w:r>
            <w:r>
              <w:rPr>
                <w:rFonts w:hint="eastAsia"/>
                <w:color w:val="auto"/>
                <w:sz w:val="24"/>
              </w:rPr>
              <w:t>、PM</w:t>
            </w:r>
            <w:r>
              <w:rPr>
                <w:rFonts w:hint="eastAsia"/>
                <w:color w:val="auto"/>
                <w:sz w:val="24"/>
                <w:vertAlign w:val="subscript"/>
              </w:rPr>
              <w:t>10</w:t>
            </w:r>
            <w:r>
              <w:rPr>
                <w:rFonts w:hint="eastAsia"/>
                <w:color w:val="auto"/>
                <w:sz w:val="24"/>
              </w:rPr>
              <w:t>、PM</w:t>
            </w:r>
            <w:r>
              <w:rPr>
                <w:rFonts w:hint="eastAsia"/>
                <w:color w:val="auto"/>
                <w:sz w:val="24"/>
                <w:vertAlign w:val="subscript"/>
              </w:rPr>
              <w:t>2.5</w:t>
            </w:r>
            <w:r>
              <w:rPr>
                <w:rFonts w:hint="eastAsia"/>
                <w:color w:val="auto"/>
                <w:sz w:val="24"/>
              </w:rPr>
              <w:t>、CO和O</w:t>
            </w:r>
            <w:r>
              <w:rPr>
                <w:rFonts w:hint="eastAsia"/>
                <w:color w:val="auto"/>
                <w:sz w:val="24"/>
                <w:vertAlign w:val="subscript"/>
              </w:rPr>
              <w:t>3</w:t>
            </w:r>
            <w:r>
              <w:rPr>
                <w:rFonts w:hint="eastAsia"/>
                <w:color w:val="auto"/>
                <w:sz w:val="24"/>
              </w:rPr>
              <w:t>的数据来源。</w:t>
            </w:r>
          </w:p>
          <w:p>
            <w:pPr>
              <w:wordWrap w:val="0"/>
              <w:spacing w:line="520" w:lineRule="exact"/>
              <w:ind w:firstLine="480" w:firstLineChars="200"/>
              <w:rPr>
                <w:color w:val="auto"/>
                <w:sz w:val="24"/>
              </w:rPr>
            </w:pPr>
            <w:r>
              <w:rPr>
                <w:rFonts w:hint="eastAsia"/>
                <w:color w:val="auto"/>
                <w:sz w:val="24"/>
              </w:rPr>
              <w:t>（1）监测项目、监测时间</w:t>
            </w:r>
          </w:p>
          <w:p>
            <w:pPr>
              <w:wordWrap w:val="0"/>
              <w:spacing w:line="520" w:lineRule="exact"/>
              <w:ind w:firstLine="480" w:firstLineChars="200"/>
              <w:rPr>
                <w:color w:val="auto"/>
                <w:sz w:val="24"/>
              </w:rPr>
            </w:pPr>
            <w:r>
              <w:rPr>
                <w:rFonts w:hint="eastAsia"/>
                <w:color w:val="auto"/>
                <w:sz w:val="24"/>
              </w:rPr>
              <w:t>监测项目：基本污染物SO</w:t>
            </w:r>
            <w:r>
              <w:rPr>
                <w:rFonts w:hint="eastAsia"/>
                <w:color w:val="auto"/>
                <w:sz w:val="24"/>
                <w:vertAlign w:val="subscript"/>
              </w:rPr>
              <w:t>2</w:t>
            </w:r>
            <w:r>
              <w:rPr>
                <w:rFonts w:hint="eastAsia"/>
                <w:color w:val="auto"/>
                <w:sz w:val="24"/>
              </w:rPr>
              <w:t>、NO</w:t>
            </w:r>
            <w:r>
              <w:rPr>
                <w:rFonts w:hint="eastAsia"/>
                <w:color w:val="auto"/>
                <w:sz w:val="24"/>
                <w:vertAlign w:val="subscript"/>
              </w:rPr>
              <w:t>2</w:t>
            </w:r>
            <w:r>
              <w:rPr>
                <w:rFonts w:hint="eastAsia"/>
                <w:color w:val="auto"/>
                <w:sz w:val="24"/>
              </w:rPr>
              <w:t>、PM</w:t>
            </w:r>
            <w:r>
              <w:rPr>
                <w:rFonts w:hint="eastAsia"/>
                <w:color w:val="auto"/>
                <w:sz w:val="24"/>
                <w:vertAlign w:val="subscript"/>
              </w:rPr>
              <w:t>10</w:t>
            </w:r>
            <w:r>
              <w:rPr>
                <w:rFonts w:hint="eastAsia"/>
                <w:color w:val="auto"/>
                <w:sz w:val="24"/>
              </w:rPr>
              <w:t>、PM</w:t>
            </w:r>
            <w:r>
              <w:rPr>
                <w:rFonts w:hint="eastAsia"/>
                <w:color w:val="auto"/>
                <w:sz w:val="24"/>
                <w:vertAlign w:val="subscript"/>
              </w:rPr>
              <w:t>2.5</w:t>
            </w:r>
            <w:r>
              <w:rPr>
                <w:rFonts w:hint="eastAsia"/>
                <w:color w:val="auto"/>
                <w:sz w:val="24"/>
              </w:rPr>
              <w:t>、CO和O</w:t>
            </w:r>
            <w:r>
              <w:rPr>
                <w:rFonts w:hint="eastAsia"/>
                <w:color w:val="auto"/>
                <w:sz w:val="24"/>
                <w:vertAlign w:val="subscript"/>
              </w:rPr>
              <w:t>3</w:t>
            </w:r>
            <w:r>
              <w:rPr>
                <w:rFonts w:hint="eastAsia"/>
                <w:color w:val="auto"/>
                <w:sz w:val="24"/>
              </w:rPr>
              <w:t>；</w:t>
            </w:r>
          </w:p>
          <w:p>
            <w:pPr>
              <w:wordWrap w:val="0"/>
              <w:spacing w:line="520" w:lineRule="exact"/>
              <w:ind w:firstLine="480" w:firstLineChars="200"/>
              <w:rPr>
                <w:color w:val="auto"/>
                <w:sz w:val="24"/>
              </w:rPr>
            </w:pPr>
            <w:r>
              <w:rPr>
                <w:rFonts w:hint="eastAsia"/>
                <w:color w:val="auto"/>
                <w:sz w:val="24"/>
              </w:rPr>
              <w:t>监测时间：基本污染物SO</w:t>
            </w:r>
            <w:r>
              <w:rPr>
                <w:rFonts w:hint="eastAsia"/>
                <w:color w:val="auto"/>
                <w:sz w:val="24"/>
                <w:vertAlign w:val="subscript"/>
              </w:rPr>
              <w:t>2</w:t>
            </w:r>
            <w:r>
              <w:rPr>
                <w:rFonts w:hint="eastAsia"/>
                <w:color w:val="auto"/>
                <w:sz w:val="24"/>
              </w:rPr>
              <w:t>、NO</w:t>
            </w:r>
            <w:r>
              <w:rPr>
                <w:rFonts w:hint="eastAsia"/>
                <w:color w:val="auto"/>
                <w:sz w:val="24"/>
                <w:vertAlign w:val="subscript"/>
              </w:rPr>
              <w:t>2</w:t>
            </w:r>
            <w:r>
              <w:rPr>
                <w:rFonts w:hint="eastAsia"/>
                <w:color w:val="auto"/>
                <w:sz w:val="24"/>
              </w:rPr>
              <w:t>、PM</w:t>
            </w:r>
            <w:r>
              <w:rPr>
                <w:rFonts w:hint="eastAsia"/>
                <w:color w:val="auto"/>
                <w:sz w:val="24"/>
                <w:vertAlign w:val="subscript"/>
              </w:rPr>
              <w:t>10</w:t>
            </w:r>
            <w:r>
              <w:rPr>
                <w:rFonts w:hint="eastAsia"/>
                <w:color w:val="auto"/>
                <w:sz w:val="24"/>
              </w:rPr>
              <w:t>、PM</w:t>
            </w:r>
            <w:r>
              <w:rPr>
                <w:rFonts w:hint="eastAsia"/>
                <w:color w:val="auto"/>
                <w:sz w:val="24"/>
                <w:vertAlign w:val="subscript"/>
              </w:rPr>
              <w:t>2.5</w:t>
            </w:r>
            <w:r>
              <w:rPr>
                <w:rFonts w:hint="eastAsia"/>
                <w:color w:val="auto"/>
                <w:sz w:val="24"/>
              </w:rPr>
              <w:t>、CO和O</w:t>
            </w:r>
            <w:r>
              <w:rPr>
                <w:rFonts w:hint="eastAsia"/>
                <w:color w:val="auto"/>
                <w:sz w:val="24"/>
                <w:vertAlign w:val="subscript"/>
              </w:rPr>
              <w:t>3</w:t>
            </w:r>
            <w:r>
              <w:rPr>
                <w:rFonts w:hint="eastAsia"/>
                <w:color w:val="auto"/>
                <w:sz w:val="24"/>
              </w:rPr>
              <w:t>的监测时间为2024年全年监测数据。</w:t>
            </w:r>
          </w:p>
          <w:p>
            <w:pPr>
              <w:wordWrap w:val="0"/>
              <w:spacing w:line="520" w:lineRule="exact"/>
              <w:ind w:firstLine="480" w:firstLineChars="200"/>
              <w:rPr>
                <w:color w:val="auto"/>
                <w:sz w:val="24"/>
              </w:rPr>
            </w:pPr>
            <w:r>
              <w:rPr>
                <w:rFonts w:hint="eastAsia"/>
                <w:color w:val="auto"/>
                <w:sz w:val="24"/>
              </w:rPr>
              <w:t>（2）评价标准</w:t>
            </w:r>
          </w:p>
          <w:p>
            <w:pPr>
              <w:wordWrap w:val="0"/>
              <w:spacing w:line="520" w:lineRule="exact"/>
              <w:ind w:firstLine="480" w:firstLineChars="200"/>
              <w:rPr>
                <w:color w:val="auto"/>
                <w:sz w:val="24"/>
              </w:rPr>
            </w:pPr>
            <w:r>
              <w:rPr>
                <w:rFonts w:hint="eastAsia"/>
                <w:color w:val="auto"/>
                <w:sz w:val="24"/>
              </w:rPr>
              <w:t>根据环境空气质量功能区划分规定，本次评价基本污染物SO</w:t>
            </w:r>
            <w:r>
              <w:rPr>
                <w:rFonts w:hint="eastAsia"/>
                <w:color w:val="auto"/>
                <w:sz w:val="24"/>
                <w:vertAlign w:val="subscript"/>
              </w:rPr>
              <w:t>2</w:t>
            </w:r>
            <w:r>
              <w:rPr>
                <w:rFonts w:hint="eastAsia"/>
                <w:color w:val="auto"/>
                <w:sz w:val="24"/>
              </w:rPr>
              <w:t>、NO</w:t>
            </w:r>
            <w:r>
              <w:rPr>
                <w:rFonts w:hint="eastAsia"/>
                <w:color w:val="auto"/>
                <w:sz w:val="24"/>
                <w:vertAlign w:val="subscript"/>
              </w:rPr>
              <w:t>2</w:t>
            </w:r>
            <w:r>
              <w:rPr>
                <w:rFonts w:hint="eastAsia"/>
                <w:color w:val="auto"/>
                <w:sz w:val="24"/>
              </w:rPr>
              <w:t>、PM</w:t>
            </w:r>
            <w:r>
              <w:rPr>
                <w:rFonts w:hint="eastAsia"/>
                <w:color w:val="auto"/>
                <w:sz w:val="24"/>
                <w:vertAlign w:val="subscript"/>
              </w:rPr>
              <w:t>10</w:t>
            </w:r>
            <w:r>
              <w:rPr>
                <w:rFonts w:hint="eastAsia"/>
                <w:color w:val="auto"/>
                <w:sz w:val="24"/>
              </w:rPr>
              <w:t>、PM</w:t>
            </w:r>
            <w:r>
              <w:rPr>
                <w:rFonts w:hint="eastAsia"/>
                <w:color w:val="auto"/>
                <w:sz w:val="24"/>
                <w:vertAlign w:val="subscript"/>
              </w:rPr>
              <w:t>2.5</w:t>
            </w:r>
            <w:r>
              <w:rPr>
                <w:rFonts w:hint="eastAsia"/>
                <w:color w:val="auto"/>
                <w:sz w:val="24"/>
              </w:rPr>
              <w:t>、CO和O</w:t>
            </w:r>
            <w:r>
              <w:rPr>
                <w:rFonts w:hint="eastAsia"/>
                <w:color w:val="auto"/>
                <w:sz w:val="24"/>
                <w:vertAlign w:val="subscript"/>
              </w:rPr>
              <w:t>3</w:t>
            </w:r>
            <w:r>
              <w:rPr>
                <w:rFonts w:hint="eastAsia"/>
                <w:color w:val="auto"/>
                <w:sz w:val="24"/>
              </w:rPr>
              <w:t>执行《环境空气质量标准》（GB3095-2012）及其修改单中二级标准。</w:t>
            </w:r>
          </w:p>
          <w:p>
            <w:pPr>
              <w:numPr>
                <w:ilvl w:val="0"/>
                <w:numId w:val="10"/>
              </w:numPr>
              <w:wordWrap w:val="0"/>
              <w:spacing w:line="520" w:lineRule="exact"/>
              <w:ind w:firstLine="480" w:firstLineChars="200"/>
              <w:rPr>
                <w:color w:val="auto"/>
              </w:rPr>
            </w:pPr>
            <w:r>
              <w:rPr>
                <w:rFonts w:hint="eastAsia"/>
                <w:color w:val="auto"/>
                <w:sz w:val="24"/>
              </w:rPr>
              <w:t>评价方法</w:t>
            </w:r>
          </w:p>
          <w:p>
            <w:pPr>
              <w:wordWrap w:val="0"/>
              <w:spacing w:line="520" w:lineRule="exact"/>
              <w:ind w:firstLine="480" w:firstLineChars="200"/>
              <w:rPr>
                <w:color w:val="auto"/>
                <w:sz w:val="24"/>
              </w:rPr>
            </w:pPr>
            <w:r>
              <w:rPr>
                <w:rFonts w:hint="eastAsia"/>
                <w:color w:val="auto"/>
                <w:sz w:val="24"/>
              </w:rPr>
              <w:t>按照《环境空气质量评价技术规范（试行）》（HJ663-2013）中各评价项目的年评价指标进行判定。年评价指标中的年均浓度和相应百分位数24h平均或8h平均质量浓度满足《环境空气质量标准》（GB3095-2012）及其修改单中二级浓度限值要求的即为达标。对于超标的污染物，计算其超标倍数和超标率。区域空气质量现状评价见下表3-1。</w:t>
            </w:r>
          </w:p>
          <w:p>
            <w:pPr>
              <w:pStyle w:val="52"/>
              <w:rPr>
                <w:color w:val="auto"/>
              </w:rPr>
            </w:pPr>
            <w:r>
              <w:rPr>
                <w:rFonts w:hint="eastAsia"/>
                <w:color w:val="auto"/>
              </w:rPr>
              <w:t>表3-1    尉犁县2024年环境空气基本污染物环境质量现状表</w:t>
            </w:r>
          </w:p>
          <w:tbl>
            <w:tblPr>
              <w:tblStyle w:val="27"/>
              <w:tblW w:w="4994"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2344"/>
              <w:gridCol w:w="1144"/>
              <w:gridCol w:w="1353"/>
              <w:gridCol w:w="1144"/>
              <w:gridCol w:w="111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41" w:type="pct"/>
                  <w:tcBorders>
                    <w:tl2br w:val="nil"/>
                    <w:tr2bl w:val="nil"/>
                  </w:tcBorders>
                  <w:vAlign w:val="center"/>
                </w:tcPr>
                <w:p>
                  <w:pPr>
                    <w:pStyle w:val="61"/>
                    <w:rPr>
                      <w:rFonts w:hint="default"/>
                      <w:color w:val="auto"/>
                    </w:rPr>
                  </w:pPr>
                  <w:r>
                    <w:rPr>
                      <w:color w:val="auto"/>
                    </w:rPr>
                    <w:t>污染物</w:t>
                  </w:r>
                </w:p>
              </w:tc>
              <w:tc>
                <w:tcPr>
                  <w:tcW w:w="1471" w:type="pct"/>
                  <w:tcBorders>
                    <w:tl2br w:val="nil"/>
                    <w:tr2bl w:val="nil"/>
                  </w:tcBorders>
                  <w:vAlign w:val="center"/>
                </w:tcPr>
                <w:p>
                  <w:pPr>
                    <w:pStyle w:val="61"/>
                    <w:rPr>
                      <w:rFonts w:hint="default"/>
                      <w:color w:val="auto"/>
                    </w:rPr>
                  </w:pPr>
                  <w:r>
                    <w:rPr>
                      <w:color w:val="auto"/>
                    </w:rPr>
                    <w:t>评价项目</w:t>
                  </w:r>
                </w:p>
              </w:tc>
              <w:tc>
                <w:tcPr>
                  <w:tcW w:w="718" w:type="pct"/>
                  <w:tcBorders>
                    <w:tl2br w:val="nil"/>
                    <w:tr2bl w:val="nil"/>
                  </w:tcBorders>
                  <w:vAlign w:val="center"/>
                </w:tcPr>
                <w:p>
                  <w:pPr>
                    <w:pStyle w:val="61"/>
                    <w:rPr>
                      <w:rFonts w:hint="default"/>
                      <w:color w:val="auto"/>
                    </w:rPr>
                  </w:pPr>
                  <w:r>
                    <w:rPr>
                      <w:color w:val="auto"/>
                    </w:rPr>
                    <w:t>浓度（</w:t>
                  </w:r>
                  <w:r>
                    <w:rPr>
                      <w:rFonts w:hint="default" w:cs="Times New Roman"/>
                      <w:color w:val="auto"/>
                    </w:rPr>
                    <w:t>μg/m</w:t>
                  </w:r>
                  <w:r>
                    <w:rPr>
                      <w:rFonts w:hint="default" w:cs="Times New Roman"/>
                      <w:color w:val="auto"/>
                      <w:vertAlign w:val="superscript"/>
                    </w:rPr>
                    <w:t>3</w:t>
                  </w:r>
                  <w:r>
                    <w:rPr>
                      <w:color w:val="auto"/>
                    </w:rPr>
                    <w:t>）</w:t>
                  </w:r>
                </w:p>
              </w:tc>
              <w:tc>
                <w:tcPr>
                  <w:tcW w:w="849" w:type="pct"/>
                  <w:tcBorders>
                    <w:tl2br w:val="nil"/>
                    <w:tr2bl w:val="nil"/>
                  </w:tcBorders>
                  <w:vAlign w:val="center"/>
                </w:tcPr>
                <w:p>
                  <w:pPr>
                    <w:pStyle w:val="61"/>
                    <w:rPr>
                      <w:rFonts w:hint="default"/>
                      <w:color w:val="auto"/>
                    </w:rPr>
                  </w:pPr>
                  <w:r>
                    <w:rPr>
                      <w:color w:val="auto"/>
                    </w:rPr>
                    <w:t>标准（二级）（</w:t>
                  </w:r>
                  <w:r>
                    <w:rPr>
                      <w:rFonts w:hint="default" w:cs="Times New Roman"/>
                      <w:color w:val="auto"/>
                    </w:rPr>
                    <w:t>μg/m</w:t>
                  </w:r>
                  <w:r>
                    <w:rPr>
                      <w:rFonts w:hint="default" w:cs="Times New Roman"/>
                      <w:color w:val="auto"/>
                      <w:vertAlign w:val="superscript"/>
                    </w:rPr>
                    <w:t>3</w:t>
                  </w:r>
                  <w:r>
                    <w:rPr>
                      <w:color w:val="auto"/>
                    </w:rPr>
                    <w:t>）</w:t>
                  </w:r>
                </w:p>
              </w:tc>
              <w:tc>
                <w:tcPr>
                  <w:tcW w:w="718" w:type="pct"/>
                  <w:tcBorders>
                    <w:tl2br w:val="nil"/>
                    <w:tr2bl w:val="nil"/>
                  </w:tcBorders>
                  <w:vAlign w:val="center"/>
                </w:tcPr>
                <w:p>
                  <w:pPr>
                    <w:pStyle w:val="61"/>
                    <w:rPr>
                      <w:rFonts w:hint="default"/>
                      <w:color w:val="auto"/>
                    </w:rPr>
                  </w:pPr>
                  <w:r>
                    <w:rPr>
                      <w:color w:val="auto"/>
                    </w:rPr>
                    <w:t>占标率%</w:t>
                  </w:r>
                </w:p>
              </w:tc>
              <w:tc>
                <w:tcPr>
                  <w:tcW w:w="701" w:type="pct"/>
                  <w:tcBorders>
                    <w:tl2br w:val="nil"/>
                    <w:tr2bl w:val="nil"/>
                  </w:tcBorders>
                  <w:vAlign w:val="center"/>
                </w:tcPr>
                <w:p>
                  <w:pPr>
                    <w:pStyle w:val="61"/>
                    <w:rPr>
                      <w:rFonts w:hint="default"/>
                      <w:color w:val="auto"/>
                    </w:rPr>
                  </w:pPr>
                  <w:r>
                    <w:rPr>
                      <w:color w:val="auto"/>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41" w:type="pct"/>
                  <w:vMerge w:val="restart"/>
                  <w:tcBorders>
                    <w:tl2br w:val="nil"/>
                    <w:tr2bl w:val="nil"/>
                  </w:tcBorders>
                  <w:vAlign w:val="center"/>
                </w:tcPr>
                <w:p>
                  <w:pPr>
                    <w:pStyle w:val="61"/>
                    <w:rPr>
                      <w:rFonts w:hint="default"/>
                      <w:color w:val="auto"/>
                    </w:rPr>
                  </w:pPr>
                  <w:r>
                    <w:rPr>
                      <w:color w:val="auto"/>
                    </w:rPr>
                    <w:t>SO</w:t>
                  </w:r>
                  <w:r>
                    <w:rPr>
                      <w:color w:val="auto"/>
                      <w:vertAlign w:val="subscript"/>
                    </w:rPr>
                    <w:t>2</w:t>
                  </w:r>
                </w:p>
              </w:tc>
              <w:tc>
                <w:tcPr>
                  <w:tcW w:w="1471" w:type="pct"/>
                  <w:tcBorders>
                    <w:tl2br w:val="nil"/>
                    <w:tr2bl w:val="nil"/>
                  </w:tcBorders>
                  <w:vAlign w:val="center"/>
                </w:tcPr>
                <w:p>
                  <w:pPr>
                    <w:pStyle w:val="61"/>
                    <w:rPr>
                      <w:rFonts w:hint="default"/>
                      <w:color w:val="auto"/>
                    </w:rPr>
                  </w:pPr>
                  <w:r>
                    <w:rPr>
                      <w:color w:val="auto"/>
                    </w:rPr>
                    <w:t>年平均</w:t>
                  </w:r>
                </w:p>
              </w:tc>
              <w:tc>
                <w:tcPr>
                  <w:tcW w:w="718" w:type="pct"/>
                  <w:tcBorders>
                    <w:tl2br w:val="nil"/>
                    <w:tr2bl w:val="nil"/>
                  </w:tcBorders>
                  <w:vAlign w:val="center"/>
                </w:tcPr>
                <w:p>
                  <w:pPr>
                    <w:pStyle w:val="61"/>
                    <w:rPr>
                      <w:rFonts w:hint="default"/>
                      <w:color w:val="auto"/>
                    </w:rPr>
                  </w:pPr>
                  <w:r>
                    <w:rPr>
                      <w:color w:val="auto"/>
                    </w:rPr>
                    <w:t>3</w:t>
                  </w:r>
                </w:p>
              </w:tc>
              <w:tc>
                <w:tcPr>
                  <w:tcW w:w="849" w:type="pct"/>
                  <w:tcBorders>
                    <w:tl2br w:val="nil"/>
                    <w:tr2bl w:val="nil"/>
                  </w:tcBorders>
                  <w:vAlign w:val="center"/>
                </w:tcPr>
                <w:p>
                  <w:pPr>
                    <w:pStyle w:val="61"/>
                    <w:rPr>
                      <w:rFonts w:hint="default"/>
                      <w:color w:val="auto"/>
                    </w:rPr>
                  </w:pPr>
                  <w:r>
                    <w:rPr>
                      <w:color w:val="auto"/>
                    </w:rPr>
                    <w:t>60</w:t>
                  </w:r>
                </w:p>
              </w:tc>
              <w:tc>
                <w:tcPr>
                  <w:tcW w:w="718" w:type="pct"/>
                  <w:tcBorders>
                    <w:tl2br w:val="nil"/>
                    <w:tr2bl w:val="nil"/>
                  </w:tcBorders>
                  <w:vAlign w:val="center"/>
                </w:tcPr>
                <w:p>
                  <w:pPr>
                    <w:pStyle w:val="61"/>
                    <w:rPr>
                      <w:rFonts w:hint="default"/>
                      <w:color w:val="auto"/>
                    </w:rPr>
                  </w:pPr>
                  <w:r>
                    <w:rPr>
                      <w:color w:val="auto"/>
                    </w:rPr>
                    <w:t>5</w:t>
                  </w:r>
                </w:p>
              </w:tc>
              <w:tc>
                <w:tcPr>
                  <w:tcW w:w="701" w:type="pct"/>
                  <w:tcBorders>
                    <w:tl2br w:val="nil"/>
                    <w:tr2bl w:val="nil"/>
                  </w:tcBorders>
                  <w:vAlign w:val="center"/>
                </w:tcPr>
                <w:p>
                  <w:pPr>
                    <w:pStyle w:val="61"/>
                    <w:rPr>
                      <w:rFonts w:hint="default"/>
                      <w:color w:val="auto"/>
                    </w:rPr>
                  </w:pPr>
                  <w:r>
                    <w:rPr>
                      <w:color w:val="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541" w:type="pct"/>
                  <w:vMerge w:val="continue"/>
                  <w:tcBorders>
                    <w:tl2br w:val="nil"/>
                    <w:tr2bl w:val="nil"/>
                  </w:tcBorders>
                  <w:vAlign w:val="center"/>
                </w:tcPr>
                <w:p>
                  <w:pPr>
                    <w:pStyle w:val="61"/>
                    <w:rPr>
                      <w:rFonts w:hint="default"/>
                      <w:color w:val="auto"/>
                    </w:rPr>
                  </w:pPr>
                </w:p>
              </w:tc>
              <w:tc>
                <w:tcPr>
                  <w:tcW w:w="1471" w:type="pct"/>
                  <w:tcBorders>
                    <w:tl2br w:val="nil"/>
                    <w:tr2bl w:val="nil"/>
                  </w:tcBorders>
                  <w:vAlign w:val="center"/>
                </w:tcPr>
                <w:p>
                  <w:pPr>
                    <w:pStyle w:val="61"/>
                    <w:rPr>
                      <w:rFonts w:hint="default"/>
                      <w:color w:val="auto"/>
                    </w:rPr>
                  </w:pPr>
                  <w:r>
                    <w:rPr>
                      <w:color w:val="auto"/>
                    </w:rPr>
                    <w:t>24h平均第98百分位数</w:t>
                  </w:r>
                </w:p>
              </w:tc>
              <w:tc>
                <w:tcPr>
                  <w:tcW w:w="718" w:type="pct"/>
                  <w:tcBorders>
                    <w:tl2br w:val="nil"/>
                    <w:tr2bl w:val="nil"/>
                  </w:tcBorders>
                  <w:vAlign w:val="center"/>
                </w:tcPr>
                <w:p>
                  <w:pPr>
                    <w:pStyle w:val="61"/>
                    <w:rPr>
                      <w:rFonts w:hint="default"/>
                      <w:color w:val="auto"/>
                    </w:rPr>
                  </w:pPr>
                  <w:r>
                    <w:rPr>
                      <w:color w:val="auto"/>
                    </w:rPr>
                    <w:t>6</w:t>
                  </w:r>
                </w:p>
              </w:tc>
              <w:tc>
                <w:tcPr>
                  <w:tcW w:w="849" w:type="pct"/>
                  <w:tcBorders>
                    <w:tl2br w:val="nil"/>
                    <w:tr2bl w:val="nil"/>
                  </w:tcBorders>
                  <w:vAlign w:val="center"/>
                </w:tcPr>
                <w:p>
                  <w:pPr>
                    <w:pStyle w:val="61"/>
                    <w:rPr>
                      <w:rFonts w:hint="default"/>
                      <w:color w:val="auto"/>
                    </w:rPr>
                  </w:pPr>
                  <w:r>
                    <w:rPr>
                      <w:color w:val="auto"/>
                    </w:rPr>
                    <w:t>150</w:t>
                  </w:r>
                </w:p>
              </w:tc>
              <w:tc>
                <w:tcPr>
                  <w:tcW w:w="718" w:type="pct"/>
                  <w:tcBorders>
                    <w:tl2br w:val="nil"/>
                    <w:tr2bl w:val="nil"/>
                  </w:tcBorders>
                  <w:vAlign w:val="center"/>
                </w:tcPr>
                <w:p>
                  <w:pPr>
                    <w:pStyle w:val="61"/>
                    <w:rPr>
                      <w:rFonts w:hint="default"/>
                      <w:color w:val="auto"/>
                    </w:rPr>
                  </w:pPr>
                  <w:r>
                    <w:rPr>
                      <w:color w:val="auto"/>
                    </w:rPr>
                    <w:t>4</w:t>
                  </w:r>
                </w:p>
              </w:tc>
              <w:tc>
                <w:tcPr>
                  <w:tcW w:w="701" w:type="pct"/>
                  <w:tcBorders>
                    <w:tl2br w:val="nil"/>
                    <w:tr2bl w:val="nil"/>
                  </w:tcBorders>
                  <w:vAlign w:val="center"/>
                </w:tcPr>
                <w:p>
                  <w:pPr>
                    <w:pStyle w:val="61"/>
                    <w:rPr>
                      <w:rFonts w:hint="default"/>
                      <w:color w:val="auto"/>
                    </w:rPr>
                  </w:pPr>
                  <w:r>
                    <w:rPr>
                      <w:color w:val="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41" w:type="pct"/>
                  <w:vMerge w:val="restart"/>
                  <w:tcBorders>
                    <w:tl2br w:val="nil"/>
                    <w:tr2bl w:val="nil"/>
                  </w:tcBorders>
                  <w:vAlign w:val="center"/>
                </w:tcPr>
                <w:p>
                  <w:pPr>
                    <w:pStyle w:val="61"/>
                    <w:rPr>
                      <w:rFonts w:hint="default"/>
                      <w:color w:val="auto"/>
                    </w:rPr>
                  </w:pPr>
                  <w:r>
                    <w:rPr>
                      <w:color w:val="auto"/>
                    </w:rPr>
                    <w:t>NO</w:t>
                  </w:r>
                  <w:r>
                    <w:rPr>
                      <w:color w:val="auto"/>
                      <w:vertAlign w:val="subscript"/>
                    </w:rPr>
                    <w:t>2</w:t>
                  </w:r>
                </w:p>
              </w:tc>
              <w:tc>
                <w:tcPr>
                  <w:tcW w:w="1471" w:type="pct"/>
                  <w:tcBorders>
                    <w:tl2br w:val="nil"/>
                    <w:tr2bl w:val="nil"/>
                  </w:tcBorders>
                  <w:vAlign w:val="center"/>
                </w:tcPr>
                <w:p>
                  <w:pPr>
                    <w:pStyle w:val="61"/>
                    <w:rPr>
                      <w:rFonts w:hint="default"/>
                      <w:color w:val="auto"/>
                    </w:rPr>
                  </w:pPr>
                  <w:r>
                    <w:rPr>
                      <w:color w:val="auto"/>
                    </w:rPr>
                    <w:t>年平均</w:t>
                  </w:r>
                </w:p>
              </w:tc>
              <w:tc>
                <w:tcPr>
                  <w:tcW w:w="718" w:type="pct"/>
                  <w:tcBorders>
                    <w:tl2br w:val="nil"/>
                    <w:tr2bl w:val="nil"/>
                  </w:tcBorders>
                  <w:vAlign w:val="center"/>
                </w:tcPr>
                <w:p>
                  <w:pPr>
                    <w:pStyle w:val="61"/>
                    <w:rPr>
                      <w:rFonts w:hint="default"/>
                      <w:color w:val="auto"/>
                    </w:rPr>
                  </w:pPr>
                  <w:r>
                    <w:rPr>
                      <w:color w:val="auto"/>
                    </w:rPr>
                    <w:t>17</w:t>
                  </w:r>
                </w:p>
              </w:tc>
              <w:tc>
                <w:tcPr>
                  <w:tcW w:w="849" w:type="pct"/>
                  <w:tcBorders>
                    <w:tl2br w:val="nil"/>
                    <w:tr2bl w:val="nil"/>
                  </w:tcBorders>
                  <w:vAlign w:val="center"/>
                </w:tcPr>
                <w:p>
                  <w:pPr>
                    <w:pStyle w:val="61"/>
                    <w:rPr>
                      <w:rFonts w:hint="default"/>
                      <w:color w:val="auto"/>
                    </w:rPr>
                  </w:pPr>
                  <w:r>
                    <w:rPr>
                      <w:color w:val="auto"/>
                    </w:rPr>
                    <w:t>40</w:t>
                  </w:r>
                </w:p>
              </w:tc>
              <w:tc>
                <w:tcPr>
                  <w:tcW w:w="718" w:type="pct"/>
                  <w:tcBorders>
                    <w:tl2br w:val="nil"/>
                    <w:tr2bl w:val="nil"/>
                  </w:tcBorders>
                  <w:vAlign w:val="center"/>
                </w:tcPr>
                <w:p>
                  <w:pPr>
                    <w:pStyle w:val="61"/>
                    <w:rPr>
                      <w:rFonts w:hint="default"/>
                      <w:color w:val="auto"/>
                    </w:rPr>
                  </w:pPr>
                  <w:r>
                    <w:rPr>
                      <w:color w:val="auto"/>
                    </w:rPr>
                    <w:t>43</w:t>
                  </w:r>
                </w:p>
              </w:tc>
              <w:tc>
                <w:tcPr>
                  <w:tcW w:w="701" w:type="pct"/>
                  <w:tcBorders>
                    <w:tl2br w:val="nil"/>
                    <w:tr2bl w:val="nil"/>
                  </w:tcBorders>
                  <w:vAlign w:val="center"/>
                </w:tcPr>
                <w:p>
                  <w:pPr>
                    <w:pStyle w:val="61"/>
                    <w:rPr>
                      <w:rFonts w:hint="default"/>
                      <w:color w:val="auto"/>
                    </w:rPr>
                  </w:pPr>
                  <w:r>
                    <w:rPr>
                      <w:color w:val="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41" w:type="pct"/>
                  <w:vMerge w:val="continue"/>
                  <w:tcBorders>
                    <w:tl2br w:val="nil"/>
                    <w:tr2bl w:val="nil"/>
                  </w:tcBorders>
                  <w:vAlign w:val="center"/>
                </w:tcPr>
                <w:p>
                  <w:pPr>
                    <w:pStyle w:val="61"/>
                    <w:rPr>
                      <w:rFonts w:hint="default"/>
                      <w:color w:val="auto"/>
                    </w:rPr>
                  </w:pPr>
                </w:p>
              </w:tc>
              <w:tc>
                <w:tcPr>
                  <w:tcW w:w="1471" w:type="pct"/>
                  <w:tcBorders>
                    <w:tl2br w:val="nil"/>
                    <w:tr2bl w:val="nil"/>
                  </w:tcBorders>
                  <w:vAlign w:val="center"/>
                </w:tcPr>
                <w:p>
                  <w:pPr>
                    <w:pStyle w:val="61"/>
                    <w:rPr>
                      <w:rFonts w:hint="default"/>
                      <w:color w:val="auto"/>
                    </w:rPr>
                  </w:pPr>
                  <w:r>
                    <w:rPr>
                      <w:color w:val="auto"/>
                    </w:rPr>
                    <w:t>24h平均第98百分位数</w:t>
                  </w:r>
                </w:p>
              </w:tc>
              <w:tc>
                <w:tcPr>
                  <w:tcW w:w="718" w:type="pct"/>
                  <w:tcBorders>
                    <w:tl2br w:val="nil"/>
                    <w:tr2bl w:val="nil"/>
                  </w:tcBorders>
                  <w:vAlign w:val="center"/>
                </w:tcPr>
                <w:p>
                  <w:pPr>
                    <w:pStyle w:val="61"/>
                    <w:rPr>
                      <w:rFonts w:hint="default"/>
                      <w:color w:val="auto"/>
                    </w:rPr>
                  </w:pPr>
                  <w:r>
                    <w:rPr>
                      <w:color w:val="auto"/>
                    </w:rPr>
                    <w:t>45</w:t>
                  </w:r>
                </w:p>
              </w:tc>
              <w:tc>
                <w:tcPr>
                  <w:tcW w:w="849" w:type="pct"/>
                  <w:tcBorders>
                    <w:tl2br w:val="nil"/>
                    <w:tr2bl w:val="nil"/>
                  </w:tcBorders>
                  <w:vAlign w:val="center"/>
                </w:tcPr>
                <w:p>
                  <w:pPr>
                    <w:pStyle w:val="61"/>
                    <w:rPr>
                      <w:rFonts w:hint="default"/>
                      <w:color w:val="auto"/>
                    </w:rPr>
                  </w:pPr>
                  <w:r>
                    <w:rPr>
                      <w:color w:val="auto"/>
                    </w:rPr>
                    <w:t>80</w:t>
                  </w:r>
                </w:p>
              </w:tc>
              <w:tc>
                <w:tcPr>
                  <w:tcW w:w="718" w:type="pct"/>
                  <w:tcBorders>
                    <w:tl2br w:val="nil"/>
                    <w:tr2bl w:val="nil"/>
                  </w:tcBorders>
                  <w:vAlign w:val="center"/>
                </w:tcPr>
                <w:p>
                  <w:pPr>
                    <w:pStyle w:val="61"/>
                    <w:rPr>
                      <w:rFonts w:hint="default"/>
                      <w:color w:val="auto"/>
                    </w:rPr>
                  </w:pPr>
                  <w:r>
                    <w:rPr>
                      <w:color w:val="auto"/>
                    </w:rPr>
                    <w:t>56</w:t>
                  </w:r>
                </w:p>
              </w:tc>
              <w:tc>
                <w:tcPr>
                  <w:tcW w:w="701" w:type="pct"/>
                  <w:tcBorders>
                    <w:tl2br w:val="nil"/>
                    <w:tr2bl w:val="nil"/>
                  </w:tcBorders>
                  <w:vAlign w:val="center"/>
                </w:tcPr>
                <w:p>
                  <w:pPr>
                    <w:pStyle w:val="61"/>
                    <w:rPr>
                      <w:rFonts w:hint="default"/>
                      <w:color w:val="auto"/>
                    </w:rPr>
                  </w:pPr>
                  <w:r>
                    <w:rPr>
                      <w:color w:val="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41" w:type="pct"/>
                  <w:tcBorders>
                    <w:tl2br w:val="nil"/>
                    <w:tr2bl w:val="nil"/>
                  </w:tcBorders>
                  <w:vAlign w:val="center"/>
                </w:tcPr>
                <w:p>
                  <w:pPr>
                    <w:pStyle w:val="61"/>
                    <w:rPr>
                      <w:rFonts w:hint="default"/>
                      <w:color w:val="auto"/>
                    </w:rPr>
                  </w:pPr>
                  <w:r>
                    <w:rPr>
                      <w:color w:val="auto"/>
                    </w:rPr>
                    <w:t>CO</w:t>
                  </w:r>
                </w:p>
              </w:tc>
              <w:tc>
                <w:tcPr>
                  <w:tcW w:w="1471" w:type="pct"/>
                  <w:tcBorders>
                    <w:tl2br w:val="nil"/>
                    <w:tr2bl w:val="nil"/>
                  </w:tcBorders>
                  <w:vAlign w:val="center"/>
                </w:tcPr>
                <w:p>
                  <w:pPr>
                    <w:pStyle w:val="61"/>
                    <w:rPr>
                      <w:rFonts w:hint="default"/>
                      <w:color w:val="auto"/>
                    </w:rPr>
                  </w:pPr>
                  <w:r>
                    <w:rPr>
                      <w:color w:val="auto"/>
                    </w:rPr>
                    <w:t>24h平均第95百分位数</w:t>
                  </w:r>
                </w:p>
              </w:tc>
              <w:tc>
                <w:tcPr>
                  <w:tcW w:w="718" w:type="pct"/>
                  <w:tcBorders>
                    <w:tl2br w:val="nil"/>
                    <w:tr2bl w:val="nil"/>
                  </w:tcBorders>
                  <w:vAlign w:val="center"/>
                </w:tcPr>
                <w:p>
                  <w:pPr>
                    <w:pStyle w:val="61"/>
                    <w:rPr>
                      <w:rFonts w:hint="default"/>
                      <w:color w:val="auto"/>
                    </w:rPr>
                  </w:pPr>
                  <w:r>
                    <w:rPr>
                      <w:color w:val="auto"/>
                    </w:rPr>
                    <w:t>1300</w:t>
                  </w:r>
                </w:p>
              </w:tc>
              <w:tc>
                <w:tcPr>
                  <w:tcW w:w="849" w:type="pct"/>
                  <w:tcBorders>
                    <w:tl2br w:val="nil"/>
                    <w:tr2bl w:val="nil"/>
                  </w:tcBorders>
                  <w:vAlign w:val="center"/>
                </w:tcPr>
                <w:p>
                  <w:pPr>
                    <w:pStyle w:val="61"/>
                    <w:rPr>
                      <w:rFonts w:hint="default"/>
                      <w:color w:val="auto"/>
                    </w:rPr>
                  </w:pPr>
                  <w:r>
                    <w:rPr>
                      <w:color w:val="auto"/>
                    </w:rPr>
                    <w:t>4000</w:t>
                  </w:r>
                </w:p>
              </w:tc>
              <w:tc>
                <w:tcPr>
                  <w:tcW w:w="718" w:type="pct"/>
                  <w:tcBorders>
                    <w:tl2br w:val="nil"/>
                    <w:tr2bl w:val="nil"/>
                  </w:tcBorders>
                  <w:vAlign w:val="center"/>
                </w:tcPr>
                <w:p>
                  <w:pPr>
                    <w:pStyle w:val="61"/>
                    <w:rPr>
                      <w:rFonts w:hint="default"/>
                      <w:color w:val="auto"/>
                    </w:rPr>
                  </w:pPr>
                  <w:r>
                    <w:rPr>
                      <w:color w:val="auto"/>
                    </w:rPr>
                    <w:t>33</w:t>
                  </w:r>
                </w:p>
              </w:tc>
              <w:tc>
                <w:tcPr>
                  <w:tcW w:w="701" w:type="pct"/>
                  <w:tcBorders>
                    <w:tl2br w:val="nil"/>
                    <w:tr2bl w:val="nil"/>
                  </w:tcBorders>
                  <w:vAlign w:val="center"/>
                </w:tcPr>
                <w:p>
                  <w:pPr>
                    <w:pStyle w:val="61"/>
                    <w:rPr>
                      <w:rFonts w:hint="default"/>
                      <w:color w:val="auto"/>
                    </w:rPr>
                  </w:pPr>
                  <w:r>
                    <w:rPr>
                      <w:color w:val="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41" w:type="pct"/>
                  <w:tcBorders>
                    <w:tl2br w:val="nil"/>
                    <w:tr2bl w:val="nil"/>
                  </w:tcBorders>
                  <w:vAlign w:val="center"/>
                </w:tcPr>
                <w:p>
                  <w:pPr>
                    <w:pStyle w:val="61"/>
                    <w:rPr>
                      <w:rFonts w:hint="default"/>
                      <w:color w:val="auto"/>
                    </w:rPr>
                  </w:pPr>
                  <w:r>
                    <w:rPr>
                      <w:color w:val="auto"/>
                    </w:rPr>
                    <w:t>O</w:t>
                  </w:r>
                  <w:r>
                    <w:rPr>
                      <w:color w:val="auto"/>
                      <w:vertAlign w:val="subscript"/>
                    </w:rPr>
                    <w:t>3</w:t>
                  </w:r>
                </w:p>
              </w:tc>
              <w:tc>
                <w:tcPr>
                  <w:tcW w:w="1471" w:type="pct"/>
                  <w:tcBorders>
                    <w:tl2br w:val="nil"/>
                    <w:tr2bl w:val="nil"/>
                  </w:tcBorders>
                  <w:vAlign w:val="center"/>
                </w:tcPr>
                <w:p>
                  <w:pPr>
                    <w:pStyle w:val="61"/>
                    <w:rPr>
                      <w:rFonts w:hint="default"/>
                      <w:color w:val="auto"/>
                    </w:rPr>
                  </w:pPr>
                  <w:r>
                    <w:rPr>
                      <w:rFonts w:hint="default"/>
                      <w:color w:val="auto"/>
                    </w:rPr>
                    <w:t>最大8小时滑动平均值的第90百分位数</w:t>
                  </w:r>
                </w:p>
              </w:tc>
              <w:tc>
                <w:tcPr>
                  <w:tcW w:w="718" w:type="pct"/>
                  <w:tcBorders>
                    <w:tl2br w:val="nil"/>
                    <w:tr2bl w:val="nil"/>
                  </w:tcBorders>
                  <w:vAlign w:val="center"/>
                </w:tcPr>
                <w:p>
                  <w:pPr>
                    <w:pStyle w:val="61"/>
                    <w:rPr>
                      <w:rFonts w:hint="default"/>
                      <w:color w:val="auto"/>
                    </w:rPr>
                  </w:pPr>
                  <w:r>
                    <w:rPr>
                      <w:color w:val="auto"/>
                    </w:rPr>
                    <w:t>121</w:t>
                  </w:r>
                </w:p>
              </w:tc>
              <w:tc>
                <w:tcPr>
                  <w:tcW w:w="849" w:type="pct"/>
                  <w:tcBorders>
                    <w:tl2br w:val="nil"/>
                    <w:tr2bl w:val="nil"/>
                  </w:tcBorders>
                  <w:vAlign w:val="center"/>
                </w:tcPr>
                <w:p>
                  <w:pPr>
                    <w:pStyle w:val="61"/>
                    <w:rPr>
                      <w:rFonts w:hint="default"/>
                      <w:color w:val="auto"/>
                    </w:rPr>
                  </w:pPr>
                  <w:r>
                    <w:rPr>
                      <w:color w:val="auto"/>
                    </w:rPr>
                    <w:t>160</w:t>
                  </w:r>
                </w:p>
              </w:tc>
              <w:tc>
                <w:tcPr>
                  <w:tcW w:w="718" w:type="pct"/>
                  <w:tcBorders>
                    <w:tl2br w:val="nil"/>
                    <w:tr2bl w:val="nil"/>
                  </w:tcBorders>
                  <w:vAlign w:val="center"/>
                </w:tcPr>
                <w:p>
                  <w:pPr>
                    <w:pStyle w:val="61"/>
                    <w:rPr>
                      <w:rFonts w:hint="default"/>
                      <w:color w:val="auto"/>
                    </w:rPr>
                  </w:pPr>
                  <w:r>
                    <w:rPr>
                      <w:color w:val="auto"/>
                    </w:rPr>
                    <w:t>76</w:t>
                  </w:r>
                </w:p>
              </w:tc>
              <w:tc>
                <w:tcPr>
                  <w:tcW w:w="701" w:type="pct"/>
                  <w:tcBorders>
                    <w:tl2br w:val="nil"/>
                    <w:tr2bl w:val="nil"/>
                  </w:tcBorders>
                  <w:vAlign w:val="center"/>
                </w:tcPr>
                <w:p>
                  <w:pPr>
                    <w:pStyle w:val="61"/>
                    <w:rPr>
                      <w:rFonts w:hint="default"/>
                      <w:color w:val="auto"/>
                    </w:rPr>
                  </w:pPr>
                  <w:r>
                    <w:rPr>
                      <w:color w:val="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41" w:type="pct"/>
                  <w:vMerge w:val="restart"/>
                  <w:tcBorders>
                    <w:tl2br w:val="nil"/>
                    <w:tr2bl w:val="nil"/>
                  </w:tcBorders>
                  <w:vAlign w:val="center"/>
                </w:tcPr>
                <w:p>
                  <w:pPr>
                    <w:pStyle w:val="61"/>
                    <w:rPr>
                      <w:rFonts w:hint="default"/>
                      <w:color w:val="auto"/>
                    </w:rPr>
                  </w:pPr>
                  <w:r>
                    <w:rPr>
                      <w:color w:val="auto"/>
                    </w:rPr>
                    <w:t>PM</w:t>
                  </w:r>
                  <w:r>
                    <w:rPr>
                      <w:color w:val="auto"/>
                      <w:vertAlign w:val="subscript"/>
                    </w:rPr>
                    <w:t>10</w:t>
                  </w:r>
                </w:p>
              </w:tc>
              <w:tc>
                <w:tcPr>
                  <w:tcW w:w="1471" w:type="pct"/>
                  <w:tcBorders>
                    <w:tl2br w:val="nil"/>
                    <w:tr2bl w:val="nil"/>
                  </w:tcBorders>
                  <w:vAlign w:val="center"/>
                </w:tcPr>
                <w:p>
                  <w:pPr>
                    <w:pStyle w:val="61"/>
                    <w:rPr>
                      <w:rFonts w:hint="default"/>
                      <w:color w:val="auto"/>
                    </w:rPr>
                  </w:pPr>
                  <w:r>
                    <w:rPr>
                      <w:color w:val="auto"/>
                    </w:rPr>
                    <w:t>年平均</w:t>
                  </w:r>
                </w:p>
              </w:tc>
              <w:tc>
                <w:tcPr>
                  <w:tcW w:w="718" w:type="pct"/>
                  <w:tcBorders>
                    <w:tl2br w:val="nil"/>
                    <w:tr2bl w:val="nil"/>
                  </w:tcBorders>
                  <w:vAlign w:val="center"/>
                </w:tcPr>
                <w:p>
                  <w:pPr>
                    <w:pStyle w:val="61"/>
                    <w:rPr>
                      <w:rFonts w:hint="default"/>
                      <w:color w:val="auto"/>
                    </w:rPr>
                  </w:pPr>
                  <w:r>
                    <w:rPr>
                      <w:color w:val="auto"/>
                    </w:rPr>
                    <w:t>122</w:t>
                  </w:r>
                </w:p>
              </w:tc>
              <w:tc>
                <w:tcPr>
                  <w:tcW w:w="849" w:type="pct"/>
                  <w:tcBorders>
                    <w:tl2br w:val="nil"/>
                    <w:tr2bl w:val="nil"/>
                  </w:tcBorders>
                  <w:vAlign w:val="center"/>
                </w:tcPr>
                <w:p>
                  <w:pPr>
                    <w:pStyle w:val="61"/>
                    <w:rPr>
                      <w:rFonts w:hint="default"/>
                      <w:color w:val="auto"/>
                    </w:rPr>
                  </w:pPr>
                  <w:r>
                    <w:rPr>
                      <w:color w:val="auto"/>
                    </w:rPr>
                    <w:t>70</w:t>
                  </w:r>
                </w:p>
              </w:tc>
              <w:tc>
                <w:tcPr>
                  <w:tcW w:w="718" w:type="pct"/>
                  <w:tcBorders>
                    <w:tl2br w:val="nil"/>
                    <w:tr2bl w:val="nil"/>
                  </w:tcBorders>
                  <w:vAlign w:val="center"/>
                </w:tcPr>
                <w:p>
                  <w:pPr>
                    <w:pStyle w:val="61"/>
                    <w:rPr>
                      <w:rFonts w:hint="default"/>
                      <w:color w:val="auto"/>
                    </w:rPr>
                  </w:pPr>
                  <w:r>
                    <w:rPr>
                      <w:color w:val="auto"/>
                    </w:rPr>
                    <w:t>174</w:t>
                  </w:r>
                </w:p>
              </w:tc>
              <w:tc>
                <w:tcPr>
                  <w:tcW w:w="701" w:type="pct"/>
                  <w:tcBorders>
                    <w:tl2br w:val="nil"/>
                    <w:tr2bl w:val="nil"/>
                  </w:tcBorders>
                  <w:vAlign w:val="center"/>
                </w:tcPr>
                <w:p>
                  <w:pPr>
                    <w:pStyle w:val="61"/>
                    <w:rPr>
                      <w:rFonts w:hint="default"/>
                      <w:b/>
                      <w:bCs/>
                      <w:color w:val="auto"/>
                    </w:rPr>
                  </w:pPr>
                  <w:r>
                    <w:rPr>
                      <w:b/>
                      <w:bCs/>
                      <w:color w:val="auto"/>
                    </w:rPr>
                    <w:t>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541" w:type="pct"/>
                  <w:vMerge w:val="continue"/>
                  <w:tcBorders>
                    <w:tl2br w:val="nil"/>
                    <w:tr2bl w:val="nil"/>
                  </w:tcBorders>
                  <w:vAlign w:val="center"/>
                </w:tcPr>
                <w:p>
                  <w:pPr>
                    <w:pStyle w:val="61"/>
                    <w:rPr>
                      <w:rFonts w:hint="default"/>
                      <w:color w:val="auto"/>
                    </w:rPr>
                  </w:pPr>
                </w:p>
              </w:tc>
              <w:tc>
                <w:tcPr>
                  <w:tcW w:w="1471" w:type="pct"/>
                  <w:tcBorders>
                    <w:tl2br w:val="nil"/>
                    <w:tr2bl w:val="nil"/>
                  </w:tcBorders>
                  <w:vAlign w:val="center"/>
                </w:tcPr>
                <w:p>
                  <w:pPr>
                    <w:pStyle w:val="61"/>
                    <w:rPr>
                      <w:rFonts w:hint="default"/>
                      <w:color w:val="auto"/>
                    </w:rPr>
                  </w:pPr>
                  <w:r>
                    <w:rPr>
                      <w:color w:val="auto"/>
                    </w:rPr>
                    <w:t>24h平均第95百分位数</w:t>
                  </w:r>
                </w:p>
              </w:tc>
              <w:tc>
                <w:tcPr>
                  <w:tcW w:w="718" w:type="pct"/>
                  <w:tcBorders>
                    <w:tl2br w:val="nil"/>
                    <w:tr2bl w:val="nil"/>
                  </w:tcBorders>
                  <w:vAlign w:val="center"/>
                </w:tcPr>
                <w:p>
                  <w:pPr>
                    <w:pStyle w:val="61"/>
                    <w:rPr>
                      <w:rFonts w:hint="default"/>
                      <w:color w:val="auto"/>
                    </w:rPr>
                  </w:pPr>
                  <w:r>
                    <w:rPr>
                      <w:color w:val="auto"/>
                    </w:rPr>
                    <w:t>307</w:t>
                  </w:r>
                </w:p>
              </w:tc>
              <w:tc>
                <w:tcPr>
                  <w:tcW w:w="849" w:type="pct"/>
                  <w:tcBorders>
                    <w:tl2br w:val="nil"/>
                    <w:tr2bl w:val="nil"/>
                  </w:tcBorders>
                  <w:vAlign w:val="center"/>
                </w:tcPr>
                <w:p>
                  <w:pPr>
                    <w:pStyle w:val="61"/>
                    <w:rPr>
                      <w:rFonts w:hint="default"/>
                      <w:color w:val="auto"/>
                    </w:rPr>
                  </w:pPr>
                  <w:r>
                    <w:rPr>
                      <w:color w:val="auto"/>
                    </w:rPr>
                    <w:t>150</w:t>
                  </w:r>
                </w:p>
              </w:tc>
              <w:tc>
                <w:tcPr>
                  <w:tcW w:w="718" w:type="pct"/>
                  <w:tcBorders>
                    <w:tl2br w:val="nil"/>
                    <w:tr2bl w:val="nil"/>
                  </w:tcBorders>
                  <w:vAlign w:val="center"/>
                </w:tcPr>
                <w:p>
                  <w:pPr>
                    <w:pStyle w:val="61"/>
                    <w:rPr>
                      <w:rFonts w:hint="default"/>
                      <w:color w:val="auto"/>
                    </w:rPr>
                  </w:pPr>
                  <w:r>
                    <w:rPr>
                      <w:color w:val="auto"/>
                    </w:rPr>
                    <w:t>205</w:t>
                  </w:r>
                </w:p>
              </w:tc>
              <w:tc>
                <w:tcPr>
                  <w:tcW w:w="701" w:type="pct"/>
                  <w:tcBorders>
                    <w:tl2br w:val="nil"/>
                    <w:tr2bl w:val="nil"/>
                  </w:tcBorders>
                  <w:vAlign w:val="center"/>
                </w:tcPr>
                <w:p>
                  <w:pPr>
                    <w:jc w:val="center"/>
                    <w:rPr>
                      <w:b/>
                      <w:bCs/>
                      <w:color w:val="auto"/>
                    </w:rPr>
                  </w:pPr>
                  <w:r>
                    <w:rPr>
                      <w:rFonts w:hint="eastAsia"/>
                      <w:b/>
                      <w:bCs/>
                      <w:color w:val="auto"/>
                    </w:rPr>
                    <w:t>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41" w:type="pct"/>
                  <w:vMerge w:val="restart"/>
                  <w:tcBorders>
                    <w:tl2br w:val="nil"/>
                    <w:tr2bl w:val="nil"/>
                  </w:tcBorders>
                  <w:vAlign w:val="center"/>
                </w:tcPr>
                <w:p>
                  <w:pPr>
                    <w:pStyle w:val="61"/>
                    <w:rPr>
                      <w:rFonts w:hint="default"/>
                      <w:color w:val="auto"/>
                    </w:rPr>
                  </w:pPr>
                  <w:r>
                    <w:rPr>
                      <w:color w:val="auto"/>
                    </w:rPr>
                    <w:t>PM</w:t>
                  </w:r>
                  <w:r>
                    <w:rPr>
                      <w:color w:val="auto"/>
                      <w:vertAlign w:val="subscript"/>
                    </w:rPr>
                    <w:t>2.5</w:t>
                  </w:r>
                </w:p>
              </w:tc>
              <w:tc>
                <w:tcPr>
                  <w:tcW w:w="1471" w:type="pct"/>
                  <w:tcBorders>
                    <w:tl2br w:val="nil"/>
                    <w:tr2bl w:val="nil"/>
                  </w:tcBorders>
                  <w:vAlign w:val="center"/>
                </w:tcPr>
                <w:p>
                  <w:pPr>
                    <w:pStyle w:val="61"/>
                    <w:rPr>
                      <w:rFonts w:hint="default"/>
                      <w:color w:val="auto"/>
                    </w:rPr>
                  </w:pPr>
                  <w:r>
                    <w:rPr>
                      <w:color w:val="auto"/>
                    </w:rPr>
                    <w:t>年平均</w:t>
                  </w:r>
                </w:p>
              </w:tc>
              <w:tc>
                <w:tcPr>
                  <w:tcW w:w="718" w:type="pct"/>
                  <w:tcBorders>
                    <w:tl2br w:val="nil"/>
                    <w:tr2bl w:val="nil"/>
                  </w:tcBorders>
                  <w:vAlign w:val="center"/>
                </w:tcPr>
                <w:p>
                  <w:pPr>
                    <w:pStyle w:val="61"/>
                    <w:rPr>
                      <w:rFonts w:hint="default"/>
                      <w:color w:val="auto"/>
                    </w:rPr>
                  </w:pPr>
                  <w:r>
                    <w:rPr>
                      <w:color w:val="auto"/>
                    </w:rPr>
                    <w:t>40</w:t>
                  </w:r>
                </w:p>
              </w:tc>
              <w:tc>
                <w:tcPr>
                  <w:tcW w:w="849" w:type="pct"/>
                  <w:tcBorders>
                    <w:tl2br w:val="nil"/>
                    <w:tr2bl w:val="nil"/>
                  </w:tcBorders>
                  <w:vAlign w:val="center"/>
                </w:tcPr>
                <w:p>
                  <w:pPr>
                    <w:pStyle w:val="61"/>
                    <w:rPr>
                      <w:rFonts w:hint="default"/>
                      <w:color w:val="auto"/>
                    </w:rPr>
                  </w:pPr>
                  <w:r>
                    <w:rPr>
                      <w:color w:val="auto"/>
                    </w:rPr>
                    <w:t>35</w:t>
                  </w:r>
                </w:p>
              </w:tc>
              <w:tc>
                <w:tcPr>
                  <w:tcW w:w="718" w:type="pct"/>
                  <w:tcBorders>
                    <w:tl2br w:val="nil"/>
                    <w:tr2bl w:val="nil"/>
                  </w:tcBorders>
                  <w:vAlign w:val="center"/>
                </w:tcPr>
                <w:p>
                  <w:pPr>
                    <w:pStyle w:val="61"/>
                    <w:rPr>
                      <w:rFonts w:hint="default"/>
                      <w:color w:val="auto"/>
                    </w:rPr>
                  </w:pPr>
                  <w:r>
                    <w:rPr>
                      <w:color w:val="auto"/>
                    </w:rPr>
                    <w:t>114</w:t>
                  </w:r>
                </w:p>
              </w:tc>
              <w:tc>
                <w:tcPr>
                  <w:tcW w:w="701" w:type="pct"/>
                  <w:tcBorders>
                    <w:tl2br w:val="nil"/>
                    <w:tr2bl w:val="nil"/>
                  </w:tcBorders>
                  <w:vAlign w:val="center"/>
                </w:tcPr>
                <w:p>
                  <w:pPr>
                    <w:jc w:val="center"/>
                    <w:rPr>
                      <w:b/>
                      <w:bCs/>
                      <w:color w:val="auto"/>
                    </w:rPr>
                  </w:pPr>
                  <w:r>
                    <w:rPr>
                      <w:rFonts w:hint="eastAsia"/>
                      <w:b/>
                      <w:bCs/>
                      <w:color w:val="auto"/>
                    </w:rPr>
                    <w:t>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41" w:type="pct"/>
                  <w:vMerge w:val="continue"/>
                  <w:tcBorders>
                    <w:tl2br w:val="nil"/>
                    <w:tr2bl w:val="nil"/>
                  </w:tcBorders>
                  <w:vAlign w:val="center"/>
                </w:tcPr>
                <w:p>
                  <w:pPr>
                    <w:pStyle w:val="61"/>
                    <w:rPr>
                      <w:rFonts w:hint="default"/>
                      <w:color w:val="auto"/>
                    </w:rPr>
                  </w:pPr>
                </w:p>
              </w:tc>
              <w:tc>
                <w:tcPr>
                  <w:tcW w:w="1471" w:type="pct"/>
                  <w:tcBorders>
                    <w:tl2br w:val="nil"/>
                    <w:tr2bl w:val="nil"/>
                  </w:tcBorders>
                  <w:vAlign w:val="center"/>
                </w:tcPr>
                <w:p>
                  <w:pPr>
                    <w:pStyle w:val="61"/>
                    <w:rPr>
                      <w:rFonts w:hint="default"/>
                      <w:color w:val="auto"/>
                    </w:rPr>
                  </w:pPr>
                  <w:r>
                    <w:rPr>
                      <w:color w:val="auto"/>
                    </w:rPr>
                    <w:t>24h平均第95百分位数</w:t>
                  </w:r>
                </w:p>
              </w:tc>
              <w:tc>
                <w:tcPr>
                  <w:tcW w:w="718" w:type="pct"/>
                  <w:tcBorders>
                    <w:tl2br w:val="nil"/>
                    <w:tr2bl w:val="nil"/>
                  </w:tcBorders>
                  <w:vAlign w:val="center"/>
                </w:tcPr>
                <w:p>
                  <w:pPr>
                    <w:pStyle w:val="61"/>
                    <w:rPr>
                      <w:rFonts w:hint="default"/>
                      <w:color w:val="auto"/>
                    </w:rPr>
                  </w:pPr>
                  <w:r>
                    <w:rPr>
                      <w:color w:val="auto"/>
                    </w:rPr>
                    <w:t>100</w:t>
                  </w:r>
                </w:p>
              </w:tc>
              <w:tc>
                <w:tcPr>
                  <w:tcW w:w="849" w:type="pct"/>
                  <w:tcBorders>
                    <w:tl2br w:val="nil"/>
                    <w:tr2bl w:val="nil"/>
                  </w:tcBorders>
                  <w:vAlign w:val="center"/>
                </w:tcPr>
                <w:p>
                  <w:pPr>
                    <w:pStyle w:val="61"/>
                    <w:rPr>
                      <w:rFonts w:hint="default"/>
                      <w:color w:val="auto"/>
                    </w:rPr>
                  </w:pPr>
                  <w:r>
                    <w:rPr>
                      <w:color w:val="auto"/>
                    </w:rPr>
                    <w:t>75</w:t>
                  </w:r>
                </w:p>
              </w:tc>
              <w:tc>
                <w:tcPr>
                  <w:tcW w:w="718" w:type="pct"/>
                  <w:tcBorders>
                    <w:tl2br w:val="nil"/>
                    <w:tr2bl w:val="nil"/>
                  </w:tcBorders>
                  <w:vAlign w:val="center"/>
                </w:tcPr>
                <w:p>
                  <w:pPr>
                    <w:pStyle w:val="61"/>
                    <w:rPr>
                      <w:rFonts w:hint="default"/>
                      <w:color w:val="auto"/>
                    </w:rPr>
                  </w:pPr>
                  <w:r>
                    <w:rPr>
                      <w:color w:val="auto"/>
                    </w:rPr>
                    <w:t>133</w:t>
                  </w:r>
                </w:p>
              </w:tc>
              <w:tc>
                <w:tcPr>
                  <w:tcW w:w="701" w:type="pct"/>
                  <w:tcBorders>
                    <w:tl2br w:val="nil"/>
                    <w:tr2bl w:val="nil"/>
                  </w:tcBorders>
                  <w:vAlign w:val="center"/>
                </w:tcPr>
                <w:p>
                  <w:pPr>
                    <w:jc w:val="center"/>
                    <w:rPr>
                      <w:b/>
                      <w:bCs/>
                      <w:color w:val="auto"/>
                    </w:rPr>
                  </w:pPr>
                  <w:r>
                    <w:rPr>
                      <w:rFonts w:hint="eastAsia"/>
                      <w:b/>
                      <w:bCs/>
                      <w:color w:val="auto"/>
                    </w:rPr>
                    <w:t>超标</w:t>
                  </w:r>
                </w:p>
              </w:tc>
            </w:tr>
          </w:tbl>
          <w:p>
            <w:pPr>
              <w:pStyle w:val="12"/>
              <w:spacing w:line="360" w:lineRule="auto"/>
              <w:ind w:firstLine="480" w:firstLineChars="200"/>
              <w:rPr>
                <w:rFonts w:cs="宋体"/>
                <w:color w:val="auto"/>
                <w:kern w:val="2"/>
                <w:sz w:val="24"/>
                <w:szCs w:val="24"/>
              </w:rPr>
            </w:pPr>
            <w:r>
              <w:rPr>
                <w:rFonts w:hint="eastAsia" w:cs="宋体"/>
                <w:color w:val="auto"/>
                <w:kern w:val="2"/>
                <w:sz w:val="24"/>
                <w:szCs w:val="24"/>
              </w:rPr>
              <w:t>根据对基本污染物的分析结果：2024年污染物SO</w:t>
            </w:r>
            <w:r>
              <w:rPr>
                <w:rFonts w:hint="eastAsia" w:cs="宋体"/>
                <w:color w:val="auto"/>
                <w:kern w:val="2"/>
                <w:sz w:val="24"/>
                <w:szCs w:val="24"/>
                <w:vertAlign w:val="subscript"/>
              </w:rPr>
              <w:t>2</w:t>
            </w:r>
            <w:r>
              <w:rPr>
                <w:rFonts w:hint="eastAsia" w:cs="宋体"/>
                <w:color w:val="auto"/>
                <w:kern w:val="2"/>
                <w:sz w:val="24"/>
                <w:szCs w:val="24"/>
              </w:rPr>
              <w:t>、NO</w:t>
            </w:r>
            <w:r>
              <w:rPr>
                <w:rFonts w:hint="eastAsia" w:cs="宋体"/>
                <w:color w:val="auto"/>
                <w:kern w:val="2"/>
                <w:sz w:val="24"/>
                <w:szCs w:val="24"/>
                <w:vertAlign w:val="subscript"/>
              </w:rPr>
              <w:t>2</w:t>
            </w:r>
            <w:r>
              <w:rPr>
                <w:rFonts w:hint="eastAsia" w:cs="宋体"/>
                <w:color w:val="auto"/>
                <w:kern w:val="2"/>
                <w:sz w:val="24"/>
                <w:szCs w:val="24"/>
              </w:rPr>
              <w:t>、CO、O</w:t>
            </w:r>
            <w:r>
              <w:rPr>
                <w:rFonts w:hint="eastAsia" w:cs="宋体"/>
                <w:color w:val="auto"/>
                <w:kern w:val="2"/>
                <w:sz w:val="24"/>
                <w:szCs w:val="24"/>
                <w:vertAlign w:val="subscript"/>
              </w:rPr>
              <w:t>3</w:t>
            </w:r>
            <w:r>
              <w:rPr>
                <w:rFonts w:hint="eastAsia" w:cs="宋体"/>
                <w:color w:val="auto"/>
                <w:kern w:val="2"/>
                <w:sz w:val="24"/>
                <w:szCs w:val="24"/>
              </w:rPr>
              <w:t xml:space="preserve"> 日均、年均浓度均满足《环境空气质量标准》（GB3095-2012）中二级标准限值；PM</w:t>
            </w:r>
            <w:r>
              <w:rPr>
                <w:rFonts w:hint="eastAsia" w:cs="宋体"/>
                <w:color w:val="auto"/>
                <w:kern w:val="2"/>
                <w:sz w:val="24"/>
                <w:szCs w:val="24"/>
                <w:vertAlign w:val="subscript"/>
              </w:rPr>
              <w:t>10</w:t>
            </w:r>
            <w:r>
              <w:rPr>
                <w:rFonts w:hint="eastAsia" w:cs="宋体"/>
                <w:color w:val="auto"/>
                <w:kern w:val="2"/>
                <w:sz w:val="24"/>
                <w:szCs w:val="24"/>
              </w:rPr>
              <w:t>和PM</w:t>
            </w:r>
            <w:r>
              <w:rPr>
                <w:rFonts w:hint="eastAsia" w:cs="宋体"/>
                <w:color w:val="auto"/>
                <w:kern w:val="2"/>
                <w:sz w:val="24"/>
                <w:szCs w:val="24"/>
                <w:vertAlign w:val="subscript"/>
              </w:rPr>
              <w:t>2.5</w:t>
            </w:r>
            <w:r>
              <w:rPr>
                <w:rFonts w:hint="eastAsia" w:cs="宋体"/>
                <w:color w:val="auto"/>
                <w:kern w:val="2"/>
                <w:sz w:val="24"/>
                <w:szCs w:val="24"/>
              </w:rPr>
              <w:t>年平均浓度和相应百分位数日平均浓度均超出《环境空气质量标准》（GB3095-2012）中二级标准限值，PM</w:t>
            </w:r>
            <w:r>
              <w:rPr>
                <w:rFonts w:hint="eastAsia" w:cs="宋体"/>
                <w:color w:val="auto"/>
                <w:kern w:val="2"/>
                <w:sz w:val="24"/>
                <w:szCs w:val="24"/>
                <w:vertAlign w:val="subscript"/>
              </w:rPr>
              <w:t>10</w:t>
            </w:r>
            <w:r>
              <w:rPr>
                <w:rFonts w:hint="eastAsia" w:cs="宋体"/>
                <w:color w:val="auto"/>
                <w:kern w:val="2"/>
                <w:sz w:val="24"/>
                <w:szCs w:val="24"/>
              </w:rPr>
              <w:t>、PM</w:t>
            </w:r>
            <w:r>
              <w:rPr>
                <w:rFonts w:hint="eastAsia" w:cs="宋体"/>
                <w:color w:val="auto"/>
                <w:kern w:val="2"/>
                <w:sz w:val="24"/>
                <w:szCs w:val="24"/>
                <w:vertAlign w:val="subscript"/>
              </w:rPr>
              <w:t>2.5</w:t>
            </w:r>
            <w:r>
              <w:rPr>
                <w:rFonts w:hint="eastAsia" w:cs="宋体"/>
                <w:color w:val="auto"/>
                <w:kern w:val="2"/>
                <w:sz w:val="24"/>
                <w:szCs w:val="24"/>
              </w:rPr>
              <w:t>浓度超标原因是规划区地处南疆，位于沙漠边缘，受全年沙尘天气等因素影响，背景因素所致，尉犁县为环境空气质量不达标区域。</w:t>
            </w:r>
          </w:p>
          <w:p>
            <w:pPr>
              <w:widowControl/>
              <w:spacing w:line="360" w:lineRule="auto"/>
              <w:rPr>
                <w:b/>
                <w:color w:val="auto"/>
                <w:kern w:val="0"/>
                <w:sz w:val="24"/>
              </w:rPr>
            </w:pPr>
            <w:r>
              <w:rPr>
                <w:b/>
                <w:color w:val="auto"/>
                <w:kern w:val="0"/>
                <w:sz w:val="24"/>
              </w:rPr>
              <w:t>二、地表水环境质量现状</w:t>
            </w:r>
          </w:p>
          <w:p>
            <w:pPr>
              <w:spacing w:line="360" w:lineRule="auto"/>
              <w:ind w:firstLine="480" w:firstLineChars="200"/>
              <w:jc w:val="left"/>
              <w:rPr>
                <w:color w:val="auto"/>
                <w:sz w:val="24"/>
              </w:rPr>
            </w:pPr>
            <w:r>
              <w:rPr>
                <w:color w:val="auto"/>
                <w:kern w:val="0"/>
                <w:sz w:val="24"/>
              </w:rPr>
              <w:t>根据《2024年巴音郭楞蒙古自治州生态环境状况公报》可知：</w:t>
            </w:r>
            <w:r>
              <w:rPr>
                <w:color w:val="auto"/>
                <w:sz w:val="24"/>
              </w:rPr>
              <w:t>2024年，全州地表水监测的31个考核断面（点位）中，Ⅰ~Ⅲ类优良水质断面（点位）占比90.3%，无Ⅳ类水质。6条主要河流19个监测断面中Ⅰ~Ⅲ类优良水质断面占100%，3个重要湖泊（水库）12个监测点位中Ⅰ~Ⅲ类优良水质断面占75%，无劣Ⅴ类水体，湖泊水质影响因子为化学需氧量。</w:t>
            </w:r>
          </w:p>
          <w:p>
            <w:pPr>
              <w:pStyle w:val="9"/>
              <w:spacing w:line="360" w:lineRule="auto"/>
              <w:rPr>
                <w:color w:val="auto"/>
                <w:kern w:val="2"/>
                <w:sz w:val="24"/>
                <w:szCs w:val="24"/>
              </w:rPr>
            </w:pPr>
            <w:r>
              <w:rPr>
                <w:color w:val="auto"/>
                <w:kern w:val="2"/>
                <w:sz w:val="24"/>
                <w:szCs w:val="24"/>
              </w:rPr>
              <w:t>本项目周边最近水体为孔雀河，距离本项目1.1km，地表水质可达到</w:t>
            </w:r>
            <w:r>
              <w:rPr>
                <w:rFonts w:hint="eastAsia"/>
                <w:color w:val="auto"/>
                <w:kern w:val="2"/>
                <w:sz w:val="24"/>
                <w:szCs w:val="24"/>
              </w:rPr>
              <w:t>《地表水环境质量标准》（GB338-2002）</w:t>
            </w:r>
            <w:r>
              <w:rPr>
                <w:color w:val="auto"/>
                <w:sz w:val="24"/>
                <w:szCs w:val="24"/>
              </w:rPr>
              <w:t>Ⅲ类标准。</w:t>
            </w:r>
          </w:p>
          <w:p>
            <w:pPr>
              <w:widowControl/>
              <w:spacing w:line="360" w:lineRule="auto"/>
              <w:rPr>
                <w:b/>
                <w:color w:val="auto"/>
                <w:kern w:val="0"/>
                <w:sz w:val="24"/>
              </w:rPr>
            </w:pPr>
            <w:r>
              <w:rPr>
                <w:b/>
                <w:color w:val="auto"/>
                <w:kern w:val="0"/>
                <w:sz w:val="24"/>
              </w:rPr>
              <w:t>三、地下水、土壤环境质量现状</w:t>
            </w:r>
          </w:p>
          <w:p>
            <w:pPr>
              <w:widowControl/>
              <w:spacing w:line="360" w:lineRule="auto"/>
              <w:ind w:firstLine="480" w:firstLineChars="200"/>
              <w:jc w:val="left"/>
              <w:rPr>
                <w:color w:val="auto"/>
                <w:sz w:val="24"/>
              </w:rPr>
            </w:pPr>
            <w:r>
              <w:rPr>
                <w:color w:val="auto"/>
                <w:sz w:val="24"/>
              </w:rPr>
              <w:t>根据生态环境部办公厅 2020 年12月24日印发的《建设项目环境影响报告表编制技术指南（污染影响类）（试行）》中具体编制要求“原则上不开展环境质量现状调查。建设项目存在地下水、土壤环境污染途径的，应结合污染源、保护目标分布情况开展现状调查以留作背景值。”结合现场及工艺分析调查，项目无污染地下水和土壤途径，且项目场地硬化，阻断了生活污水、消防废水等最地下水、土壤环境的影响，因此可不开展环境质量现状调查。</w:t>
            </w:r>
          </w:p>
          <w:p>
            <w:pPr>
              <w:widowControl/>
              <w:spacing w:line="520" w:lineRule="exact"/>
              <w:rPr>
                <w:b/>
                <w:color w:val="auto"/>
                <w:kern w:val="0"/>
                <w:sz w:val="24"/>
              </w:rPr>
            </w:pPr>
            <w:r>
              <w:rPr>
                <w:b/>
                <w:color w:val="auto"/>
                <w:kern w:val="0"/>
                <w:sz w:val="24"/>
              </w:rPr>
              <w:t>四、声环境</w:t>
            </w:r>
          </w:p>
          <w:p>
            <w:pPr>
              <w:spacing w:line="520" w:lineRule="exact"/>
              <w:ind w:firstLine="480" w:firstLineChars="200"/>
              <w:jc w:val="left"/>
              <w:rPr>
                <w:color w:val="auto"/>
                <w:kern w:val="0"/>
                <w:sz w:val="24"/>
              </w:rPr>
            </w:pPr>
            <w:r>
              <w:rPr>
                <w:color w:val="auto"/>
                <w:kern w:val="0"/>
                <w:sz w:val="24"/>
              </w:rPr>
              <w:t>根据《声环境功能区划分技术规范》（GB/T15190-2014），本项目属于声环境功能区2类区域，声环境执行《声环境质量标准》（GB3096-2008）的2类声环境功能限值。</w:t>
            </w:r>
          </w:p>
          <w:p>
            <w:pPr>
              <w:spacing w:line="520" w:lineRule="exact"/>
              <w:ind w:firstLine="480" w:firstLineChars="200"/>
              <w:jc w:val="left"/>
              <w:rPr>
                <w:color w:val="auto"/>
                <w:kern w:val="0"/>
                <w:sz w:val="24"/>
              </w:rPr>
            </w:pPr>
            <w:r>
              <w:rPr>
                <w:color w:val="auto"/>
                <w:kern w:val="0"/>
                <w:sz w:val="24"/>
              </w:rPr>
              <w:t>项目厂界外周边50m范围内不存在声环境保护目标，因此对项目不进行声环境监测。</w:t>
            </w:r>
          </w:p>
          <w:p>
            <w:pPr>
              <w:widowControl/>
              <w:spacing w:line="520" w:lineRule="exact"/>
              <w:rPr>
                <w:b/>
                <w:color w:val="auto"/>
                <w:kern w:val="0"/>
                <w:sz w:val="24"/>
              </w:rPr>
            </w:pPr>
            <w:r>
              <w:rPr>
                <w:b/>
                <w:color w:val="auto"/>
                <w:kern w:val="0"/>
                <w:sz w:val="24"/>
              </w:rPr>
              <w:t>五、生态环境</w:t>
            </w:r>
          </w:p>
          <w:p>
            <w:pPr>
              <w:spacing w:line="520" w:lineRule="exact"/>
              <w:ind w:firstLine="480" w:firstLineChars="200"/>
              <w:jc w:val="left"/>
              <w:rPr>
                <w:color w:val="auto"/>
                <w:kern w:val="0"/>
                <w:sz w:val="24"/>
              </w:rPr>
            </w:pPr>
            <w:r>
              <w:rPr>
                <w:color w:val="auto"/>
                <w:kern w:val="0"/>
                <w:sz w:val="24"/>
              </w:rPr>
              <w:t>项目用地范围内无生态环境保护目标。根据《建设项目环境影响报告表编制技术指南（污染影响类）（试行）》，不进行生态现状调查。</w:t>
            </w:r>
          </w:p>
          <w:p>
            <w:pPr>
              <w:spacing w:line="520" w:lineRule="exact"/>
              <w:ind w:firstLine="480" w:firstLineChars="200"/>
              <w:jc w:val="left"/>
              <w:rPr>
                <w:color w:val="auto"/>
                <w:kern w:val="0"/>
                <w:sz w:val="24"/>
              </w:rPr>
            </w:pPr>
            <w:r>
              <w:rPr>
                <w:color w:val="auto"/>
                <w:kern w:val="0"/>
                <w:sz w:val="24"/>
              </w:rPr>
              <w:t>项目区目前用地属于仓储用地。根据现场勘查情况，项目区土壤类型为潜育草甸土，项目土壤类型见附图6；植被覆盖度小于5%，植被稀疏，种类单一，植被主要为骆驼刺。项目植被类型图详见附图7。</w:t>
            </w:r>
          </w:p>
          <w:p>
            <w:pPr>
              <w:spacing w:line="520" w:lineRule="exact"/>
              <w:ind w:firstLine="480" w:firstLineChars="200"/>
              <w:jc w:val="left"/>
              <w:rPr>
                <w:color w:val="auto"/>
                <w:kern w:val="0"/>
                <w:sz w:val="24"/>
              </w:rPr>
            </w:pPr>
            <w:r>
              <w:rPr>
                <w:color w:val="auto"/>
                <w:kern w:val="0"/>
                <w:sz w:val="24"/>
              </w:rPr>
              <w:t>根据新疆第六次沙化监测情况，项目区属于戈壁，项目区沙化土地现状见附图8。</w:t>
            </w:r>
          </w:p>
          <w:p>
            <w:pPr>
              <w:widowControl/>
              <w:spacing w:line="520" w:lineRule="exact"/>
              <w:rPr>
                <w:b/>
                <w:color w:val="auto"/>
                <w:kern w:val="0"/>
                <w:sz w:val="24"/>
              </w:rPr>
            </w:pPr>
            <w:r>
              <w:rPr>
                <w:b/>
                <w:color w:val="auto"/>
                <w:kern w:val="0"/>
                <w:sz w:val="24"/>
              </w:rPr>
              <w:t>六、电磁辐射</w:t>
            </w:r>
          </w:p>
          <w:p>
            <w:pPr>
              <w:spacing w:line="520" w:lineRule="exact"/>
              <w:ind w:firstLine="480" w:firstLineChars="200"/>
              <w:jc w:val="left"/>
              <w:rPr>
                <w:color w:val="auto"/>
              </w:rPr>
            </w:pPr>
            <w:r>
              <w:rPr>
                <w:color w:val="auto"/>
                <w:kern w:val="0"/>
                <w:sz w:val="24"/>
              </w:rPr>
              <w:t>本项目不涉及电磁辐射，故不进行电磁辐射分析。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800" w:type="dxa"/>
            <w:vAlign w:val="center"/>
          </w:tcPr>
          <w:p>
            <w:pPr>
              <w:adjustRightInd w:val="0"/>
              <w:snapToGrid w:val="0"/>
              <w:jc w:val="center"/>
              <w:rPr>
                <w:color w:val="auto"/>
                <w:kern w:val="0"/>
                <w:szCs w:val="21"/>
              </w:rPr>
            </w:pPr>
            <w:r>
              <w:rPr>
                <w:color w:val="auto"/>
                <w:kern w:val="0"/>
                <w:szCs w:val="21"/>
              </w:rPr>
              <w:t>环境</w:t>
            </w:r>
          </w:p>
          <w:p>
            <w:pPr>
              <w:adjustRightInd w:val="0"/>
              <w:snapToGrid w:val="0"/>
              <w:jc w:val="center"/>
              <w:rPr>
                <w:color w:val="auto"/>
                <w:kern w:val="0"/>
                <w:szCs w:val="21"/>
              </w:rPr>
            </w:pPr>
            <w:r>
              <w:rPr>
                <w:color w:val="auto"/>
                <w:kern w:val="0"/>
                <w:szCs w:val="21"/>
              </w:rPr>
              <w:t>保护</w:t>
            </w:r>
          </w:p>
          <w:p>
            <w:pPr>
              <w:adjustRightInd w:val="0"/>
              <w:snapToGrid w:val="0"/>
              <w:jc w:val="center"/>
              <w:rPr>
                <w:color w:val="auto"/>
                <w:kern w:val="0"/>
                <w:szCs w:val="21"/>
              </w:rPr>
            </w:pPr>
            <w:r>
              <w:rPr>
                <w:color w:val="auto"/>
                <w:kern w:val="0"/>
                <w:szCs w:val="21"/>
              </w:rPr>
              <w:t>目标</w:t>
            </w:r>
          </w:p>
        </w:tc>
        <w:tc>
          <w:tcPr>
            <w:tcW w:w="8190" w:type="dxa"/>
            <w:vAlign w:val="center"/>
          </w:tcPr>
          <w:p>
            <w:pPr>
              <w:widowControl/>
              <w:spacing w:line="520" w:lineRule="exact"/>
              <w:rPr>
                <w:b/>
                <w:color w:val="auto"/>
                <w:kern w:val="0"/>
                <w:sz w:val="24"/>
              </w:rPr>
            </w:pPr>
            <w:r>
              <w:rPr>
                <w:b/>
                <w:color w:val="auto"/>
                <w:kern w:val="0"/>
                <w:sz w:val="24"/>
              </w:rPr>
              <w:t>主要环境保护目标：</w:t>
            </w:r>
          </w:p>
          <w:p>
            <w:pPr>
              <w:widowControl/>
              <w:spacing w:line="520" w:lineRule="exact"/>
              <w:rPr>
                <w:b/>
                <w:color w:val="auto"/>
                <w:kern w:val="0"/>
                <w:sz w:val="24"/>
              </w:rPr>
            </w:pPr>
            <w:r>
              <w:rPr>
                <w:b/>
                <w:color w:val="auto"/>
                <w:kern w:val="0"/>
                <w:sz w:val="24"/>
              </w:rPr>
              <w:t>一、大气环境</w:t>
            </w:r>
          </w:p>
          <w:p>
            <w:pPr>
              <w:spacing w:line="520" w:lineRule="exact"/>
              <w:ind w:firstLine="480" w:firstLineChars="200"/>
              <w:jc w:val="left"/>
              <w:rPr>
                <w:color w:val="auto"/>
                <w:kern w:val="0"/>
                <w:sz w:val="24"/>
              </w:rPr>
            </w:pPr>
            <w:r>
              <w:rPr>
                <w:color w:val="auto"/>
                <w:kern w:val="0"/>
                <w:sz w:val="24"/>
              </w:rPr>
              <w:t>根据《建设项目环境影响报告表编制技术指南（污染影响型）（试行）》指南要求，本项目厂界外500m范围内无自然保护区、风景名胜区、居住区、文化区和农村地区中人群较集中的区域等保护目标。</w:t>
            </w:r>
          </w:p>
          <w:p>
            <w:pPr>
              <w:widowControl/>
              <w:spacing w:line="520" w:lineRule="exact"/>
              <w:rPr>
                <w:b/>
                <w:color w:val="auto"/>
                <w:kern w:val="0"/>
                <w:sz w:val="24"/>
              </w:rPr>
            </w:pPr>
            <w:r>
              <w:rPr>
                <w:b/>
                <w:color w:val="auto"/>
                <w:kern w:val="0"/>
                <w:sz w:val="24"/>
              </w:rPr>
              <w:t>二、地下水环境</w:t>
            </w:r>
          </w:p>
          <w:p>
            <w:pPr>
              <w:spacing w:line="520" w:lineRule="exact"/>
              <w:ind w:firstLine="480" w:firstLineChars="200"/>
              <w:jc w:val="left"/>
              <w:rPr>
                <w:color w:val="auto"/>
                <w:kern w:val="0"/>
                <w:sz w:val="24"/>
              </w:rPr>
            </w:pPr>
            <w:r>
              <w:rPr>
                <w:color w:val="auto"/>
                <w:kern w:val="0"/>
                <w:sz w:val="24"/>
              </w:rPr>
              <w:t>本项目厂界外500m范围内无地下水集中式饮用水水源和热水、矿泉水、温泉等特殊地下水资源。</w:t>
            </w:r>
          </w:p>
          <w:p>
            <w:pPr>
              <w:widowControl/>
              <w:spacing w:line="520" w:lineRule="exact"/>
              <w:rPr>
                <w:b/>
                <w:color w:val="auto"/>
                <w:kern w:val="0"/>
                <w:sz w:val="24"/>
              </w:rPr>
            </w:pPr>
            <w:r>
              <w:rPr>
                <w:b/>
                <w:color w:val="auto"/>
                <w:kern w:val="0"/>
                <w:sz w:val="24"/>
              </w:rPr>
              <w:t>三、声环境</w:t>
            </w:r>
          </w:p>
          <w:p>
            <w:pPr>
              <w:spacing w:line="520" w:lineRule="exact"/>
              <w:ind w:firstLine="480" w:firstLineChars="200"/>
              <w:jc w:val="left"/>
              <w:rPr>
                <w:color w:val="auto"/>
                <w:kern w:val="0"/>
                <w:sz w:val="24"/>
              </w:rPr>
            </w:pPr>
            <w:r>
              <w:rPr>
                <w:color w:val="auto"/>
                <w:kern w:val="0"/>
                <w:sz w:val="24"/>
              </w:rPr>
              <w:t>本项目厂界外50米范围内无声环境保护目标。</w:t>
            </w:r>
          </w:p>
          <w:p>
            <w:pPr>
              <w:widowControl/>
              <w:spacing w:line="520" w:lineRule="exact"/>
              <w:rPr>
                <w:b/>
                <w:color w:val="auto"/>
                <w:kern w:val="0"/>
                <w:sz w:val="24"/>
              </w:rPr>
            </w:pPr>
            <w:r>
              <w:rPr>
                <w:b/>
                <w:color w:val="auto"/>
                <w:kern w:val="0"/>
                <w:sz w:val="24"/>
              </w:rPr>
              <w:t>四、生态环境</w:t>
            </w:r>
          </w:p>
          <w:p>
            <w:pPr>
              <w:spacing w:line="520" w:lineRule="exact"/>
              <w:ind w:firstLine="480" w:firstLineChars="200"/>
              <w:jc w:val="left"/>
              <w:rPr>
                <w:color w:val="auto"/>
                <w:kern w:val="0"/>
                <w:szCs w:val="21"/>
              </w:rPr>
            </w:pPr>
            <w:r>
              <w:rPr>
                <w:color w:val="auto"/>
                <w:kern w:val="0"/>
                <w:sz w:val="24"/>
              </w:rPr>
              <w:t>根据现场调查，项目区周边无生态环境保护目标。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39" w:hRule="atLeast"/>
          <w:jc w:val="center"/>
        </w:trPr>
        <w:tc>
          <w:tcPr>
            <w:tcW w:w="800" w:type="dxa"/>
            <w:tcMar>
              <w:left w:w="28" w:type="dxa"/>
              <w:right w:w="28" w:type="dxa"/>
            </w:tcMar>
            <w:vAlign w:val="center"/>
          </w:tcPr>
          <w:p>
            <w:pPr>
              <w:adjustRightInd w:val="0"/>
              <w:snapToGrid w:val="0"/>
              <w:jc w:val="center"/>
              <w:rPr>
                <w:color w:val="auto"/>
                <w:kern w:val="0"/>
                <w:szCs w:val="21"/>
              </w:rPr>
            </w:pPr>
            <w:r>
              <w:rPr>
                <w:color w:val="auto"/>
                <w:kern w:val="0"/>
                <w:szCs w:val="21"/>
              </w:rPr>
              <w:t>污染</w:t>
            </w:r>
          </w:p>
          <w:p>
            <w:pPr>
              <w:adjustRightInd w:val="0"/>
              <w:snapToGrid w:val="0"/>
              <w:jc w:val="center"/>
              <w:rPr>
                <w:color w:val="auto"/>
                <w:kern w:val="0"/>
                <w:szCs w:val="21"/>
              </w:rPr>
            </w:pPr>
            <w:r>
              <w:rPr>
                <w:color w:val="auto"/>
                <w:kern w:val="0"/>
                <w:szCs w:val="21"/>
              </w:rPr>
              <w:t>物排</w:t>
            </w:r>
          </w:p>
          <w:p>
            <w:pPr>
              <w:adjustRightInd w:val="0"/>
              <w:snapToGrid w:val="0"/>
              <w:jc w:val="center"/>
              <w:rPr>
                <w:color w:val="auto"/>
                <w:kern w:val="0"/>
                <w:szCs w:val="21"/>
              </w:rPr>
            </w:pPr>
            <w:r>
              <w:rPr>
                <w:color w:val="auto"/>
                <w:kern w:val="0"/>
                <w:szCs w:val="21"/>
              </w:rPr>
              <w:t>放控</w:t>
            </w:r>
          </w:p>
          <w:p>
            <w:pPr>
              <w:adjustRightInd w:val="0"/>
              <w:snapToGrid w:val="0"/>
              <w:jc w:val="center"/>
              <w:rPr>
                <w:color w:val="auto"/>
                <w:kern w:val="0"/>
                <w:szCs w:val="21"/>
              </w:rPr>
            </w:pPr>
            <w:r>
              <w:rPr>
                <w:color w:val="auto"/>
                <w:kern w:val="0"/>
                <w:szCs w:val="21"/>
              </w:rPr>
              <w:t>制标</w:t>
            </w:r>
          </w:p>
          <w:p>
            <w:pPr>
              <w:adjustRightInd w:val="0"/>
              <w:snapToGrid w:val="0"/>
              <w:jc w:val="center"/>
              <w:rPr>
                <w:color w:val="auto"/>
                <w:kern w:val="0"/>
                <w:szCs w:val="21"/>
              </w:rPr>
            </w:pPr>
            <w:r>
              <w:rPr>
                <w:color w:val="auto"/>
                <w:kern w:val="0"/>
                <w:szCs w:val="21"/>
              </w:rPr>
              <w:t>准</w:t>
            </w:r>
          </w:p>
        </w:tc>
        <w:tc>
          <w:tcPr>
            <w:tcW w:w="8190" w:type="dxa"/>
            <w:vAlign w:val="center"/>
          </w:tcPr>
          <w:p>
            <w:pPr>
              <w:widowControl/>
              <w:spacing w:line="520" w:lineRule="exact"/>
              <w:rPr>
                <w:b/>
                <w:color w:val="auto"/>
                <w:kern w:val="0"/>
                <w:sz w:val="24"/>
              </w:rPr>
            </w:pPr>
            <w:r>
              <w:rPr>
                <w:b/>
                <w:color w:val="auto"/>
                <w:kern w:val="0"/>
                <w:sz w:val="24"/>
              </w:rPr>
              <w:t>1、大气污染物</w:t>
            </w:r>
          </w:p>
          <w:p>
            <w:pPr>
              <w:wordWrap w:val="0"/>
              <w:spacing w:line="520" w:lineRule="exact"/>
              <w:ind w:firstLine="480" w:firstLineChars="200"/>
              <w:jc w:val="left"/>
              <w:rPr>
                <w:color w:val="auto"/>
                <w:kern w:val="0"/>
                <w:sz w:val="24"/>
              </w:rPr>
            </w:pPr>
            <w:r>
              <w:rPr>
                <w:color w:val="auto"/>
                <w:kern w:val="0"/>
                <w:sz w:val="24"/>
              </w:rPr>
              <w:t>项目施工期及运营期产生粉尘执行《大气污染物综合排放标准》（GB16297-1996）标准，标准限值具体详见下表3-2。</w:t>
            </w:r>
          </w:p>
          <w:p>
            <w:pPr>
              <w:pStyle w:val="52"/>
              <w:rPr>
                <w:color w:val="auto"/>
              </w:rPr>
            </w:pPr>
            <w:r>
              <w:rPr>
                <w:color w:val="auto"/>
              </w:rPr>
              <w:t>表3-2  大气污染物排放标准限值</w:t>
            </w:r>
          </w:p>
          <w:tbl>
            <w:tblPr>
              <w:tblStyle w:val="26"/>
              <w:tblW w:w="4998" w:type="pct"/>
              <w:jc w:val="center"/>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802"/>
              <w:gridCol w:w="657"/>
              <w:gridCol w:w="1147"/>
              <w:gridCol w:w="1818"/>
              <w:gridCol w:w="2547"/>
            </w:tblGrid>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PrEx>
              <w:trPr>
                <w:trHeight w:val="340" w:hRule="atLeast"/>
                <w:jc w:val="center"/>
              </w:trPr>
              <w:tc>
                <w:tcPr>
                  <w:tcW w:w="1131" w:type="pct"/>
                  <w:tcBorders>
                    <w:tl2br w:val="nil"/>
                    <w:tr2bl w:val="nil"/>
                  </w:tcBorders>
                  <w:vAlign w:val="center"/>
                </w:tcPr>
                <w:p>
                  <w:pPr>
                    <w:spacing w:line="300" w:lineRule="exact"/>
                    <w:jc w:val="center"/>
                    <w:rPr>
                      <w:color w:val="auto"/>
                      <w:kern w:val="0"/>
                      <w:szCs w:val="21"/>
                    </w:rPr>
                  </w:pPr>
                  <w:r>
                    <w:rPr>
                      <w:color w:val="auto"/>
                      <w:kern w:val="0"/>
                      <w:szCs w:val="21"/>
                    </w:rPr>
                    <w:t>时段</w:t>
                  </w:r>
                </w:p>
              </w:tc>
              <w:tc>
                <w:tcPr>
                  <w:tcW w:w="1131" w:type="pct"/>
                  <w:gridSpan w:val="2"/>
                  <w:tcBorders>
                    <w:tl2br w:val="nil"/>
                    <w:tr2bl w:val="nil"/>
                  </w:tcBorders>
                  <w:vAlign w:val="center"/>
                </w:tcPr>
                <w:p>
                  <w:pPr>
                    <w:spacing w:line="300" w:lineRule="exact"/>
                    <w:jc w:val="center"/>
                    <w:rPr>
                      <w:color w:val="auto"/>
                      <w:kern w:val="0"/>
                      <w:szCs w:val="21"/>
                    </w:rPr>
                  </w:pPr>
                  <w:r>
                    <w:rPr>
                      <w:color w:val="auto"/>
                      <w:kern w:val="0"/>
                      <w:szCs w:val="21"/>
                    </w:rPr>
                    <w:t>污染物</w:t>
                  </w:r>
                </w:p>
              </w:tc>
              <w:tc>
                <w:tcPr>
                  <w:tcW w:w="1140" w:type="pct"/>
                  <w:tcBorders>
                    <w:tl2br w:val="nil"/>
                    <w:tr2bl w:val="nil"/>
                  </w:tcBorders>
                  <w:vAlign w:val="center"/>
                </w:tcPr>
                <w:p>
                  <w:pPr>
                    <w:spacing w:line="300" w:lineRule="exact"/>
                    <w:jc w:val="center"/>
                    <w:rPr>
                      <w:color w:val="auto"/>
                      <w:kern w:val="0"/>
                      <w:szCs w:val="21"/>
                    </w:rPr>
                  </w:pPr>
                  <w:r>
                    <w:rPr>
                      <w:color w:val="auto"/>
                      <w:kern w:val="0"/>
                      <w:szCs w:val="21"/>
                    </w:rPr>
                    <w:t>排放浓度限值</w:t>
                  </w:r>
                </w:p>
              </w:tc>
              <w:tc>
                <w:tcPr>
                  <w:tcW w:w="1597" w:type="pct"/>
                  <w:tcBorders>
                    <w:tl2br w:val="nil"/>
                    <w:tr2bl w:val="nil"/>
                  </w:tcBorders>
                  <w:vAlign w:val="center"/>
                </w:tcPr>
                <w:p>
                  <w:pPr>
                    <w:spacing w:line="300" w:lineRule="exact"/>
                    <w:jc w:val="center"/>
                    <w:rPr>
                      <w:color w:val="auto"/>
                      <w:kern w:val="0"/>
                      <w:szCs w:val="21"/>
                    </w:rPr>
                  </w:pPr>
                  <w:r>
                    <w:rPr>
                      <w:color w:val="auto"/>
                      <w:kern w:val="0"/>
                      <w:szCs w:val="21"/>
                    </w:rPr>
                    <w:t>执行标准</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31" w:type="pct"/>
                  <w:tcBorders>
                    <w:tl2br w:val="nil"/>
                    <w:tr2bl w:val="nil"/>
                  </w:tcBorders>
                  <w:vAlign w:val="center"/>
                </w:tcPr>
                <w:p>
                  <w:pPr>
                    <w:spacing w:line="300" w:lineRule="exact"/>
                    <w:jc w:val="center"/>
                    <w:rPr>
                      <w:color w:val="auto"/>
                      <w:kern w:val="0"/>
                      <w:szCs w:val="21"/>
                    </w:rPr>
                  </w:pPr>
                  <w:r>
                    <w:rPr>
                      <w:color w:val="auto"/>
                      <w:kern w:val="0"/>
                      <w:szCs w:val="21"/>
                    </w:rPr>
                    <w:t>施工期</w:t>
                  </w:r>
                </w:p>
              </w:tc>
              <w:tc>
                <w:tcPr>
                  <w:tcW w:w="412" w:type="pct"/>
                  <w:tcBorders>
                    <w:tl2br w:val="nil"/>
                    <w:tr2bl w:val="nil"/>
                  </w:tcBorders>
                  <w:vAlign w:val="center"/>
                </w:tcPr>
                <w:p>
                  <w:pPr>
                    <w:spacing w:line="300" w:lineRule="exact"/>
                    <w:jc w:val="center"/>
                    <w:rPr>
                      <w:color w:val="auto"/>
                      <w:kern w:val="0"/>
                      <w:szCs w:val="21"/>
                    </w:rPr>
                  </w:pPr>
                  <w:r>
                    <w:rPr>
                      <w:color w:val="auto"/>
                      <w:kern w:val="0"/>
                      <w:szCs w:val="21"/>
                    </w:rPr>
                    <w:t>无组织</w:t>
                  </w:r>
                </w:p>
              </w:tc>
              <w:tc>
                <w:tcPr>
                  <w:tcW w:w="718" w:type="pct"/>
                  <w:tcBorders>
                    <w:tl2br w:val="nil"/>
                    <w:tr2bl w:val="nil"/>
                  </w:tcBorders>
                  <w:vAlign w:val="center"/>
                </w:tcPr>
                <w:p>
                  <w:pPr>
                    <w:spacing w:line="300" w:lineRule="exact"/>
                    <w:jc w:val="center"/>
                    <w:rPr>
                      <w:color w:val="auto"/>
                      <w:kern w:val="0"/>
                      <w:szCs w:val="21"/>
                    </w:rPr>
                  </w:pPr>
                  <w:r>
                    <w:rPr>
                      <w:color w:val="auto"/>
                      <w:kern w:val="0"/>
                      <w:szCs w:val="21"/>
                    </w:rPr>
                    <w:t>颗粒物</w:t>
                  </w:r>
                </w:p>
              </w:tc>
              <w:tc>
                <w:tcPr>
                  <w:tcW w:w="1140" w:type="pct"/>
                  <w:tcBorders>
                    <w:tl2br w:val="nil"/>
                    <w:tr2bl w:val="nil"/>
                  </w:tcBorders>
                  <w:vAlign w:val="center"/>
                </w:tcPr>
                <w:p>
                  <w:pPr>
                    <w:spacing w:line="300" w:lineRule="exact"/>
                    <w:jc w:val="center"/>
                    <w:rPr>
                      <w:color w:val="auto"/>
                      <w:kern w:val="0"/>
                      <w:szCs w:val="21"/>
                    </w:rPr>
                  </w:pPr>
                  <w:r>
                    <w:rPr>
                      <w:color w:val="auto"/>
                      <w:kern w:val="0"/>
                      <w:szCs w:val="21"/>
                    </w:rPr>
                    <w:t>周界外浓度最高点1.0mg/m</w:t>
                  </w:r>
                  <w:r>
                    <w:rPr>
                      <w:color w:val="auto"/>
                      <w:kern w:val="0"/>
                      <w:szCs w:val="21"/>
                      <w:vertAlign w:val="superscript"/>
                    </w:rPr>
                    <w:t>3</w:t>
                  </w:r>
                </w:p>
              </w:tc>
              <w:tc>
                <w:tcPr>
                  <w:tcW w:w="1597" w:type="pct"/>
                  <w:tcBorders>
                    <w:tl2br w:val="nil"/>
                    <w:tr2bl w:val="nil"/>
                  </w:tcBorders>
                  <w:vAlign w:val="center"/>
                </w:tcPr>
                <w:p>
                  <w:pPr>
                    <w:spacing w:line="300" w:lineRule="exact"/>
                    <w:jc w:val="center"/>
                    <w:rPr>
                      <w:color w:val="auto"/>
                      <w:kern w:val="0"/>
                      <w:szCs w:val="21"/>
                    </w:rPr>
                  </w:pPr>
                  <w:r>
                    <w:rPr>
                      <w:color w:val="auto"/>
                      <w:kern w:val="0"/>
                      <w:szCs w:val="21"/>
                    </w:rPr>
                    <w:t>《大气污染物综合排放标准》（GB16297-1996）</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31" w:type="pct"/>
                  <w:tcBorders>
                    <w:tl2br w:val="nil"/>
                    <w:tr2bl w:val="nil"/>
                  </w:tcBorders>
                  <w:vAlign w:val="center"/>
                </w:tcPr>
                <w:p>
                  <w:pPr>
                    <w:spacing w:line="300" w:lineRule="exact"/>
                    <w:jc w:val="center"/>
                    <w:rPr>
                      <w:color w:val="auto"/>
                      <w:kern w:val="0"/>
                      <w:szCs w:val="21"/>
                    </w:rPr>
                  </w:pPr>
                  <w:r>
                    <w:rPr>
                      <w:color w:val="auto"/>
                      <w:kern w:val="0"/>
                      <w:szCs w:val="21"/>
                    </w:rPr>
                    <w:t>运营期</w:t>
                  </w:r>
                </w:p>
              </w:tc>
              <w:tc>
                <w:tcPr>
                  <w:tcW w:w="656" w:type="dxa"/>
                  <w:tcBorders>
                    <w:tl2br w:val="nil"/>
                    <w:tr2bl w:val="nil"/>
                  </w:tcBorders>
                  <w:vAlign w:val="center"/>
                </w:tcPr>
                <w:p>
                  <w:pPr>
                    <w:spacing w:line="300" w:lineRule="exact"/>
                    <w:jc w:val="center"/>
                    <w:rPr>
                      <w:color w:val="auto"/>
                      <w:kern w:val="0"/>
                      <w:szCs w:val="21"/>
                    </w:rPr>
                  </w:pPr>
                  <w:r>
                    <w:rPr>
                      <w:color w:val="auto"/>
                      <w:kern w:val="0"/>
                      <w:szCs w:val="21"/>
                    </w:rPr>
                    <w:t>无组织</w:t>
                  </w:r>
                </w:p>
              </w:tc>
              <w:tc>
                <w:tcPr>
                  <w:tcW w:w="1145" w:type="dxa"/>
                  <w:tcBorders>
                    <w:tl2br w:val="nil"/>
                    <w:tr2bl w:val="nil"/>
                  </w:tcBorders>
                  <w:vAlign w:val="center"/>
                </w:tcPr>
                <w:p>
                  <w:pPr>
                    <w:spacing w:line="300" w:lineRule="exact"/>
                    <w:jc w:val="center"/>
                    <w:rPr>
                      <w:color w:val="auto"/>
                      <w:kern w:val="0"/>
                      <w:szCs w:val="21"/>
                    </w:rPr>
                  </w:pPr>
                  <w:r>
                    <w:rPr>
                      <w:color w:val="auto"/>
                      <w:kern w:val="0"/>
                      <w:szCs w:val="21"/>
                    </w:rPr>
                    <w:t>颗粒物</w:t>
                  </w:r>
                </w:p>
              </w:tc>
              <w:tc>
                <w:tcPr>
                  <w:tcW w:w="1816" w:type="dxa"/>
                  <w:tcBorders>
                    <w:tl2br w:val="nil"/>
                    <w:tr2bl w:val="nil"/>
                  </w:tcBorders>
                  <w:vAlign w:val="center"/>
                </w:tcPr>
                <w:p>
                  <w:pPr>
                    <w:spacing w:line="300" w:lineRule="exact"/>
                    <w:jc w:val="center"/>
                    <w:rPr>
                      <w:color w:val="auto"/>
                      <w:kern w:val="0"/>
                      <w:szCs w:val="21"/>
                    </w:rPr>
                  </w:pPr>
                  <w:r>
                    <w:rPr>
                      <w:color w:val="auto"/>
                      <w:kern w:val="0"/>
                      <w:szCs w:val="21"/>
                    </w:rPr>
                    <w:t>周界外浓度最高点1.0mg/m</w:t>
                  </w:r>
                  <w:r>
                    <w:rPr>
                      <w:color w:val="auto"/>
                      <w:kern w:val="0"/>
                      <w:szCs w:val="21"/>
                      <w:vertAlign w:val="superscript"/>
                    </w:rPr>
                    <w:t>3</w:t>
                  </w:r>
                </w:p>
              </w:tc>
              <w:tc>
                <w:tcPr>
                  <w:tcW w:w="2543" w:type="dxa"/>
                  <w:tcBorders>
                    <w:tl2br w:val="nil"/>
                    <w:tr2bl w:val="nil"/>
                  </w:tcBorders>
                  <w:vAlign w:val="center"/>
                </w:tcPr>
                <w:p>
                  <w:pPr>
                    <w:spacing w:line="300" w:lineRule="exact"/>
                    <w:jc w:val="center"/>
                    <w:rPr>
                      <w:color w:val="auto"/>
                      <w:kern w:val="0"/>
                      <w:szCs w:val="21"/>
                    </w:rPr>
                  </w:pPr>
                  <w:r>
                    <w:rPr>
                      <w:color w:val="auto"/>
                      <w:kern w:val="0"/>
                      <w:szCs w:val="21"/>
                    </w:rPr>
                    <w:t>《大气污染物综合排放标准》（GB16297-1996）</w:t>
                  </w:r>
                </w:p>
              </w:tc>
            </w:tr>
          </w:tbl>
          <w:p>
            <w:pPr>
              <w:widowControl/>
              <w:spacing w:line="520" w:lineRule="exact"/>
              <w:rPr>
                <w:b/>
                <w:color w:val="auto"/>
                <w:kern w:val="0"/>
                <w:sz w:val="24"/>
              </w:rPr>
            </w:pPr>
            <w:r>
              <w:rPr>
                <w:b/>
                <w:color w:val="auto"/>
                <w:kern w:val="0"/>
                <w:sz w:val="24"/>
              </w:rPr>
              <w:t>2、噪声</w:t>
            </w:r>
          </w:p>
          <w:p>
            <w:pPr>
              <w:spacing w:line="520" w:lineRule="exact"/>
              <w:ind w:firstLine="480" w:firstLineChars="200"/>
              <w:rPr>
                <w:color w:val="auto"/>
                <w:sz w:val="24"/>
              </w:rPr>
            </w:pPr>
            <w:r>
              <w:rPr>
                <w:color w:val="auto"/>
                <w:sz w:val="24"/>
              </w:rPr>
              <w:t>噪声本项目施工期噪声排放限值执行《建筑施工场界环境噪声排放标准》（GB12523-2011），见表3-3。</w:t>
            </w:r>
          </w:p>
          <w:p>
            <w:pPr>
              <w:pStyle w:val="52"/>
              <w:rPr>
                <w:color w:val="auto"/>
              </w:rPr>
            </w:pPr>
            <w:r>
              <w:rPr>
                <w:color w:val="auto"/>
              </w:rPr>
              <w:t>表3-3  建筑施工场界噪声排放标准限值一览表  单位：dB（A）</w:t>
            </w:r>
          </w:p>
          <w:tbl>
            <w:tblPr>
              <w:tblStyle w:val="27"/>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984"/>
              <w:gridCol w:w="398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4050" w:type="dxa"/>
                  <w:tcBorders>
                    <w:tl2br w:val="nil"/>
                    <w:tr2bl w:val="nil"/>
                  </w:tcBorders>
                  <w:vAlign w:val="center"/>
                </w:tcPr>
                <w:p>
                  <w:pPr>
                    <w:widowControl/>
                    <w:spacing w:line="300" w:lineRule="exact"/>
                    <w:jc w:val="center"/>
                    <w:rPr>
                      <w:bCs/>
                      <w:color w:val="auto"/>
                      <w:szCs w:val="21"/>
                    </w:rPr>
                  </w:pPr>
                  <w:r>
                    <w:rPr>
                      <w:bCs/>
                      <w:color w:val="auto"/>
                      <w:szCs w:val="21"/>
                    </w:rPr>
                    <w:t>昼间</w:t>
                  </w:r>
                </w:p>
              </w:tc>
              <w:tc>
                <w:tcPr>
                  <w:tcW w:w="4051" w:type="dxa"/>
                  <w:tcBorders>
                    <w:tl2br w:val="nil"/>
                    <w:tr2bl w:val="nil"/>
                  </w:tcBorders>
                  <w:vAlign w:val="center"/>
                </w:tcPr>
                <w:p>
                  <w:pPr>
                    <w:widowControl/>
                    <w:spacing w:line="300" w:lineRule="exact"/>
                    <w:jc w:val="center"/>
                    <w:rPr>
                      <w:bCs/>
                      <w:color w:val="auto"/>
                      <w:szCs w:val="21"/>
                    </w:rPr>
                  </w:pPr>
                  <w:r>
                    <w:rPr>
                      <w:bCs/>
                      <w:color w:val="auto"/>
                      <w:szCs w:val="2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050" w:type="dxa"/>
                  <w:tcBorders>
                    <w:tl2br w:val="nil"/>
                    <w:tr2bl w:val="nil"/>
                  </w:tcBorders>
                  <w:vAlign w:val="center"/>
                </w:tcPr>
                <w:p>
                  <w:pPr>
                    <w:widowControl/>
                    <w:spacing w:line="300" w:lineRule="exact"/>
                    <w:jc w:val="center"/>
                    <w:rPr>
                      <w:bCs/>
                      <w:color w:val="auto"/>
                      <w:szCs w:val="21"/>
                    </w:rPr>
                  </w:pPr>
                  <w:r>
                    <w:rPr>
                      <w:bCs/>
                      <w:color w:val="auto"/>
                      <w:szCs w:val="21"/>
                    </w:rPr>
                    <w:t>70</w:t>
                  </w:r>
                </w:p>
              </w:tc>
              <w:tc>
                <w:tcPr>
                  <w:tcW w:w="4051" w:type="dxa"/>
                  <w:tcBorders>
                    <w:tl2br w:val="nil"/>
                    <w:tr2bl w:val="nil"/>
                  </w:tcBorders>
                  <w:vAlign w:val="center"/>
                </w:tcPr>
                <w:p>
                  <w:pPr>
                    <w:widowControl/>
                    <w:spacing w:line="300" w:lineRule="exact"/>
                    <w:jc w:val="center"/>
                    <w:rPr>
                      <w:bCs/>
                      <w:color w:val="auto"/>
                      <w:szCs w:val="21"/>
                    </w:rPr>
                  </w:pPr>
                  <w:r>
                    <w:rPr>
                      <w:bCs/>
                      <w:color w:val="auto"/>
                      <w:szCs w:val="21"/>
                    </w:rPr>
                    <w:t>55</w:t>
                  </w:r>
                </w:p>
              </w:tc>
            </w:tr>
          </w:tbl>
          <w:p>
            <w:pPr>
              <w:widowControl/>
              <w:spacing w:line="360" w:lineRule="auto"/>
              <w:ind w:firstLine="480" w:firstLineChars="200"/>
              <w:contextualSpacing/>
              <w:rPr>
                <w:bCs/>
                <w:color w:val="auto"/>
                <w:sz w:val="24"/>
              </w:rPr>
            </w:pPr>
            <w:r>
              <w:rPr>
                <w:bCs/>
                <w:color w:val="auto"/>
                <w:sz w:val="24"/>
              </w:rPr>
              <w:t>运营期项目区厂界噪声执行《工业企业厂界环境噪声排放标准》（GB12348-2008）中2类标准，见3-4。</w:t>
            </w:r>
          </w:p>
          <w:p>
            <w:pPr>
              <w:pStyle w:val="52"/>
              <w:rPr>
                <w:color w:val="auto"/>
              </w:rPr>
            </w:pPr>
            <w:r>
              <w:rPr>
                <w:color w:val="auto"/>
              </w:rPr>
              <w:t>表3-4  工业企业厂界环境噪声排放标准  单位：dB（A）</w:t>
            </w:r>
          </w:p>
          <w:tbl>
            <w:tblPr>
              <w:tblStyle w:val="26"/>
              <w:tblW w:w="4998"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91"/>
              <w:gridCol w:w="1992"/>
              <w:gridCol w:w="1994"/>
              <w:gridCol w:w="199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249" w:type="pct"/>
                  <w:tcBorders>
                    <w:tl2br w:val="nil"/>
                    <w:tr2bl w:val="nil"/>
                  </w:tcBorders>
                  <w:vAlign w:val="center"/>
                </w:tcPr>
                <w:p>
                  <w:pPr>
                    <w:widowControl/>
                    <w:spacing w:line="300" w:lineRule="exact"/>
                    <w:jc w:val="center"/>
                    <w:rPr>
                      <w:bCs/>
                      <w:color w:val="auto"/>
                      <w:szCs w:val="21"/>
                    </w:rPr>
                  </w:pPr>
                  <w:r>
                    <w:rPr>
                      <w:bCs/>
                      <w:color w:val="auto"/>
                      <w:szCs w:val="21"/>
                    </w:rPr>
                    <w:t>类别</w:t>
                  </w:r>
                </w:p>
              </w:tc>
              <w:tc>
                <w:tcPr>
                  <w:tcW w:w="1249" w:type="pct"/>
                  <w:tcBorders>
                    <w:tl2br w:val="nil"/>
                    <w:tr2bl w:val="nil"/>
                  </w:tcBorders>
                  <w:vAlign w:val="center"/>
                </w:tcPr>
                <w:p>
                  <w:pPr>
                    <w:widowControl/>
                    <w:spacing w:line="300" w:lineRule="exact"/>
                    <w:jc w:val="center"/>
                    <w:rPr>
                      <w:bCs/>
                      <w:color w:val="auto"/>
                      <w:szCs w:val="21"/>
                    </w:rPr>
                  </w:pPr>
                  <w:r>
                    <w:rPr>
                      <w:bCs/>
                      <w:color w:val="auto"/>
                      <w:szCs w:val="21"/>
                    </w:rPr>
                    <w:t>单位</w:t>
                  </w:r>
                </w:p>
              </w:tc>
              <w:tc>
                <w:tcPr>
                  <w:tcW w:w="1250" w:type="pct"/>
                  <w:tcBorders>
                    <w:tl2br w:val="nil"/>
                    <w:tr2bl w:val="nil"/>
                  </w:tcBorders>
                  <w:vAlign w:val="center"/>
                </w:tcPr>
                <w:p>
                  <w:pPr>
                    <w:widowControl/>
                    <w:spacing w:line="300" w:lineRule="exact"/>
                    <w:jc w:val="center"/>
                    <w:rPr>
                      <w:bCs/>
                      <w:color w:val="auto"/>
                      <w:szCs w:val="21"/>
                    </w:rPr>
                  </w:pPr>
                  <w:r>
                    <w:rPr>
                      <w:bCs/>
                      <w:color w:val="auto"/>
                      <w:szCs w:val="21"/>
                    </w:rPr>
                    <w:t>昼间</w:t>
                  </w:r>
                </w:p>
              </w:tc>
              <w:tc>
                <w:tcPr>
                  <w:tcW w:w="1250" w:type="pct"/>
                  <w:tcBorders>
                    <w:tl2br w:val="nil"/>
                    <w:tr2bl w:val="nil"/>
                  </w:tcBorders>
                  <w:vAlign w:val="center"/>
                </w:tcPr>
                <w:p>
                  <w:pPr>
                    <w:widowControl/>
                    <w:spacing w:line="300" w:lineRule="exact"/>
                    <w:jc w:val="center"/>
                    <w:rPr>
                      <w:bCs/>
                      <w:color w:val="auto"/>
                      <w:szCs w:val="21"/>
                    </w:rPr>
                  </w:pPr>
                  <w:r>
                    <w:rPr>
                      <w:bCs/>
                      <w:color w:val="auto"/>
                      <w:szCs w:val="2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49" w:type="pct"/>
                  <w:tcBorders>
                    <w:tl2br w:val="nil"/>
                    <w:tr2bl w:val="nil"/>
                  </w:tcBorders>
                  <w:vAlign w:val="center"/>
                </w:tcPr>
                <w:p>
                  <w:pPr>
                    <w:widowControl/>
                    <w:spacing w:line="300" w:lineRule="exact"/>
                    <w:jc w:val="center"/>
                    <w:rPr>
                      <w:bCs/>
                      <w:color w:val="auto"/>
                      <w:szCs w:val="21"/>
                    </w:rPr>
                  </w:pPr>
                  <w:r>
                    <w:rPr>
                      <w:bCs/>
                      <w:color w:val="auto"/>
                      <w:szCs w:val="21"/>
                    </w:rPr>
                    <w:t>2类</w:t>
                  </w:r>
                </w:p>
              </w:tc>
              <w:tc>
                <w:tcPr>
                  <w:tcW w:w="1249" w:type="pct"/>
                  <w:tcBorders>
                    <w:tl2br w:val="nil"/>
                    <w:tr2bl w:val="nil"/>
                  </w:tcBorders>
                  <w:vAlign w:val="center"/>
                </w:tcPr>
                <w:p>
                  <w:pPr>
                    <w:widowControl/>
                    <w:spacing w:line="300" w:lineRule="exact"/>
                    <w:jc w:val="center"/>
                    <w:rPr>
                      <w:bCs/>
                      <w:color w:val="auto"/>
                      <w:szCs w:val="21"/>
                    </w:rPr>
                  </w:pPr>
                  <w:r>
                    <w:rPr>
                      <w:bCs/>
                      <w:color w:val="auto"/>
                      <w:szCs w:val="21"/>
                    </w:rPr>
                    <w:t>dB(A)</w:t>
                  </w:r>
                </w:p>
              </w:tc>
              <w:tc>
                <w:tcPr>
                  <w:tcW w:w="1250" w:type="pct"/>
                  <w:tcBorders>
                    <w:tl2br w:val="nil"/>
                    <w:tr2bl w:val="nil"/>
                  </w:tcBorders>
                  <w:vAlign w:val="center"/>
                </w:tcPr>
                <w:p>
                  <w:pPr>
                    <w:widowControl/>
                    <w:spacing w:line="300" w:lineRule="exact"/>
                    <w:jc w:val="center"/>
                    <w:rPr>
                      <w:bCs/>
                      <w:color w:val="auto"/>
                      <w:szCs w:val="21"/>
                    </w:rPr>
                  </w:pPr>
                  <w:r>
                    <w:rPr>
                      <w:bCs/>
                      <w:color w:val="auto"/>
                      <w:szCs w:val="21"/>
                    </w:rPr>
                    <w:t>60</w:t>
                  </w:r>
                </w:p>
              </w:tc>
              <w:tc>
                <w:tcPr>
                  <w:tcW w:w="1250" w:type="pct"/>
                  <w:tcBorders>
                    <w:tl2br w:val="nil"/>
                    <w:tr2bl w:val="nil"/>
                  </w:tcBorders>
                  <w:vAlign w:val="center"/>
                </w:tcPr>
                <w:p>
                  <w:pPr>
                    <w:widowControl/>
                    <w:spacing w:line="300" w:lineRule="exact"/>
                    <w:jc w:val="center"/>
                    <w:rPr>
                      <w:bCs/>
                      <w:color w:val="auto"/>
                      <w:szCs w:val="21"/>
                    </w:rPr>
                  </w:pPr>
                  <w:r>
                    <w:rPr>
                      <w:bCs/>
                      <w:color w:val="auto"/>
                      <w:szCs w:val="21"/>
                    </w:rPr>
                    <w:t>50</w:t>
                  </w:r>
                </w:p>
              </w:tc>
            </w:tr>
          </w:tbl>
          <w:p>
            <w:pPr>
              <w:widowControl/>
              <w:numPr>
                <w:ilvl w:val="0"/>
                <w:numId w:val="11"/>
              </w:numPr>
              <w:spacing w:line="520" w:lineRule="exact"/>
              <w:rPr>
                <w:b/>
                <w:color w:val="auto"/>
                <w:kern w:val="0"/>
                <w:sz w:val="24"/>
              </w:rPr>
            </w:pPr>
            <w:r>
              <w:rPr>
                <w:b/>
                <w:color w:val="auto"/>
                <w:kern w:val="0"/>
                <w:sz w:val="24"/>
              </w:rPr>
              <w:t>废水</w:t>
            </w:r>
          </w:p>
          <w:p>
            <w:pPr>
              <w:widowControl/>
              <w:spacing w:line="360" w:lineRule="auto"/>
              <w:ind w:firstLine="480" w:firstLineChars="200"/>
              <w:jc w:val="left"/>
              <w:rPr>
                <w:color w:val="auto"/>
                <w:kern w:val="0"/>
                <w:sz w:val="24"/>
                <w:lang w:bidi="ar"/>
              </w:rPr>
            </w:pPr>
            <w:r>
              <w:rPr>
                <w:color w:val="auto"/>
                <w:kern w:val="0"/>
                <w:sz w:val="24"/>
                <w:lang w:bidi="ar"/>
              </w:rPr>
              <w:t>本项目运营期产生的废水主要为生活污水。生活污水经化粪池处理后定期拉运至尉犁县城镇污水处理厂处理。生活污水执行《污水综合排放标准》（GB8978-1996）中三级标准。</w:t>
            </w:r>
          </w:p>
          <w:p>
            <w:pPr>
              <w:pStyle w:val="52"/>
              <w:rPr>
                <w:color w:val="auto"/>
              </w:rPr>
            </w:pPr>
            <w:r>
              <w:rPr>
                <w:color w:val="auto"/>
              </w:rPr>
              <w:t>表3-5废水执行标准</w:t>
            </w:r>
          </w:p>
          <w:tbl>
            <w:tblPr>
              <w:tblStyle w:val="26"/>
              <w:tblW w:w="4912"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694"/>
              <w:gridCol w:w="3595"/>
              <w:gridCol w:w="2545"/>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142" w:hRule="atLeast"/>
                <w:jc w:val="center"/>
              </w:trPr>
              <w:tc>
                <w:tcPr>
                  <w:tcW w:w="1081" w:type="pct"/>
                  <w:tcBorders>
                    <w:tl2br w:val="nil"/>
                    <w:tr2bl w:val="nil"/>
                  </w:tcBorders>
                </w:tcPr>
                <w:p>
                  <w:pPr>
                    <w:pStyle w:val="45"/>
                    <w:rPr>
                      <w:rFonts w:ascii="Times New Roman" w:hAnsi="Times New Roman" w:cs="Times New Roman"/>
                      <w:color w:val="auto"/>
                    </w:rPr>
                  </w:pPr>
                  <w:r>
                    <w:rPr>
                      <w:rFonts w:ascii="Times New Roman" w:hAnsi="Times New Roman" w:cs="Times New Roman"/>
                      <w:color w:val="auto"/>
                    </w:rPr>
                    <w:t>序号</w:t>
                  </w:r>
                </w:p>
              </w:tc>
              <w:tc>
                <w:tcPr>
                  <w:tcW w:w="2294" w:type="pct"/>
                  <w:tcBorders>
                    <w:tl2br w:val="nil"/>
                    <w:tr2bl w:val="nil"/>
                  </w:tcBorders>
                  <w:vAlign w:val="center"/>
                </w:tcPr>
                <w:p>
                  <w:pPr>
                    <w:pStyle w:val="45"/>
                    <w:rPr>
                      <w:rFonts w:ascii="Times New Roman" w:hAnsi="Times New Roman" w:cs="Times New Roman"/>
                      <w:color w:val="auto"/>
                    </w:rPr>
                  </w:pPr>
                  <w:r>
                    <w:rPr>
                      <w:rFonts w:ascii="Times New Roman" w:hAnsi="Times New Roman" w:cs="Times New Roman"/>
                      <w:color w:val="auto"/>
                    </w:rPr>
                    <w:t>污染物</w:t>
                  </w:r>
                </w:p>
              </w:tc>
              <w:tc>
                <w:tcPr>
                  <w:tcW w:w="1624" w:type="pct"/>
                  <w:tcBorders>
                    <w:tl2br w:val="nil"/>
                    <w:tr2bl w:val="nil"/>
                  </w:tcBorders>
                  <w:vAlign w:val="center"/>
                </w:tcPr>
                <w:p>
                  <w:pPr>
                    <w:pStyle w:val="45"/>
                    <w:rPr>
                      <w:rFonts w:ascii="Times New Roman" w:hAnsi="Times New Roman" w:cs="Times New Roman"/>
                      <w:color w:val="auto"/>
                    </w:rPr>
                  </w:pPr>
                  <w:r>
                    <w:rPr>
                      <w:rFonts w:ascii="Times New Roman" w:hAnsi="Times New Roman" w:cs="Times New Roman"/>
                      <w:color w:val="auto"/>
                    </w:rPr>
                    <w:t>排放浓度限值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42" w:hRule="atLeast"/>
                <w:jc w:val="center"/>
              </w:trPr>
              <w:tc>
                <w:tcPr>
                  <w:tcW w:w="1081" w:type="pct"/>
                  <w:tcBorders>
                    <w:tl2br w:val="nil"/>
                    <w:tr2bl w:val="nil"/>
                  </w:tcBorders>
                </w:tcPr>
                <w:p>
                  <w:pPr>
                    <w:pStyle w:val="45"/>
                    <w:rPr>
                      <w:rFonts w:ascii="Times New Roman" w:hAnsi="Times New Roman" w:cs="Times New Roman"/>
                      <w:color w:val="auto"/>
                    </w:rPr>
                  </w:pPr>
                  <w:r>
                    <w:rPr>
                      <w:rFonts w:ascii="Times New Roman" w:hAnsi="Times New Roman" w:cs="Times New Roman"/>
                      <w:color w:val="auto"/>
                    </w:rPr>
                    <w:t>1</w:t>
                  </w:r>
                </w:p>
              </w:tc>
              <w:tc>
                <w:tcPr>
                  <w:tcW w:w="2294" w:type="pct"/>
                  <w:tcBorders>
                    <w:tl2br w:val="nil"/>
                    <w:tr2bl w:val="nil"/>
                  </w:tcBorders>
                  <w:vAlign w:val="center"/>
                </w:tcPr>
                <w:p>
                  <w:pPr>
                    <w:pStyle w:val="45"/>
                    <w:rPr>
                      <w:rFonts w:ascii="Times New Roman" w:hAnsi="Times New Roman" w:cs="Times New Roman"/>
                      <w:color w:val="auto"/>
                    </w:rPr>
                  </w:pPr>
                  <w:r>
                    <w:rPr>
                      <w:rFonts w:ascii="Times New Roman" w:hAnsi="Times New Roman" w:cs="Times New Roman"/>
                      <w:color w:val="auto"/>
                    </w:rPr>
                    <w:t>pH</w:t>
                  </w:r>
                </w:p>
              </w:tc>
              <w:tc>
                <w:tcPr>
                  <w:tcW w:w="1624" w:type="pct"/>
                  <w:tcBorders>
                    <w:tl2br w:val="nil"/>
                    <w:tr2bl w:val="nil"/>
                  </w:tcBorders>
                  <w:vAlign w:val="center"/>
                </w:tcPr>
                <w:p>
                  <w:pPr>
                    <w:pStyle w:val="45"/>
                    <w:rPr>
                      <w:rFonts w:ascii="Times New Roman" w:hAnsi="Times New Roman" w:cs="Times New Roman"/>
                      <w:color w:val="auto"/>
                    </w:rPr>
                  </w:pPr>
                  <w:r>
                    <w:rPr>
                      <w:rFonts w:ascii="Times New Roman" w:hAnsi="Times New Roman" w:cs="Times New Roman"/>
                      <w:color w:val="auto"/>
                    </w:rPr>
                    <w:t>6.0~9.0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42" w:hRule="atLeast"/>
                <w:jc w:val="center"/>
              </w:trPr>
              <w:tc>
                <w:tcPr>
                  <w:tcW w:w="1081" w:type="pct"/>
                  <w:tcBorders>
                    <w:tl2br w:val="nil"/>
                    <w:tr2bl w:val="nil"/>
                  </w:tcBorders>
                </w:tcPr>
                <w:p>
                  <w:pPr>
                    <w:pStyle w:val="45"/>
                    <w:rPr>
                      <w:rFonts w:ascii="Times New Roman" w:hAnsi="Times New Roman" w:cs="Times New Roman"/>
                      <w:color w:val="auto"/>
                    </w:rPr>
                  </w:pPr>
                  <w:r>
                    <w:rPr>
                      <w:rFonts w:ascii="Times New Roman" w:hAnsi="Times New Roman" w:cs="Times New Roman"/>
                      <w:color w:val="auto"/>
                    </w:rPr>
                    <w:t>2</w:t>
                  </w:r>
                </w:p>
              </w:tc>
              <w:tc>
                <w:tcPr>
                  <w:tcW w:w="2294" w:type="pct"/>
                  <w:tcBorders>
                    <w:tl2br w:val="nil"/>
                    <w:tr2bl w:val="nil"/>
                  </w:tcBorders>
                  <w:vAlign w:val="center"/>
                </w:tcPr>
                <w:p>
                  <w:pPr>
                    <w:pStyle w:val="45"/>
                    <w:rPr>
                      <w:rFonts w:ascii="Times New Roman" w:hAnsi="Times New Roman" w:cs="Times New Roman"/>
                      <w:color w:val="auto"/>
                    </w:rPr>
                  </w:pPr>
                  <w:r>
                    <w:rPr>
                      <w:rFonts w:ascii="Times New Roman" w:hAnsi="Times New Roman" w:cs="Times New Roman"/>
                      <w:color w:val="auto"/>
                    </w:rPr>
                    <w:t>BOD</w:t>
                  </w:r>
                  <w:r>
                    <w:rPr>
                      <w:rFonts w:ascii="Times New Roman" w:hAnsi="Times New Roman" w:cs="Times New Roman"/>
                      <w:color w:val="auto"/>
                      <w:vertAlign w:val="subscript"/>
                    </w:rPr>
                    <w:t>5</w:t>
                  </w:r>
                </w:p>
              </w:tc>
              <w:tc>
                <w:tcPr>
                  <w:tcW w:w="1624" w:type="pct"/>
                  <w:tcBorders>
                    <w:tl2br w:val="nil"/>
                    <w:tr2bl w:val="nil"/>
                  </w:tcBorders>
                  <w:vAlign w:val="center"/>
                </w:tcPr>
                <w:p>
                  <w:pPr>
                    <w:pStyle w:val="45"/>
                    <w:rPr>
                      <w:rFonts w:ascii="Times New Roman" w:hAnsi="Times New Roman" w:cs="Times New Roman"/>
                      <w:color w:val="auto"/>
                    </w:rPr>
                  </w:pPr>
                  <w:r>
                    <w:rPr>
                      <w:rFonts w:ascii="Times New Roman" w:hAnsi="Times New Roman" w:cs="Times New Roman"/>
                      <w:color w:val="auto"/>
                    </w:rPr>
                    <w:t>300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42" w:hRule="atLeast"/>
                <w:jc w:val="center"/>
              </w:trPr>
              <w:tc>
                <w:tcPr>
                  <w:tcW w:w="1081" w:type="pct"/>
                  <w:tcBorders>
                    <w:tl2br w:val="nil"/>
                    <w:tr2bl w:val="nil"/>
                  </w:tcBorders>
                </w:tcPr>
                <w:p>
                  <w:pPr>
                    <w:pStyle w:val="45"/>
                    <w:rPr>
                      <w:rFonts w:ascii="Times New Roman" w:hAnsi="Times New Roman" w:cs="Times New Roman"/>
                      <w:color w:val="auto"/>
                    </w:rPr>
                  </w:pPr>
                  <w:r>
                    <w:rPr>
                      <w:rFonts w:ascii="Times New Roman" w:hAnsi="Times New Roman" w:cs="Times New Roman"/>
                      <w:color w:val="auto"/>
                    </w:rPr>
                    <w:t>3</w:t>
                  </w:r>
                </w:p>
              </w:tc>
              <w:tc>
                <w:tcPr>
                  <w:tcW w:w="2294" w:type="pct"/>
                  <w:tcBorders>
                    <w:tl2br w:val="nil"/>
                    <w:tr2bl w:val="nil"/>
                  </w:tcBorders>
                  <w:vAlign w:val="center"/>
                </w:tcPr>
                <w:p>
                  <w:pPr>
                    <w:pStyle w:val="45"/>
                    <w:rPr>
                      <w:rFonts w:ascii="Times New Roman" w:hAnsi="Times New Roman" w:cs="Times New Roman"/>
                      <w:color w:val="auto"/>
                    </w:rPr>
                  </w:pPr>
                  <w:r>
                    <w:rPr>
                      <w:rFonts w:ascii="Times New Roman" w:hAnsi="Times New Roman" w:cs="Times New Roman"/>
                      <w:color w:val="auto"/>
                    </w:rPr>
                    <w:t>氨氮</w:t>
                  </w:r>
                </w:p>
              </w:tc>
              <w:tc>
                <w:tcPr>
                  <w:tcW w:w="1624" w:type="pct"/>
                  <w:tcBorders>
                    <w:tl2br w:val="nil"/>
                    <w:tr2bl w:val="nil"/>
                  </w:tcBorders>
                  <w:vAlign w:val="center"/>
                </w:tcPr>
                <w:p>
                  <w:pPr>
                    <w:pStyle w:val="45"/>
                    <w:rPr>
                      <w:rFonts w:ascii="Times New Roman" w:hAnsi="Times New Roman" w:cs="Times New Roman"/>
                      <w:color w:val="auto"/>
                    </w:rPr>
                  </w:pPr>
                  <w:r>
                    <w:rPr>
                      <w:rFonts w:ascii="Times New Roman" w:hAnsi="Times New Roman" w:cs="Times New Roman"/>
                      <w:color w:val="auto"/>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42" w:hRule="atLeast"/>
                <w:jc w:val="center"/>
              </w:trPr>
              <w:tc>
                <w:tcPr>
                  <w:tcW w:w="1081" w:type="pct"/>
                  <w:tcBorders>
                    <w:tl2br w:val="nil"/>
                    <w:tr2bl w:val="nil"/>
                  </w:tcBorders>
                </w:tcPr>
                <w:p>
                  <w:pPr>
                    <w:pStyle w:val="45"/>
                    <w:rPr>
                      <w:rFonts w:ascii="Times New Roman" w:hAnsi="Times New Roman" w:cs="Times New Roman"/>
                      <w:color w:val="auto"/>
                    </w:rPr>
                  </w:pPr>
                  <w:r>
                    <w:rPr>
                      <w:rFonts w:ascii="Times New Roman" w:hAnsi="Times New Roman" w:cs="Times New Roman"/>
                      <w:color w:val="auto"/>
                    </w:rPr>
                    <w:t>4</w:t>
                  </w:r>
                </w:p>
              </w:tc>
              <w:tc>
                <w:tcPr>
                  <w:tcW w:w="2294" w:type="pct"/>
                  <w:tcBorders>
                    <w:tl2br w:val="nil"/>
                    <w:tr2bl w:val="nil"/>
                  </w:tcBorders>
                  <w:vAlign w:val="center"/>
                </w:tcPr>
                <w:p>
                  <w:pPr>
                    <w:pStyle w:val="45"/>
                    <w:rPr>
                      <w:rFonts w:ascii="Times New Roman" w:hAnsi="Times New Roman" w:cs="Times New Roman"/>
                      <w:color w:val="auto"/>
                    </w:rPr>
                  </w:pPr>
                  <w:r>
                    <w:rPr>
                      <w:rFonts w:ascii="Times New Roman" w:hAnsi="Times New Roman" w:cs="Times New Roman"/>
                      <w:color w:val="auto"/>
                    </w:rPr>
                    <w:t>COD</w:t>
                  </w:r>
                </w:p>
              </w:tc>
              <w:tc>
                <w:tcPr>
                  <w:tcW w:w="1624" w:type="pct"/>
                  <w:tcBorders>
                    <w:tl2br w:val="nil"/>
                    <w:tr2bl w:val="nil"/>
                  </w:tcBorders>
                  <w:vAlign w:val="center"/>
                </w:tcPr>
                <w:p>
                  <w:pPr>
                    <w:pStyle w:val="45"/>
                    <w:rPr>
                      <w:rFonts w:ascii="Times New Roman" w:hAnsi="Times New Roman" w:cs="Times New Roman"/>
                      <w:color w:val="auto"/>
                    </w:rPr>
                  </w:pPr>
                  <w:r>
                    <w:rPr>
                      <w:rFonts w:ascii="Times New Roman" w:hAnsi="Times New Roman" w:cs="Times New Roman"/>
                      <w:color w:val="auto"/>
                    </w:rPr>
                    <w:t>500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42" w:hRule="atLeast"/>
                <w:jc w:val="center"/>
              </w:trPr>
              <w:tc>
                <w:tcPr>
                  <w:tcW w:w="1081" w:type="pct"/>
                  <w:tcBorders>
                    <w:tl2br w:val="nil"/>
                    <w:tr2bl w:val="nil"/>
                  </w:tcBorders>
                </w:tcPr>
                <w:p>
                  <w:pPr>
                    <w:pStyle w:val="45"/>
                    <w:rPr>
                      <w:rFonts w:ascii="Times New Roman" w:hAnsi="Times New Roman" w:cs="Times New Roman"/>
                      <w:color w:val="auto"/>
                    </w:rPr>
                  </w:pPr>
                  <w:r>
                    <w:rPr>
                      <w:rFonts w:ascii="Times New Roman" w:hAnsi="Times New Roman" w:cs="Times New Roman"/>
                      <w:color w:val="auto"/>
                    </w:rPr>
                    <w:t>5</w:t>
                  </w:r>
                </w:p>
              </w:tc>
              <w:tc>
                <w:tcPr>
                  <w:tcW w:w="2294" w:type="pct"/>
                  <w:tcBorders>
                    <w:tl2br w:val="nil"/>
                    <w:tr2bl w:val="nil"/>
                  </w:tcBorders>
                  <w:vAlign w:val="center"/>
                </w:tcPr>
                <w:p>
                  <w:pPr>
                    <w:pStyle w:val="45"/>
                    <w:rPr>
                      <w:rFonts w:ascii="Times New Roman" w:hAnsi="Times New Roman" w:cs="Times New Roman"/>
                      <w:color w:val="auto"/>
                    </w:rPr>
                  </w:pPr>
                  <w:r>
                    <w:rPr>
                      <w:rFonts w:ascii="Times New Roman" w:hAnsi="Times New Roman" w:cs="Times New Roman"/>
                      <w:color w:val="auto"/>
                    </w:rPr>
                    <w:t>悬浮物</w:t>
                  </w:r>
                </w:p>
              </w:tc>
              <w:tc>
                <w:tcPr>
                  <w:tcW w:w="1624" w:type="pct"/>
                  <w:tcBorders>
                    <w:tl2br w:val="nil"/>
                    <w:tr2bl w:val="nil"/>
                  </w:tcBorders>
                  <w:vAlign w:val="center"/>
                </w:tcPr>
                <w:p>
                  <w:pPr>
                    <w:pStyle w:val="45"/>
                    <w:rPr>
                      <w:rFonts w:ascii="Times New Roman" w:hAnsi="Times New Roman" w:cs="Times New Roman"/>
                      <w:color w:val="auto"/>
                    </w:rPr>
                  </w:pPr>
                  <w:r>
                    <w:rPr>
                      <w:rFonts w:ascii="Times New Roman" w:hAnsi="Times New Roman" w:cs="Times New Roman"/>
                      <w:color w:val="auto"/>
                    </w:rPr>
                    <w:t>400</w:t>
                  </w:r>
                </w:p>
              </w:tc>
            </w:tr>
          </w:tbl>
          <w:p>
            <w:pPr>
              <w:pStyle w:val="8"/>
              <w:ind w:firstLine="502"/>
              <w:rPr>
                <w:rFonts w:hAnsi="Times New Roman" w:cs="Times New Roman"/>
                <w:b/>
                <w:color w:val="auto"/>
                <w:kern w:val="0"/>
              </w:rPr>
            </w:pPr>
            <w:r>
              <w:rPr>
                <w:rFonts w:hAnsi="Times New Roman" w:cs="Times New Roman"/>
                <w:b/>
                <w:color w:val="auto"/>
                <w:kern w:val="0"/>
              </w:rPr>
              <w:t>4、固废</w:t>
            </w:r>
          </w:p>
          <w:p>
            <w:pPr>
              <w:spacing w:line="520" w:lineRule="exact"/>
              <w:ind w:firstLine="480" w:firstLineChars="200"/>
              <w:rPr>
                <w:rFonts w:eastAsiaTheme="minorEastAsia"/>
                <w:color w:val="auto"/>
                <w:sz w:val="24"/>
              </w:rPr>
            </w:pPr>
            <w:r>
              <w:rPr>
                <w:color w:val="auto"/>
                <w:sz w:val="24"/>
              </w:rPr>
              <w:t>危险废物执行《危险废物贮存污染控制标准》（GB18597-2023）中的相关要求；过期或残损烟花爆竹贮存执行《烟花爆竹安全管理条例》（国务院令第666号，2016年修订）第六章第四十三条“对没收的非法烟花爆竹以及生产、经营企业弃置的废旧烟花爆竹，应当就地封存，并由当地公安部门组织销毁、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800" w:type="dxa"/>
            <w:vAlign w:val="center"/>
          </w:tcPr>
          <w:p>
            <w:pPr>
              <w:adjustRightInd w:val="0"/>
              <w:snapToGrid w:val="0"/>
              <w:jc w:val="center"/>
              <w:rPr>
                <w:color w:val="auto"/>
                <w:kern w:val="0"/>
                <w:szCs w:val="21"/>
              </w:rPr>
            </w:pPr>
            <w:r>
              <w:rPr>
                <w:color w:val="auto"/>
                <w:kern w:val="0"/>
                <w:szCs w:val="21"/>
              </w:rPr>
              <w:t>总量</w:t>
            </w:r>
          </w:p>
          <w:p>
            <w:pPr>
              <w:adjustRightInd w:val="0"/>
              <w:snapToGrid w:val="0"/>
              <w:jc w:val="center"/>
              <w:rPr>
                <w:color w:val="auto"/>
                <w:kern w:val="0"/>
                <w:szCs w:val="21"/>
              </w:rPr>
            </w:pPr>
            <w:r>
              <w:rPr>
                <w:color w:val="auto"/>
                <w:kern w:val="0"/>
                <w:szCs w:val="21"/>
              </w:rPr>
              <w:t>控制</w:t>
            </w:r>
          </w:p>
          <w:p>
            <w:pPr>
              <w:adjustRightInd w:val="0"/>
              <w:snapToGrid w:val="0"/>
              <w:jc w:val="center"/>
              <w:rPr>
                <w:color w:val="auto"/>
                <w:kern w:val="0"/>
                <w:szCs w:val="21"/>
              </w:rPr>
            </w:pPr>
            <w:r>
              <w:rPr>
                <w:color w:val="auto"/>
                <w:kern w:val="0"/>
                <w:szCs w:val="21"/>
              </w:rPr>
              <w:t>指标</w:t>
            </w:r>
          </w:p>
        </w:tc>
        <w:tc>
          <w:tcPr>
            <w:tcW w:w="8190" w:type="dxa"/>
            <w:vAlign w:val="center"/>
          </w:tcPr>
          <w:p>
            <w:pPr>
              <w:spacing w:line="520" w:lineRule="exact"/>
              <w:ind w:firstLine="480" w:firstLineChars="200"/>
              <w:jc w:val="center"/>
              <w:rPr>
                <w:color w:val="auto"/>
                <w:sz w:val="24"/>
              </w:rPr>
            </w:pPr>
          </w:p>
          <w:p>
            <w:pPr>
              <w:spacing w:line="520" w:lineRule="exact"/>
              <w:ind w:firstLine="480" w:firstLineChars="200"/>
              <w:jc w:val="center"/>
              <w:rPr>
                <w:color w:val="auto"/>
                <w:sz w:val="24"/>
              </w:rPr>
            </w:pPr>
          </w:p>
          <w:p>
            <w:pPr>
              <w:spacing w:line="520" w:lineRule="exact"/>
              <w:ind w:firstLine="480" w:firstLineChars="200"/>
              <w:jc w:val="center"/>
              <w:rPr>
                <w:color w:val="auto"/>
                <w:sz w:val="24"/>
              </w:rPr>
            </w:pPr>
            <w:r>
              <w:rPr>
                <w:color w:val="auto"/>
                <w:sz w:val="24"/>
              </w:rPr>
              <w:t>无</w:t>
            </w:r>
          </w:p>
          <w:p>
            <w:pPr>
              <w:pStyle w:val="12"/>
              <w:rPr>
                <w:color w:val="auto"/>
                <w:sz w:val="24"/>
              </w:rPr>
            </w:pPr>
          </w:p>
          <w:p>
            <w:pPr>
              <w:pStyle w:val="13"/>
              <w:rPr>
                <w:color w:val="auto"/>
                <w:sz w:val="24"/>
              </w:rPr>
            </w:pPr>
          </w:p>
          <w:p>
            <w:pPr>
              <w:pStyle w:val="13"/>
              <w:rPr>
                <w:color w:val="auto"/>
                <w:sz w:val="24"/>
              </w:rPr>
            </w:pPr>
          </w:p>
          <w:p>
            <w:pPr>
              <w:pStyle w:val="13"/>
              <w:rPr>
                <w:color w:val="auto"/>
                <w:sz w:val="24"/>
              </w:rPr>
            </w:pPr>
          </w:p>
          <w:p>
            <w:pPr>
              <w:pStyle w:val="13"/>
              <w:rPr>
                <w:color w:val="auto"/>
                <w:sz w:val="24"/>
              </w:rPr>
            </w:pPr>
          </w:p>
          <w:p>
            <w:pPr>
              <w:pStyle w:val="13"/>
              <w:rPr>
                <w:color w:val="auto"/>
                <w:sz w:val="24"/>
              </w:rPr>
            </w:pPr>
          </w:p>
          <w:p>
            <w:pPr>
              <w:pStyle w:val="13"/>
              <w:rPr>
                <w:color w:val="auto"/>
                <w:sz w:val="24"/>
              </w:rPr>
            </w:pPr>
          </w:p>
          <w:p>
            <w:pPr>
              <w:pStyle w:val="13"/>
              <w:rPr>
                <w:color w:val="auto"/>
                <w:sz w:val="24"/>
              </w:rPr>
            </w:pPr>
          </w:p>
        </w:tc>
      </w:tr>
    </w:tbl>
    <w:p>
      <w:pPr>
        <w:pStyle w:val="23"/>
        <w:jc w:val="center"/>
        <w:outlineLvl w:val="0"/>
        <w:rPr>
          <w:rFonts w:ascii="Times New Roman" w:hAnsi="Times New Roman" w:eastAsia="黑体"/>
          <w:snapToGrid w:val="0"/>
          <w:color w:val="auto"/>
          <w:sz w:val="30"/>
          <w:szCs w:val="30"/>
        </w:rPr>
      </w:pPr>
      <w:r>
        <w:rPr>
          <w:rFonts w:ascii="Times New Roman" w:hAnsi="Times New Roman" w:eastAsia="黑体"/>
          <w:snapToGrid w:val="0"/>
          <w:color w:val="auto"/>
          <w:sz w:val="36"/>
          <w:szCs w:val="36"/>
        </w:rPr>
        <w:br w:type="page"/>
      </w:r>
      <w:r>
        <w:rPr>
          <w:rFonts w:ascii="Times New Roman" w:hAnsi="Times New Roman" w:eastAsia="黑体"/>
          <w:snapToGrid w:val="0"/>
          <w:color w:val="auto"/>
          <w:sz w:val="30"/>
          <w:szCs w:val="30"/>
        </w:rPr>
        <w:t>四、主要环境影响和保护措施</w:t>
      </w:r>
    </w:p>
    <w:tbl>
      <w:tblPr>
        <w:tblStyle w:val="26"/>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50" w:hRule="atLeast"/>
          <w:jc w:val="center"/>
        </w:trPr>
        <w:tc>
          <w:tcPr>
            <w:tcW w:w="746" w:type="dxa"/>
            <w:tcMar>
              <w:left w:w="28" w:type="dxa"/>
              <w:right w:w="28" w:type="dxa"/>
            </w:tcMar>
            <w:vAlign w:val="center"/>
          </w:tcPr>
          <w:p>
            <w:pPr>
              <w:pStyle w:val="23"/>
              <w:adjustRightInd w:val="0"/>
              <w:snapToGrid w:val="0"/>
              <w:spacing w:before="0" w:beforeAutospacing="0" w:after="0" w:afterAutospacing="0"/>
              <w:jc w:val="center"/>
              <w:rPr>
                <w:rFonts w:ascii="Times New Roman" w:hAnsi="Times New Roman"/>
                <w:color w:val="auto"/>
                <w:kern w:val="2"/>
                <w:sz w:val="21"/>
                <w:szCs w:val="21"/>
              </w:rPr>
            </w:pPr>
            <w:r>
              <w:rPr>
                <w:rFonts w:ascii="Times New Roman" w:hAnsi="Times New Roman"/>
                <w:color w:val="auto"/>
                <w:kern w:val="2"/>
                <w:sz w:val="21"/>
                <w:szCs w:val="21"/>
              </w:rPr>
              <w:t>施工</w:t>
            </w:r>
          </w:p>
          <w:p>
            <w:pPr>
              <w:pStyle w:val="23"/>
              <w:adjustRightInd w:val="0"/>
              <w:snapToGrid w:val="0"/>
              <w:spacing w:before="0" w:beforeAutospacing="0" w:after="0" w:afterAutospacing="0"/>
              <w:jc w:val="center"/>
              <w:rPr>
                <w:rFonts w:ascii="Times New Roman" w:hAnsi="Times New Roman"/>
                <w:color w:val="auto"/>
                <w:kern w:val="2"/>
                <w:sz w:val="21"/>
                <w:szCs w:val="21"/>
              </w:rPr>
            </w:pPr>
            <w:r>
              <w:rPr>
                <w:rFonts w:ascii="Times New Roman" w:hAnsi="Times New Roman"/>
                <w:color w:val="auto"/>
                <w:kern w:val="2"/>
                <w:sz w:val="21"/>
                <w:szCs w:val="21"/>
              </w:rPr>
              <w:t>期环</w:t>
            </w:r>
          </w:p>
          <w:p>
            <w:pPr>
              <w:pStyle w:val="23"/>
              <w:adjustRightInd w:val="0"/>
              <w:snapToGrid w:val="0"/>
              <w:spacing w:before="0" w:beforeAutospacing="0" w:after="0" w:afterAutospacing="0"/>
              <w:jc w:val="center"/>
              <w:rPr>
                <w:rFonts w:ascii="Times New Roman" w:hAnsi="Times New Roman"/>
                <w:color w:val="auto"/>
                <w:kern w:val="2"/>
                <w:sz w:val="21"/>
                <w:szCs w:val="21"/>
              </w:rPr>
            </w:pPr>
            <w:r>
              <w:rPr>
                <w:rFonts w:ascii="Times New Roman" w:hAnsi="Times New Roman"/>
                <w:color w:val="auto"/>
                <w:kern w:val="2"/>
                <w:sz w:val="21"/>
                <w:szCs w:val="21"/>
              </w:rPr>
              <w:t>境保</w:t>
            </w:r>
          </w:p>
          <w:p>
            <w:pPr>
              <w:pStyle w:val="23"/>
              <w:adjustRightInd w:val="0"/>
              <w:snapToGrid w:val="0"/>
              <w:spacing w:before="0" w:beforeAutospacing="0" w:after="0" w:afterAutospacing="0"/>
              <w:jc w:val="center"/>
              <w:rPr>
                <w:rFonts w:ascii="Times New Roman" w:hAnsi="Times New Roman"/>
                <w:color w:val="auto"/>
                <w:kern w:val="2"/>
                <w:sz w:val="21"/>
                <w:szCs w:val="21"/>
              </w:rPr>
            </w:pPr>
            <w:r>
              <w:rPr>
                <w:rFonts w:ascii="Times New Roman" w:hAnsi="Times New Roman"/>
                <w:color w:val="auto"/>
                <w:kern w:val="2"/>
                <w:sz w:val="21"/>
                <w:szCs w:val="21"/>
              </w:rPr>
              <w:t>护措</w:t>
            </w:r>
          </w:p>
          <w:p>
            <w:pPr>
              <w:pStyle w:val="23"/>
              <w:adjustRightInd w:val="0"/>
              <w:snapToGrid w:val="0"/>
              <w:spacing w:before="0" w:beforeAutospacing="0" w:after="0" w:afterAutospacing="0"/>
              <w:jc w:val="center"/>
              <w:rPr>
                <w:rFonts w:ascii="Times New Roman" w:hAnsi="Times New Roman"/>
                <w:bCs/>
                <w:color w:val="auto"/>
                <w:kern w:val="2"/>
                <w:sz w:val="21"/>
                <w:szCs w:val="21"/>
              </w:rPr>
            </w:pPr>
            <w:r>
              <w:rPr>
                <w:rFonts w:ascii="Times New Roman" w:hAnsi="Times New Roman"/>
                <w:color w:val="auto"/>
                <w:kern w:val="2"/>
                <w:sz w:val="21"/>
                <w:szCs w:val="21"/>
              </w:rPr>
              <w:t>施</w:t>
            </w:r>
          </w:p>
        </w:tc>
        <w:tc>
          <w:tcPr>
            <w:tcW w:w="8162" w:type="dxa"/>
            <w:vAlign w:val="center"/>
          </w:tcPr>
          <w:p>
            <w:pPr>
              <w:autoSpaceDE w:val="0"/>
              <w:autoSpaceDN w:val="0"/>
              <w:spacing w:before="120" w:beforeLines="50" w:line="360" w:lineRule="auto"/>
              <w:rPr>
                <w:b/>
                <w:bCs/>
                <w:color w:val="auto"/>
                <w:sz w:val="24"/>
              </w:rPr>
            </w:pPr>
            <w:r>
              <w:rPr>
                <w:b/>
                <w:bCs/>
                <w:color w:val="auto"/>
                <w:sz w:val="24"/>
              </w:rPr>
              <w:t>一、施工期大气污染控制措施</w:t>
            </w:r>
          </w:p>
          <w:p>
            <w:pPr>
              <w:spacing w:line="360" w:lineRule="auto"/>
              <w:ind w:firstLine="480" w:firstLineChars="200"/>
              <w:rPr>
                <w:color w:val="auto"/>
                <w:sz w:val="24"/>
              </w:rPr>
            </w:pPr>
            <w:r>
              <w:rPr>
                <w:color w:val="auto"/>
                <w:sz w:val="24"/>
              </w:rPr>
              <w:t>施工期对环境空气的污染主要为厂区地面平整、运输车辆的行驶、装卸施工材料、施工机械填挖土方以及挖掘弃土临时堆存引起的扬尘。施工扬尘能使区域内局部环境空气中含尘量增加，并可能随风迁移到周围区域。</w:t>
            </w:r>
          </w:p>
          <w:p>
            <w:pPr>
              <w:spacing w:line="360" w:lineRule="auto"/>
              <w:ind w:firstLine="480" w:firstLineChars="200"/>
              <w:rPr>
                <w:color w:val="auto"/>
                <w:sz w:val="24"/>
              </w:rPr>
            </w:pPr>
            <w:r>
              <w:rPr>
                <w:color w:val="auto"/>
                <w:sz w:val="24"/>
              </w:rPr>
              <w:t>针对施工期扬尘污染问题，建议在施工过程中必须采取以下措施：</w:t>
            </w:r>
          </w:p>
          <w:p>
            <w:pPr>
              <w:spacing w:line="360" w:lineRule="auto"/>
              <w:ind w:firstLine="480" w:firstLineChars="200"/>
              <w:rPr>
                <w:color w:val="auto"/>
                <w:sz w:val="24"/>
              </w:rPr>
            </w:pPr>
            <w:r>
              <w:rPr>
                <w:color w:val="auto"/>
                <w:sz w:val="24"/>
              </w:rPr>
              <w:t>1、建设单位应将建设工程施工现场扬尘污染防治专项费用列入工程概算，并于工程开工5日内足额支付给施工单位；施工单位应有扬尘污染防治实施方案，方案应明确扬尘防治工作目标、扬尘防治技术措施、责任人等。</w:t>
            </w:r>
          </w:p>
          <w:p>
            <w:pPr>
              <w:spacing w:line="360" w:lineRule="auto"/>
              <w:ind w:firstLine="480" w:firstLineChars="200"/>
              <w:rPr>
                <w:color w:val="auto"/>
                <w:sz w:val="24"/>
              </w:rPr>
            </w:pPr>
            <w:r>
              <w:rPr>
                <w:color w:val="auto"/>
                <w:sz w:val="24"/>
              </w:rPr>
              <w:t>2、施工使用商品混凝土，禁止施工现场搅拌混凝土，大大减少水泥、黄沙、石子等建筑材料在运输、装卸、堆放及搅拌过程中产生的扬尘影响。</w:t>
            </w:r>
          </w:p>
          <w:p>
            <w:pPr>
              <w:spacing w:line="360" w:lineRule="auto"/>
              <w:ind w:firstLine="480" w:firstLineChars="200"/>
              <w:rPr>
                <w:color w:val="auto"/>
                <w:sz w:val="24"/>
              </w:rPr>
            </w:pPr>
            <w:bookmarkStart w:id="5" w:name="_Hlk216706779"/>
            <w:r>
              <w:rPr>
                <w:color w:val="auto"/>
                <w:sz w:val="24"/>
              </w:rPr>
              <w:t>3、按照建筑施工规定，场地四周建围挡，</w:t>
            </w:r>
            <w:r>
              <w:rPr>
                <w:rFonts w:hint="eastAsia"/>
                <w:color w:val="auto"/>
                <w:sz w:val="24"/>
              </w:rPr>
              <w:t>围挡材料应为彩钢板，</w:t>
            </w:r>
            <w:r>
              <w:rPr>
                <w:color w:val="auto"/>
                <w:sz w:val="24"/>
              </w:rPr>
              <w:t>围挡高度一般不低于2.5m。</w:t>
            </w:r>
          </w:p>
          <w:bookmarkEnd w:id="5"/>
          <w:p>
            <w:pPr>
              <w:spacing w:line="360" w:lineRule="auto"/>
              <w:ind w:firstLine="480" w:firstLineChars="200"/>
              <w:rPr>
                <w:color w:val="auto"/>
                <w:sz w:val="24"/>
              </w:rPr>
            </w:pPr>
            <w:r>
              <w:rPr>
                <w:color w:val="auto"/>
                <w:sz w:val="24"/>
              </w:rPr>
              <w:t>4、工程材料、砂石、土方或废弃物等易产生扬尘物质应当用帆布或密目网等进行重复式覆盖。设置专用场地堆放建筑材料，水泥、石灰等易产生扬尘的材料应堆放在固定工棚内，堆放过程中要加篷布覆盖。</w:t>
            </w:r>
          </w:p>
          <w:p>
            <w:pPr>
              <w:spacing w:line="360" w:lineRule="auto"/>
              <w:ind w:firstLine="480" w:firstLineChars="200"/>
              <w:rPr>
                <w:color w:val="auto"/>
                <w:sz w:val="24"/>
              </w:rPr>
            </w:pPr>
            <w:r>
              <w:rPr>
                <w:color w:val="auto"/>
                <w:sz w:val="24"/>
              </w:rPr>
              <w:t>5、地基挖掘产生的弃土应及时用于厂区平整，并压实。</w:t>
            </w:r>
          </w:p>
          <w:p>
            <w:pPr>
              <w:spacing w:line="360" w:lineRule="auto"/>
              <w:ind w:firstLine="480" w:firstLineChars="200"/>
              <w:rPr>
                <w:color w:val="auto"/>
                <w:sz w:val="24"/>
              </w:rPr>
            </w:pPr>
            <w:bookmarkStart w:id="6" w:name="_Hlk216706784"/>
            <w:r>
              <w:rPr>
                <w:color w:val="auto"/>
                <w:sz w:val="24"/>
              </w:rPr>
              <w:t>6、施工方严格按照《防治城市扬尘污染技术规范》（HJ/T393-2007）中的要求，定时对施工现场各扬尘点及道路洒水</w:t>
            </w:r>
            <w:r>
              <w:rPr>
                <w:rFonts w:hint="eastAsia"/>
                <w:color w:val="auto"/>
                <w:sz w:val="24"/>
              </w:rPr>
              <w:t>，</w:t>
            </w:r>
            <w:r>
              <w:rPr>
                <w:color w:val="auto"/>
                <w:sz w:val="24"/>
              </w:rPr>
              <w:t>晴朗天气每周等时间间隔</w:t>
            </w:r>
            <w:bookmarkStart w:id="7" w:name="OLE_LINK7"/>
            <w:r>
              <w:rPr>
                <w:color w:val="auto"/>
                <w:sz w:val="24"/>
              </w:rPr>
              <w:t>洒水</w:t>
            </w:r>
            <w:r>
              <w:rPr>
                <w:rFonts w:hint="eastAsia"/>
                <w:color w:val="auto"/>
                <w:sz w:val="24"/>
              </w:rPr>
              <w:t>2</w:t>
            </w:r>
            <w:r>
              <w:rPr>
                <w:color w:val="auto"/>
                <w:sz w:val="24"/>
              </w:rPr>
              <w:t>至</w:t>
            </w:r>
            <w:r>
              <w:rPr>
                <w:rFonts w:hint="eastAsia"/>
                <w:color w:val="auto"/>
                <w:sz w:val="24"/>
              </w:rPr>
              <w:t>7</w:t>
            </w:r>
            <w:r>
              <w:rPr>
                <w:color w:val="auto"/>
                <w:sz w:val="24"/>
              </w:rPr>
              <w:t>次</w:t>
            </w:r>
            <w:bookmarkEnd w:id="7"/>
            <w:r>
              <w:rPr>
                <w:color w:val="auto"/>
                <w:sz w:val="24"/>
              </w:rPr>
              <w:t>，扬尘严重时加大洒水</w:t>
            </w:r>
            <w:r>
              <w:rPr>
                <w:rFonts w:hint="eastAsia"/>
                <w:color w:val="auto"/>
                <w:sz w:val="24"/>
              </w:rPr>
              <w:t>（</w:t>
            </w:r>
            <w:r>
              <w:rPr>
                <w:color w:val="auto"/>
                <w:sz w:val="24"/>
              </w:rPr>
              <w:t>频次洒水</w:t>
            </w:r>
            <w:r>
              <w:rPr>
                <w:rFonts w:hint="eastAsia"/>
                <w:color w:val="auto"/>
                <w:sz w:val="24"/>
              </w:rPr>
              <w:t>5</w:t>
            </w:r>
            <w:r>
              <w:rPr>
                <w:color w:val="auto"/>
                <w:sz w:val="24"/>
              </w:rPr>
              <w:t>至</w:t>
            </w:r>
            <w:r>
              <w:rPr>
                <w:rFonts w:hint="eastAsia"/>
                <w:color w:val="auto"/>
                <w:sz w:val="24"/>
              </w:rPr>
              <w:t>10</w:t>
            </w:r>
            <w:r>
              <w:rPr>
                <w:color w:val="auto"/>
                <w:sz w:val="24"/>
              </w:rPr>
              <w:t>次</w:t>
            </w:r>
            <w:r>
              <w:rPr>
                <w:rFonts w:hint="eastAsia"/>
                <w:color w:val="auto"/>
                <w:sz w:val="24"/>
              </w:rPr>
              <w:t>），</w:t>
            </w:r>
            <w:r>
              <w:rPr>
                <w:color w:val="auto"/>
                <w:sz w:val="24"/>
              </w:rPr>
              <w:t>遇有四级以上大风天气预报或</w:t>
            </w:r>
            <w:r>
              <w:rPr>
                <w:rFonts w:hint="eastAsia"/>
                <w:color w:val="auto"/>
                <w:sz w:val="24"/>
              </w:rPr>
              <w:t>县</w:t>
            </w:r>
            <w:r>
              <w:rPr>
                <w:color w:val="auto"/>
                <w:sz w:val="24"/>
              </w:rPr>
              <w:t>政府发布空气质量预警时，不得进行土方及拆除作业。工地出口设置宽3.5m、长10m、深0.2m的水池，池内铺一层粒径约5mm的碎石，驶离建筑工地的车辆轮胎必须经过清洗，以避免驶出工地车辆轮胎带的工地泥浆带入城市道路影响环境。</w:t>
            </w:r>
          </w:p>
          <w:bookmarkEnd w:id="6"/>
          <w:p>
            <w:pPr>
              <w:spacing w:line="360" w:lineRule="auto"/>
              <w:ind w:firstLine="480" w:firstLineChars="200"/>
              <w:rPr>
                <w:color w:val="auto"/>
                <w:sz w:val="24"/>
              </w:rPr>
            </w:pPr>
            <w:bookmarkStart w:id="8" w:name="_Hlk216706838"/>
            <w:r>
              <w:rPr>
                <w:color w:val="auto"/>
                <w:sz w:val="24"/>
              </w:rPr>
              <w:t>7、材料运输中要采取遮盖措施或利用密闭性运输车，运输车辆行驶路线要避开居民区等环境敏感点，并限制运输车辆的车速。</w:t>
            </w:r>
          </w:p>
          <w:bookmarkEnd w:id="8"/>
          <w:p>
            <w:pPr>
              <w:spacing w:line="360" w:lineRule="auto"/>
              <w:ind w:firstLine="480" w:firstLineChars="200"/>
              <w:rPr>
                <w:color w:val="auto"/>
                <w:sz w:val="24"/>
              </w:rPr>
            </w:pPr>
            <w:r>
              <w:rPr>
                <w:color w:val="auto"/>
                <w:sz w:val="24"/>
              </w:rPr>
              <w:t>8、加强环保宣传，增强施工人员环保意识，坚持文明施工，建设单位与施工单位签订环保责任合同，明确施工期环保责任。制订控制扬尘污染方案，在施工前办理施工许可证经主管部门审批后方可施工。</w:t>
            </w:r>
          </w:p>
          <w:p>
            <w:pPr>
              <w:spacing w:line="360" w:lineRule="auto"/>
              <w:ind w:firstLine="480" w:firstLineChars="200"/>
              <w:rPr>
                <w:color w:val="auto"/>
                <w:sz w:val="24"/>
              </w:rPr>
            </w:pPr>
            <w:r>
              <w:rPr>
                <w:color w:val="auto"/>
                <w:sz w:val="24"/>
              </w:rPr>
              <w:t>9、合理安排施工进度，规范临时渣场、弃土暂存点管理，严格执行建筑渣土准运证制度。设置专人负责弃土、建筑垃圾、建筑材料的处置、清运和堆放。</w:t>
            </w:r>
          </w:p>
          <w:p>
            <w:pPr>
              <w:spacing w:line="360" w:lineRule="auto"/>
              <w:ind w:firstLine="480" w:firstLineChars="200"/>
              <w:rPr>
                <w:color w:val="auto"/>
                <w:sz w:val="24"/>
              </w:rPr>
            </w:pPr>
            <w:r>
              <w:rPr>
                <w:color w:val="auto"/>
                <w:sz w:val="24"/>
              </w:rPr>
              <w:t>10、</w:t>
            </w:r>
            <w:r>
              <w:rPr>
                <w:color w:val="auto"/>
                <w:sz w:val="24"/>
                <w:shd w:val="clear" w:color="auto" w:fill="FFFFFF"/>
              </w:rPr>
              <w:t>施工期间严格落实“六个百分百”要求，即施工工地周边100%围挡；物料堆放100%覆盖；出入车辆100%冲洗；施工现场地面100%硬化；土方开挖100%湿法作业；渣土车辆100%密闭运输。</w:t>
            </w:r>
          </w:p>
          <w:p>
            <w:pPr>
              <w:spacing w:line="360" w:lineRule="auto"/>
              <w:ind w:firstLine="480" w:firstLineChars="200"/>
              <w:rPr>
                <w:color w:val="auto"/>
                <w:sz w:val="24"/>
              </w:rPr>
            </w:pPr>
            <w:r>
              <w:rPr>
                <w:color w:val="auto"/>
                <w:sz w:val="24"/>
              </w:rPr>
              <w:t>采取以上措施的前提下，施工期产生的扬尘对周围环境的影响可降至最低。另外，施工机械、运输车辆排放的废气会造成局部环境空气中一氧化碳等污染物浓度增高，项目区周边无居民居住区，因此不会对周边环境造成影响，并且此类废气为间断排放，随施工结束而结束。</w:t>
            </w:r>
          </w:p>
          <w:p>
            <w:pPr>
              <w:autoSpaceDE w:val="0"/>
              <w:autoSpaceDN w:val="0"/>
              <w:spacing w:line="360" w:lineRule="auto"/>
              <w:rPr>
                <w:b/>
                <w:bCs/>
                <w:color w:val="auto"/>
                <w:sz w:val="24"/>
              </w:rPr>
            </w:pPr>
            <w:r>
              <w:rPr>
                <w:b/>
                <w:bCs/>
                <w:color w:val="auto"/>
                <w:sz w:val="24"/>
              </w:rPr>
              <w:t>二、施工期水污染控制措施</w:t>
            </w:r>
          </w:p>
          <w:p>
            <w:pPr>
              <w:spacing w:line="520" w:lineRule="exact"/>
              <w:ind w:firstLine="480" w:firstLineChars="200"/>
              <w:rPr>
                <w:color w:val="auto"/>
                <w:sz w:val="24"/>
              </w:rPr>
            </w:pPr>
            <w:r>
              <w:rPr>
                <w:color w:val="auto"/>
                <w:sz w:val="24"/>
              </w:rPr>
              <w:t>施工期产生的废水主要为施工设备清洗和混凝土养护用水，水量较小，主要污染物为泥沙，对环境影响较小。施工场地设简易沉淀池，将施工废水收集沉淀后，用于场地喷洒降尘。</w:t>
            </w:r>
          </w:p>
          <w:p>
            <w:pPr>
              <w:spacing w:line="520" w:lineRule="exact"/>
              <w:ind w:firstLine="480" w:firstLineChars="200"/>
              <w:rPr>
                <w:color w:val="auto"/>
                <w:sz w:val="24"/>
              </w:rPr>
            </w:pPr>
            <w:r>
              <w:rPr>
                <w:color w:val="auto"/>
                <w:sz w:val="24"/>
              </w:rPr>
              <w:t>施工人员生活设施依托附近村镇，不在施工场地单独设置居住区域。项目区内无生活污水产生。</w:t>
            </w:r>
          </w:p>
          <w:p>
            <w:pPr>
              <w:autoSpaceDE w:val="0"/>
              <w:autoSpaceDN w:val="0"/>
              <w:spacing w:line="520" w:lineRule="exact"/>
              <w:rPr>
                <w:b/>
                <w:bCs/>
                <w:color w:val="auto"/>
                <w:sz w:val="24"/>
              </w:rPr>
            </w:pPr>
            <w:r>
              <w:rPr>
                <w:b/>
                <w:bCs/>
                <w:color w:val="auto"/>
                <w:sz w:val="24"/>
              </w:rPr>
              <w:t>三、施工期噪声控制措施</w:t>
            </w:r>
          </w:p>
          <w:p>
            <w:pPr>
              <w:spacing w:line="520" w:lineRule="exact"/>
              <w:ind w:firstLine="480" w:firstLineChars="200"/>
              <w:rPr>
                <w:color w:val="auto"/>
                <w:sz w:val="24"/>
              </w:rPr>
            </w:pPr>
            <w:r>
              <w:rPr>
                <w:color w:val="auto"/>
                <w:sz w:val="24"/>
              </w:rPr>
              <w:t>施工期机械设备产生噪声是项目施工对周围声环境产生影响的主要因素，是声环境质量环境影响预测重点之一。</w:t>
            </w:r>
          </w:p>
          <w:p>
            <w:pPr>
              <w:spacing w:line="520" w:lineRule="exact"/>
              <w:ind w:firstLine="480" w:firstLineChars="200"/>
              <w:rPr>
                <w:color w:val="auto"/>
                <w:sz w:val="24"/>
              </w:rPr>
            </w:pPr>
            <w:r>
              <w:rPr>
                <w:color w:val="auto"/>
                <w:sz w:val="24"/>
              </w:rPr>
              <w:t>噪声从声源传播到受声点，受传播距离，空气吸收，阻挡物的反射与屏障等因素的影响而产生衰减。根据点声源声传播距离增加1倍，声强衰减6dB（A）的原理，本次评价推算出施工设备不同距离的噪声值。距离衰减后的噪声值见表4-1。</w:t>
            </w:r>
          </w:p>
          <w:p>
            <w:pPr>
              <w:pStyle w:val="52"/>
              <w:rPr>
                <w:color w:val="auto"/>
              </w:rPr>
            </w:pPr>
            <w:r>
              <w:rPr>
                <w:color w:val="auto"/>
              </w:rPr>
              <w:t>表4-1  单台机械设备的噪声预测值  单位：dB（A）</w:t>
            </w:r>
          </w:p>
          <w:tbl>
            <w:tblPr>
              <w:tblStyle w:val="27"/>
              <w:tblW w:w="4999"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600"/>
              <w:gridCol w:w="636"/>
              <w:gridCol w:w="674"/>
              <w:gridCol w:w="699"/>
              <w:gridCol w:w="674"/>
              <w:gridCol w:w="707"/>
              <w:gridCol w:w="721"/>
              <w:gridCol w:w="721"/>
              <w:gridCol w:w="732"/>
              <w:gridCol w:w="72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66" w:type="pct"/>
                  <w:vMerge w:val="restart"/>
                  <w:tcBorders>
                    <w:tl2br w:val="nil"/>
                    <w:tr2bl w:val="nil"/>
                  </w:tcBorders>
                  <w:vAlign w:val="center"/>
                </w:tcPr>
                <w:p>
                  <w:pPr>
                    <w:spacing w:line="300" w:lineRule="exact"/>
                    <w:jc w:val="center"/>
                    <w:rPr>
                      <w:color w:val="auto"/>
                      <w:szCs w:val="21"/>
                    </w:rPr>
                  </w:pPr>
                  <w:r>
                    <w:rPr>
                      <w:color w:val="auto"/>
                      <w:szCs w:val="21"/>
                    </w:rPr>
                    <w:t>机械类型</w:t>
                  </w:r>
                </w:p>
              </w:tc>
              <w:tc>
                <w:tcPr>
                  <w:tcW w:w="4333" w:type="pct"/>
                  <w:gridSpan w:val="10"/>
                  <w:tcBorders>
                    <w:tl2br w:val="nil"/>
                    <w:tr2bl w:val="nil"/>
                  </w:tcBorders>
                  <w:vAlign w:val="center"/>
                </w:tcPr>
                <w:p>
                  <w:pPr>
                    <w:spacing w:line="300" w:lineRule="exact"/>
                    <w:jc w:val="center"/>
                    <w:rPr>
                      <w:color w:val="auto"/>
                      <w:szCs w:val="21"/>
                    </w:rPr>
                  </w:pPr>
                  <w:r>
                    <w:rPr>
                      <w:color w:val="auto"/>
                      <w:szCs w:val="21"/>
                    </w:rPr>
                    <w:t>噪声预测值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66" w:type="pct"/>
                  <w:vMerge w:val="continue"/>
                  <w:tcBorders>
                    <w:tl2br w:val="nil"/>
                    <w:tr2bl w:val="nil"/>
                  </w:tcBorders>
                  <w:vAlign w:val="center"/>
                </w:tcPr>
                <w:p>
                  <w:pPr>
                    <w:spacing w:line="300" w:lineRule="exact"/>
                    <w:jc w:val="center"/>
                    <w:rPr>
                      <w:color w:val="auto"/>
                      <w:szCs w:val="21"/>
                    </w:rPr>
                  </w:pPr>
                </w:p>
              </w:tc>
              <w:tc>
                <w:tcPr>
                  <w:tcW w:w="377" w:type="pct"/>
                  <w:tcBorders>
                    <w:tl2br w:val="nil"/>
                    <w:tr2bl w:val="nil"/>
                  </w:tcBorders>
                  <w:vAlign w:val="center"/>
                </w:tcPr>
                <w:p>
                  <w:pPr>
                    <w:spacing w:line="300" w:lineRule="exact"/>
                    <w:jc w:val="center"/>
                    <w:rPr>
                      <w:color w:val="auto"/>
                      <w:szCs w:val="21"/>
                    </w:rPr>
                  </w:pPr>
                  <w:r>
                    <w:rPr>
                      <w:color w:val="auto"/>
                      <w:szCs w:val="21"/>
                    </w:rPr>
                    <w:t>5m</w:t>
                  </w:r>
                </w:p>
              </w:tc>
              <w:tc>
                <w:tcPr>
                  <w:tcW w:w="400" w:type="pct"/>
                  <w:tcBorders>
                    <w:tl2br w:val="nil"/>
                    <w:tr2bl w:val="nil"/>
                  </w:tcBorders>
                  <w:vAlign w:val="center"/>
                </w:tcPr>
                <w:p>
                  <w:pPr>
                    <w:spacing w:line="300" w:lineRule="exact"/>
                    <w:jc w:val="center"/>
                    <w:rPr>
                      <w:color w:val="auto"/>
                      <w:szCs w:val="21"/>
                    </w:rPr>
                  </w:pPr>
                  <w:r>
                    <w:rPr>
                      <w:color w:val="auto"/>
                      <w:szCs w:val="21"/>
                    </w:rPr>
                    <w:t>10m</w:t>
                  </w:r>
                </w:p>
              </w:tc>
              <w:tc>
                <w:tcPr>
                  <w:tcW w:w="424" w:type="pct"/>
                  <w:tcBorders>
                    <w:tl2br w:val="nil"/>
                    <w:tr2bl w:val="nil"/>
                  </w:tcBorders>
                  <w:vAlign w:val="center"/>
                </w:tcPr>
                <w:p>
                  <w:pPr>
                    <w:spacing w:line="300" w:lineRule="exact"/>
                    <w:jc w:val="center"/>
                    <w:rPr>
                      <w:color w:val="auto"/>
                      <w:szCs w:val="21"/>
                    </w:rPr>
                  </w:pPr>
                  <w:r>
                    <w:rPr>
                      <w:color w:val="auto"/>
                      <w:szCs w:val="21"/>
                    </w:rPr>
                    <w:t>20m</w:t>
                  </w:r>
                </w:p>
              </w:tc>
              <w:tc>
                <w:tcPr>
                  <w:tcW w:w="440" w:type="pct"/>
                  <w:tcBorders>
                    <w:tl2br w:val="nil"/>
                    <w:tr2bl w:val="nil"/>
                  </w:tcBorders>
                  <w:vAlign w:val="center"/>
                </w:tcPr>
                <w:p>
                  <w:pPr>
                    <w:spacing w:line="300" w:lineRule="exact"/>
                    <w:jc w:val="center"/>
                    <w:rPr>
                      <w:color w:val="auto"/>
                      <w:szCs w:val="21"/>
                    </w:rPr>
                  </w:pPr>
                  <w:r>
                    <w:rPr>
                      <w:color w:val="auto"/>
                      <w:szCs w:val="21"/>
                    </w:rPr>
                    <w:t>40m</w:t>
                  </w:r>
                </w:p>
              </w:tc>
              <w:tc>
                <w:tcPr>
                  <w:tcW w:w="424" w:type="pct"/>
                  <w:tcBorders>
                    <w:tl2br w:val="nil"/>
                    <w:tr2bl w:val="nil"/>
                  </w:tcBorders>
                  <w:vAlign w:val="center"/>
                </w:tcPr>
                <w:p>
                  <w:pPr>
                    <w:spacing w:line="300" w:lineRule="exact"/>
                    <w:jc w:val="center"/>
                    <w:rPr>
                      <w:color w:val="auto"/>
                      <w:szCs w:val="21"/>
                    </w:rPr>
                  </w:pPr>
                  <w:r>
                    <w:rPr>
                      <w:color w:val="auto"/>
                      <w:szCs w:val="21"/>
                    </w:rPr>
                    <w:t>60m</w:t>
                  </w:r>
                </w:p>
              </w:tc>
              <w:tc>
                <w:tcPr>
                  <w:tcW w:w="445" w:type="pct"/>
                  <w:tcBorders>
                    <w:tl2br w:val="nil"/>
                    <w:tr2bl w:val="nil"/>
                  </w:tcBorders>
                  <w:vAlign w:val="center"/>
                </w:tcPr>
                <w:p>
                  <w:pPr>
                    <w:spacing w:line="300" w:lineRule="exact"/>
                    <w:jc w:val="center"/>
                    <w:rPr>
                      <w:color w:val="auto"/>
                      <w:szCs w:val="21"/>
                    </w:rPr>
                  </w:pPr>
                  <w:r>
                    <w:rPr>
                      <w:color w:val="auto"/>
                      <w:szCs w:val="21"/>
                    </w:rPr>
                    <w:t>100m</w:t>
                  </w:r>
                </w:p>
              </w:tc>
              <w:tc>
                <w:tcPr>
                  <w:tcW w:w="454" w:type="pct"/>
                  <w:tcBorders>
                    <w:tl2br w:val="nil"/>
                    <w:tr2bl w:val="nil"/>
                  </w:tcBorders>
                  <w:vAlign w:val="center"/>
                </w:tcPr>
                <w:p>
                  <w:pPr>
                    <w:spacing w:line="300" w:lineRule="exact"/>
                    <w:jc w:val="center"/>
                    <w:rPr>
                      <w:color w:val="auto"/>
                      <w:szCs w:val="21"/>
                    </w:rPr>
                  </w:pPr>
                  <w:r>
                    <w:rPr>
                      <w:color w:val="auto"/>
                      <w:szCs w:val="21"/>
                    </w:rPr>
                    <w:t>150m</w:t>
                  </w:r>
                </w:p>
              </w:tc>
              <w:tc>
                <w:tcPr>
                  <w:tcW w:w="454" w:type="pct"/>
                  <w:tcBorders>
                    <w:tl2br w:val="nil"/>
                    <w:tr2bl w:val="nil"/>
                  </w:tcBorders>
                  <w:vAlign w:val="center"/>
                </w:tcPr>
                <w:p>
                  <w:pPr>
                    <w:spacing w:line="300" w:lineRule="exact"/>
                    <w:jc w:val="center"/>
                    <w:rPr>
                      <w:color w:val="auto"/>
                      <w:szCs w:val="21"/>
                    </w:rPr>
                  </w:pPr>
                  <w:r>
                    <w:rPr>
                      <w:color w:val="auto"/>
                      <w:szCs w:val="21"/>
                    </w:rPr>
                    <w:t>200m</w:t>
                  </w:r>
                </w:p>
              </w:tc>
              <w:tc>
                <w:tcPr>
                  <w:tcW w:w="461" w:type="pct"/>
                  <w:tcBorders>
                    <w:tl2br w:val="nil"/>
                    <w:tr2bl w:val="nil"/>
                  </w:tcBorders>
                  <w:vAlign w:val="center"/>
                </w:tcPr>
                <w:p>
                  <w:pPr>
                    <w:spacing w:line="300" w:lineRule="exact"/>
                    <w:jc w:val="center"/>
                    <w:rPr>
                      <w:color w:val="auto"/>
                      <w:szCs w:val="21"/>
                    </w:rPr>
                  </w:pPr>
                  <w:r>
                    <w:rPr>
                      <w:color w:val="auto"/>
                      <w:szCs w:val="21"/>
                    </w:rPr>
                    <w:t>300m</w:t>
                  </w:r>
                </w:p>
              </w:tc>
              <w:tc>
                <w:tcPr>
                  <w:tcW w:w="449" w:type="pct"/>
                  <w:tcBorders>
                    <w:tl2br w:val="nil"/>
                    <w:tr2bl w:val="nil"/>
                  </w:tcBorders>
                  <w:vAlign w:val="center"/>
                </w:tcPr>
                <w:p>
                  <w:pPr>
                    <w:spacing w:line="300" w:lineRule="exact"/>
                    <w:jc w:val="center"/>
                    <w:rPr>
                      <w:color w:val="auto"/>
                      <w:szCs w:val="21"/>
                    </w:rPr>
                  </w:pPr>
                  <w:r>
                    <w:rPr>
                      <w:color w:val="auto"/>
                      <w:szCs w:val="21"/>
                    </w:rPr>
                    <w:t>400m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6" w:type="pct"/>
                  <w:tcBorders>
                    <w:tl2br w:val="nil"/>
                    <w:tr2bl w:val="nil"/>
                  </w:tcBorders>
                  <w:vAlign w:val="center"/>
                </w:tcPr>
                <w:p>
                  <w:pPr>
                    <w:spacing w:line="300" w:lineRule="exact"/>
                    <w:jc w:val="center"/>
                    <w:rPr>
                      <w:color w:val="auto"/>
                      <w:szCs w:val="21"/>
                    </w:rPr>
                  </w:pPr>
                  <w:r>
                    <w:rPr>
                      <w:color w:val="auto"/>
                      <w:szCs w:val="21"/>
                    </w:rPr>
                    <w:t>推土机</w:t>
                  </w:r>
                </w:p>
              </w:tc>
              <w:tc>
                <w:tcPr>
                  <w:tcW w:w="377" w:type="pct"/>
                  <w:tcBorders>
                    <w:tl2br w:val="nil"/>
                    <w:tr2bl w:val="nil"/>
                  </w:tcBorders>
                  <w:vAlign w:val="center"/>
                </w:tcPr>
                <w:p>
                  <w:pPr>
                    <w:spacing w:line="300" w:lineRule="exact"/>
                    <w:jc w:val="center"/>
                    <w:rPr>
                      <w:color w:val="auto"/>
                      <w:szCs w:val="21"/>
                    </w:rPr>
                  </w:pPr>
                  <w:r>
                    <w:rPr>
                      <w:color w:val="auto"/>
                      <w:szCs w:val="21"/>
                    </w:rPr>
                    <w:t>88</w:t>
                  </w:r>
                </w:p>
              </w:tc>
              <w:tc>
                <w:tcPr>
                  <w:tcW w:w="400" w:type="pct"/>
                  <w:tcBorders>
                    <w:tl2br w:val="nil"/>
                    <w:tr2bl w:val="nil"/>
                  </w:tcBorders>
                  <w:vAlign w:val="center"/>
                </w:tcPr>
                <w:p>
                  <w:pPr>
                    <w:spacing w:line="300" w:lineRule="exact"/>
                    <w:jc w:val="center"/>
                    <w:rPr>
                      <w:color w:val="auto"/>
                      <w:szCs w:val="21"/>
                    </w:rPr>
                  </w:pPr>
                  <w:r>
                    <w:rPr>
                      <w:color w:val="auto"/>
                      <w:szCs w:val="21"/>
                    </w:rPr>
                    <w:t>82</w:t>
                  </w:r>
                </w:p>
              </w:tc>
              <w:tc>
                <w:tcPr>
                  <w:tcW w:w="424" w:type="pct"/>
                  <w:tcBorders>
                    <w:tl2br w:val="nil"/>
                    <w:tr2bl w:val="nil"/>
                  </w:tcBorders>
                  <w:vAlign w:val="center"/>
                </w:tcPr>
                <w:p>
                  <w:pPr>
                    <w:spacing w:line="300" w:lineRule="exact"/>
                    <w:jc w:val="center"/>
                    <w:rPr>
                      <w:color w:val="auto"/>
                      <w:szCs w:val="21"/>
                    </w:rPr>
                  </w:pPr>
                  <w:r>
                    <w:rPr>
                      <w:color w:val="auto"/>
                      <w:szCs w:val="21"/>
                    </w:rPr>
                    <w:t>76</w:t>
                  </w:r>
                </w:p>
              </w:tc>
              <w:tc>
                <w:tcPr>
                  <w:tcW w:w="440" w:type="pct"/>
                  <w:tcBorders>
                    <w:tl2br w:val="nil"/>
                    <w:tr2bl w:val="nil"/>
                  </w:tcBorders>
                  <w:vAlign w:val="center"/>
                </w:tcPr>
                <w:p>
                  <w:pPr>
                    <w:spacing w:line="300" w:lineRule="exact"/>
                    <w:jc w:val="center"/>
                    <w:rPr>
                      <w:color w:val="auto"/>
                      <w:szCs w:val="21"/>
                    </w:rPr>
                  </w:pPr>
                  <w:r>
                    <w:rPr>
                      <w:color w:val="auto"/>
                      <w:szCs w:val="21"/>
                    </w:rPr>
                    <w:t>70</w:t>
                  </w:r>
                </w:p>
              </w:tc>
              <w:tc>
                <w:tcPr>
                  <w:tcW w:w="424" w:type="pct"/>
                  <w:tcBorders>
                    <w:tl2br w:val="nil"/>
                    <w:tr2bl w:val="nil"/>
                  </w:tcBorders>
                  <w:vAlign w:val="center"/>
                </w:tcPr>
                <w:p>
                  <w:pPr>
                    <w:spacing w:line="300" w:lineRule="exact"/>
                    <w:jc w:val="center"/>
                    <w:rPr>
                      <w:color w:val="auto"/>
                      <w:szCs w:val="21"/>
                    </w:rPr>
                  </w:pPr>
                  <w:r>
                    <w:rPr>
                      <w:color w:val="auto"/>
                      <w:szCs w:val="21"/>
                    </w:rPr>
                    <w:t>66.4</w:t>
                  </w:r>
                </w:p>
              </w:tc>
              <w:tc>
                <w:tcPr>
                  <w:tcW w:w="445" w:type="pct"/>
                  <w:tcBorders>
                    <w:tl2br w:val="nil"/>
                    <w:tr2bl w:val="nil"/>
                  </w:tcBorders>
                  <w:vAlign w:val="center"/>
                </w:tcPr>
                <w:p>
                  <w:pPr>
                    <w:spacing w:line="300" w:lineRule="exact"/>
                    <w:jc w:val="center"/>
                    <w:rPr>
                      <w:color w:val="auto"/>
                      <w:szCs w:val="21"/>
                    </w:rPr>
                  </w:pPr>
                  <w:r>
                    <w:rPr>
                      <w:color w:val="auto"/>
                      <w:szCs w:val="21"/>
                    </w:rPr>
                    <w:t>62</w:t>
                  </w:r>
                </w:p>
              </w:tc>
              <w:tc>
                <w:tcPr>
                  <w:tcW w:w="454" w:type="pct"/>
                  <w:tcBorders>
                    <w:tl2br w:val="nil"/>
                    <w:tr2bl w:val="nil"/>
                  </w:tcBorders>
                  <w:vAlign w:val="center"/>
                </w:tcPr>
                <w:p>
                  <w:pPr>
                    <w:spacing w:line="300" w:lineRule="exact"/>
                    <w:jc w:val="center"/>
                    <w:rPr>
                      <w:color w:val="auto"/>
                      <w:szCs w:val="21"/>
                    </w:rPr>
                  </w:pPr>
                  <w:r>
                    <w:rPr>
                      <w:color w:val="auto"/>
                      <w:szCs w:val="21"/>
                    </w:rPr>
                    <w:t>58.5</w:t>
                  </w:r>
                </w:p>
              </w:tc>
              <w:tc>
                <w:tcPr>
                  <w:tcW w:w="454" w:type="pct"/>
                  <w:tcBorders>
                    <w:tl2br w:val="nil"/>
                    <w:tr2bl w:val="nil"/>
                  </w:tcBorders>
                  <w:vAlign w:val="center"/>
                </w:tcPr>
                <w:p>
                  <w:pPr>
                    <w:spacing w:line="300" w:lineRule="exact"/>
                    <w:jc w:val="center"/>
                    <w:rPr>
                      <w:color w:val="auto"/>
                      <w:szCs w:val="21"/>
                    </w:rPr>
                  </w:pPr>
                  <w:r>
                    <w:rPr>
                      <w:color w:val="auto"/>
                      <w:szCs w:val="21"/>
                    </w:rPr>
                    <w:t>56</w:t>
                  </w:r>
                </w:p>
              </w:tc>
              <w:tc>
                <w:tcPr>
                  <w:tcW w:w="461" w:type="pct"/>
                  <w:tcBorders>
                    <w:tl2br w:val="nil"/>
                    <w:tr2bl w:val="nil"/>
                  </w:tcBorders>
                  <w:vAlign w:val="center"/>
                </w:tcPr>
                <w:p>
                  <w:pPr>
                    <w:spacing w:line="300" w:lineRule="exact"/>
                    <w:jc w:val="center"/>
                    <w:rPr>
                      <w:color w:val="auto"/>
                      <w:szCs w:val="21"/>
                    </w:rPr>
                  </w:pPr>
                  <w:r>
                    <w:rPr>
                      <w:color w:val="auto"/>
                      <w:szCs w:val="21"/>
                    </w:rPr>
                    <w:t>51.4</w:t>
                  </w:r>
                </w:p>
              </w:tc>
              <w:tc>
                <w:tcPr>
                  <w:tcW w:w="449" w:type="pct"/>
                  <w:tcBorders>
                    <w:tl2br w:val="nil"/>
                    <w:tr2bl w:val="nil"/>
                  </w:tcBorders>
                  <w:vAlign w:val="center"/>
                </w:tcPr>
                <w:p>
                  <w:pPr>
                    <w:spacing w:line="300" w:lineRule="exact"/>
                    <w:jc w:val="center"/>
                    <w:rPr>
                      <w:color w:val="auto"/>
                      <w:szCs w:val="21"/>
                    </w:rPr>
                  </w:pPr>
                  <w:r>
                    <w:rPr>
                      <w:color w:val="auto"/>
                      <w:szCs w:val="21"/>
                    </w:rPr>
                    <w:t>48.9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6" w:type="pct"/>
                  <w:tcBorders>
                    <w:tl2br w:val="nil"/>
                    <w:tr2bl w:val="nil"/>
                  </w:tcBorders>
                  <w:vAlign w:val="center"/>
                </w:tcPr>
                <w:p>
                  <w:pPr>
                    <w:spacing w:line="300" w:lineRule="exact"/>
                    <w:jc w:val="center"/>
                    <w:rPr>
                      <w:color w:val="auto"/>
                      <w:szCs w:val="21"/>
                    </w:rPr>
                  </w:pPr>
                  <w:r>
                    <w:rPr>
                      <w:color w:val="auto"/>
                      <w:szCs w:val="21"/>
                    </w:rPr>
                    <w:t>装载机</w:t>
                  </w:r>
                </w:p>
              </w:tc>
              <w:tc>
                <w:tcPr>
                  <w:tcW w:w="377" w:type="pct"/>
                  <w:tcBorders>
                    <w:tl2br w:val="nil"/>
                    <w:tr2bl w:val="nil"/>
                  </w:tcBorders>
                  <w:vAlign w:val="center"/>
                </w:tcPr>
                <w:p>
                  <w:pPr>
                    <w:spacing w:line="300" w:lineRule="exact"/>
                    <w:jc w:val="center"/>
                    <w:rPr>
                      <w:color w:val="auto"/>
                      <w:szCs w:val="21"/>
                    </w:rPr>
                  </w:pPr>
                  <w:r>
                    <w:rPr>
                      <w:color w:val="auto"/>
                      <w:szCs w:val="21"/>
                    </w:rPr>
                    <w:t>83</w:t>
                  </w:r>
                </w:p>
              </w:tc>
              <w:tc>
                <w:tcPr>
                  <w:tcW w:w="400" w:type="pct"/>
                  <w:tcBorders>
                    <w:tl2br w:val="nil"/>
                    <w:tr2bl w:val="nil"/>
                  </w:tcBorders>
                  <w:vAlign w:val="center"/>
                </w:tcPr>
                <w:p>
                  <w:pPr>
                    <w:spacing w:line="300" w:lineRule="exact"/>
                    <w:jc w:val="center"/>
                    <w:rPr>
                      <w:color w:val="auto"/>
                      <w:szCs w:val="21"/>
                    </w:rPr>
                  </w:pPr>
                  <w:r>
                    <w:rPr>
                      <w:color w:val="auto"/>
                      <w:szCs w:val="21"/>
                    </w:rPr>
                    <w:t>77</w:t>
                  </w:r>
                </w:p>
              </w:tc>
              <w:tc>
                <w:tcPr>
                  <w:tcW w:w="424" w:type="pct"/>
                  <w:tcBorders>
                    <w:tl2br w:val="nil"/>
                    <w:tr2bl w:val="nil"/>
                  </w:tcBorders>
                  <w:vAlign w:val="center"/>
                </w:tcPr>
                <w:p>
                  <w:pPr>
                    <w:spacing w:line="300" w:lineRule="exact"/>
                    <w:jc w:val="center"/>
                    <w:rPr>
                      <w:color w:val="auto"/>
                      <w:szCs w:val="21"/>
                    </w:rPr>
                  </w:pPr>
                  <w:r>
                    <w:rPr>
                      <w:color w:val="auto"/>
                      <w:szCs w:val="21"/>
                    </w:rPr>
                    <w:t>71</w:t>
                  </w:r>
                </w:p>
              </w:tc>
              <w:tc>
                <w:tcPr>
                  <w:tcW w:w="440" w:type="pct"/>
                  <w:tcBorders>
                    <w:tl2br w:val="nil"/>
                    <w:tr2bl w:val="nil"/>
                  </w:tcBorders>
                  <w:vAlign w:val="center"/>
                </w:tcPr>
                <w:p>
                  <w:pPr>
                    <w:spacing w:line="300" w:lineRule="exact"/>
                    <w:jc w:val="center"/>
                    <w:rPr>
                      <w:color w:val="auto"/>
                      <w:szCs w:val="21"/>
                    </w:rPr>
                  </w:pPr>
                  <w:r>
                    <w:rPr>
                      <w:color w:val="auto"/>
                      <w:szCs w:val="21"/>
                    </w:rPr>
                    <w:t>65</w:t>
                  </w:r>
                </w:p>
              </w:tc>
              <w:tc>
                <w:tcPr>
                  <w:tcW w:w="424" w:type="pct"/>
                  <w:tcBorders>
                    <w:tl2br w:val="nil"/>
                    <w:tr2bl w:val="nil"/>
                  </w:tcBorders>
                  <w:vAlign w:val="center"/>
                </w:tcPr>
                <w:p>
                  <w:pPr>
                    <w:spacing w:line="300" w:lineRule="exact"/>
                    <w:jc w:val="center"/>
                    <w:rPr>
                      <w:color w:val="auto"/>
                      <w:szCs w:val="21"/>
                    </w:rPr>
                  </w:pPr>
                  <w:r>
                    <w:rPr>
                      <w:color w:val="auto"/>
                      <w:szCs w:val="21"/>
                    </w:rPr>
                    <w:t>61.4</w:t>
                  </w:r>
                </w:p>
              </w:tc>
              <w:tc>
                <w:tcPr>
                  <w:tcW w:w="445" w:type="pct"/>
                  <w:tcBorders>
                    <w:tl2br w:val="nil"/>
                    <w:tr2bl w:val="nil"/>
                  </w:tcBorders>
                  <w:vAlign w:val="center"/>
                </w:tcPr>
                <w:p>
                  <w:pPr>
                    <w:spacing w:line="300" w:lineRule="exact"/>
                    <w:jc w:val="center"/>
                    <w:rPr>
                      <w:color w:val="auto"/>
                      <w:szCs w:val="21"/>
                    </w:rPr>
                  </w:pPr>
                  <w:r>
                    <w:rPr>
                      <w:color w:val="auto"/>
                      <w:szCs w:val="21"/>
                    </w:rPr>
                    <w:t>57</w:t>
                  </w:r>
                </w:p>
              </w:tc>
              <w:tc>
                <w:tcPr>
                  <w:tcW w:w="454" w:type="pct"/>
                  <w:tcBorders>
                    <w:tl2br w:val="nil"/>
                    <w:tr2bl w:val="nil"/>
                  </w:tcBorders>
                  <w:vAlign w:val="center"/>
                </w:tcPr>
                <w:p>
                  <w:pPr>
                    <w:spacing w:line="300" w:lineRule="exact"/>
                    <w:jc w:val="center"/>
                    <w:rPr>
                      <w:color w:val="auto"/>
                      <w:szCs w:val="21"/>
                    </w:rPr>
                  </w:pPr>
                  <w:r>
                    <w:rPr>
                      <w:color w:val="auto"/>
                      <w:szCs w:val="21"/>
                    </w:rPr>
                    <w:t>53.5</w:t>
                  </w:r>
                </w:p>
              </w:tc>
              <w:tc>
                <w:tcPr>
                  <w:tcW w:w="454" w:type="pct"/>
                  <w:tcBorders>
                    <w:tl2br w:val="nil"/>
                    <w:tr2bl w:val="nil"/>
                  </w:tcBorders>
                  <w:vAlign w:val="center"/>
                </w:tcPr>
                <w:p>
                  <w:pPr>
                    <w:spacing w:line="300" w:lineRule="exact"/>
                    <w:jc w:val="center"/>
                    <w:rPr>
                      <w:color w:val="auto"/>
                      <w:szCs w:val="21"/>
                    </w:rPr>
                  </w:pPr>
                  <w:r>
                    <w:rPr>
                      <w:color w:val="auto"/>
                      <w:szCs w:val="21"/>
                    </w:rPr>
                    <w:t>51</w:t>
                  </w:r>
                </w:p>
              </w:tc>
              <w:tc>
                <w:tcPr>
                  <w:tcW w:w="461" w:type="pct"/>
                  <w:tcBorders>
                    <w:tl2br w:val="nil"/>
                    <w:tr2bl w:val="nil"/>
                  </w:tcBorders>
                  <w:vAlign w:val="center"/>
                </w:tcPr>
                <w:p>
                  <w:pPr>
                    <w:spacing w:line="300" w:lineRule="exact"/>
                    <w:jc w:val="center"/>
                    <w:rPr>
                      <w:color w:val="auto"/>
                      <w:szCs w:val="21"/>
                    </w:rPr>
                  </w:pPr>
                  <w:r>
                    <w:rPr>
                      <w:color w:val="auto"/>
                      <w:szCs w:val="21"/>
                    </w:rPr>
                    <w:t>46.4</w:t>
                  </w:r>
                </w:p>
              </w:tc>
              <w:tc>
                <w:tcPr>
                  <w:tcW w:w="449" w:type="pct"/>
                  <w:tcBorders>
                    <w:tl2br w:val="nil"/>
                    <w:tr2bl w:val="nil"/>
                  </w:tcBorders>
                  <w:vAlign w:val="center"/>
                </w:tcPr>
                <w:p>
                  <w:pPr>
                    <w:spacing w:line="300" w:lineRule="exact"/>
                    <w:jc w:val="center"/>
                    <w:rPr>
                      <w:color w:val="auto"/>
                      <w:szCs w:val="21"/>
                    </w:rPr>
                  </w:pPr>
                  <w:r>
                    <w:rPr>
                      <w:color w:val="auto"/>
                      <w:szCs w:val="21"/>
                    </w:rPr>
                    <w:t>43.9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6" w:type="pct"/>
                  <w:tcBorders>
                    <w:tl2br w:val="nil"/>
                    <w:tr2bl w:val="nil"/>
                  </w:tcBorders>
                  <w:vAlign w:val="center"/>
                </w:tcPr>
                <w:p>
                  <w:pPr>
                    <w:spacing w:line="300" w:lineRule="exact"/>
                    <w:jc w:val="center"/>
                    <w:rPr>
                      <w:color w:val="auto"/>
                      <w:szCs w:val="21"/>
                    </w:rPr>
                  </w:pPr>
                  <w:r>
                    <w:rPr>
                      <w:color w:val="auto"/>
                      <w:szCs w:val="21"/>
                    </w:rPr>
                    <w:t>挖掘机</w:t>
                  </w:r>
                </w:p>
              </w:tc>
              <w:tc>
                <w:tcPr>
                  <w:tcW w:w="377" w:type="pct"/>
                  <w:tcBorders>
                    <w:tl2br w:val="nil"/>
                    <w:tr2bl w:val="nil"/>
                  </w:tcBorders>
                  <w:vAlign w:val="center"/>
                </w:tcPr>
                <w:p>
                  <w:pPr>
                    <w:spacing w:line="300" w:lineRule="exact"/>
                    <w:jc w:val="center"/>
                    <w:rPr>
                      <w:color w:val="auto"/>
                      <w:szCs w:val="21"/>
                    </w:rPr>
                  </w:pPr>
                  <w:r>
                    <w:rPr>
                      <w:color w:val="auto"/>
                      <w:szCs w:val="21"/>
                    </w:rPr>
                    <w:t>86</w:t>
                  </w:r>
                </w:p>
              </w:tc>
              <w:tc>
                <w:tcPr>
                  <w:tcW w:w="400" w:type="pct"/>
                  <w:tcBorders>
                    <w:tl2br w:val="nil"/>
                    <w:tr2bl w:val="nil"/>
                  </w:tcBorders>
                  <w:vAlign w:val="center"/>
                </w:tcPr>
                <w:p>
                  <w:pPr>
                    <w:spacing w:line="300" w:lineRule="exact"/>
                    <w:jc w:val="center"/>
                    <w:rPr>
                      <w:color w:val="auto"/>
                      <w:szCs w:val="21"/>
                    </w:rPr>
                  </w:pPr>
                  <w:r>
                    <w:rPr>
                      <w:color w:val="auto"/>
                      <w:szCs w:val="21"/>
                    </w:rPr>
                    <w:t>80</w:t>
                  </w:r>
                </w:p>
              </w:tc>
              <w:tc>
                <w:tcPr>
                  <w:tcW w:w="424" w:type="pct"/>
                  <w:tcBorders>
                    <w:tl2br w:val="nil"/>
                    <w:tr2bl w:val="nil"/>
                  </w:tcBorders>
                  <w:vAlign w:val="center"/>
                </w:tcPr>
                <w:p>
                  <w:pPr>
                    <w:spacing w:line="300" w:lineRule="exact"/>
                    <w:jc w:val="center"/>
                    <w:rPr>
                      <w:color w:val="auto"/>
                      <w:szCs w:val="21"/>
                    </w:rPr>
                  </w:pPr>
                  <w:r>
                    <w:rPr>
                      <w:color w:val="auto"/>
                      <w:szCs w:val="21"/>
                    </w:rPr>
                    <w:t>74</w:t>
                  </w:r>
                </w:p>
              </w:tc>
              <w:tc>
                <w:tcPr>
                  <w:tcW w:w="440" w:type="pct"/>
                  <w:tcBorders>
                    <w:tl2br w:val="nil"/>
                    <w:tr2bl w:val="nil"/>
                  </w:tcBorders>
                  <w:vAlign w:val="center"/>
                </w:tcPr>
                <w:p>
                  <w:pPr>
                    <w:spacing w:line="300" w:lineRule="exact"/>
                    <w:jc w:val="center"/>
                    <w:rPr>
                      <w:color w:val="auto"/>
                      <w:szCs w:val="21"/>
                    </w:rPr>
                  </w:pPr>
                  <w:r>
                    <w:rPr>
                      <w:color w:val="auto"/>
                      <w:szCs w:val="21"/>
                    </w:rPr>
                    <w:t>68</w:t>
                  </w:r>
                </w:p>
              </w:tc>
              <w:tc>
                <w:tcPr>
                  <w:tcW w:w="424" w:type="pct"/>
                  <w:tcBorders>
                    <w:tl2br w:val="nil"/>
                    <w:tr2bl w:val="nil"/>
                  </w:tcBorders>
                  <w:vAlign w:val="center"/>
                </w:tcPr>
                <w:p>
                  <w:pPr>
                    <w:spacing w:line="300" w:lineRule="exact"/>
                    <w:jc w:val="center"/>
                    <w:rPr>
                      <w:color w:val="auto"/>
                      <w:szCs w:val="21"/>
                    </w:rPr>
                  </w:pPr>
                  <w:r>
                    <w:rPr>
                      <w:color w:val="auto"/>
                      <w:szCs w:val="21"/>
                    </w:rPr>
                    <w:t>64.4</w:t>
                  </w:r>
                </w:p>
              </w:tc>
              <w:tc>
                <w:tcPr>
                  <w:tcW w:w="445" w:type="pct"/>
                  <w:tcBorders>
                    <w:tl2br w:val="nil"/>
                    <w:tr2bl w:val="nil"/>
                  </w:tcBorders>
                  <w:vAlign w:val="center"/>
                </w:tcPr>
                <w:p>
                  <w:pPr>
                    <w:spacing w:line="300" w:lineRule="exact"/>
                    <w:jc w:val="center"/>
                    <w:rPr>
                      <w:color w:val="auto"/>
                      <w:szCs w:val="21"/>
                    </w:rPr>
                  </w:pPr>
                  <w:r>
                    <w:rPr>
                      <w:color w:val="auto"/>
                      <w:szCs w:val="21"/>
                    </w:rPr>
                    <w:t>60</w:t>
                  </w:r>
                </w:p>
              </w:tc>
              <w:tc>
                <w:tcPr>
                  <w:tcW w:w="454" w:type="pct"/>
                  <w:tcBorders>
                    <w:tl2br w:val="nil"/>
                    <w:tr2bl w:val="nil"/>
                  </w:tcBorders>
                  <w:vAlign w:val="center"/>
                </w:tcPr>
                <w:p>
                  <w:pPr>
                    <w:spacing w:line="300" w:lineRule="exact"/>
                    <w:jc w:val="center"/>
                    <w:rPr>
                      <w:color w:val="auto"/>
                      <w:szCs w:val="21"/>
                    </w:rPr>
                  </w:pPr>
                  <w:r>
                    <w:rPr>
                      <w:color w:val="auto"/>
                      <w:szCs w:val="21"/>
                    </w:rPr>
                    <w:t>56.5</w:t>
                  </w:r>
                </w:p>
              </w:tc>
              <w:tc>
                <w:tcPr>
                  <w:tcW w:w="454" w:type="pct"/>
                  <w:tcBorders>
                    <w:tl2br w:val="nil"/>
                    <w:tr2bl w:val="nil"/>
                  </w:tcBorders>
                  <w:vAlign w:val="center"/>
                </w:tcPr>
                <w:p>
                  <w:pPr>
                    <w:spacing w:line="300" w:lineRule="exact"/>
                    <w:jc w:val="center"/>
                    <w:rPr>
                      <w:color w:val="auto"/>
                      <w:szCs w:val="21"/>
                    </w:rPr>
                  </w:pPr>
                  <w:r>
                    <w:rPr>
                      <w:color w:val="auto"/>
                      <w:szCs w:val="21"/>
                    </w:rPr>
                    <w:t>54</w:t>
                  </w:r>
                </w:p>
              </w:tc>
              <w:tc>
                <w:tcPr>
                  <w:tcW w:w="461" w:type="pct"/>
                  <w:tcBorders>
                    <w:tl2br w:val="nil"/>
                    <w:tr2bl w:val="nil"/>
                  </w:tcBorders>
                  <w:vAlign w:val="center"/>
                </w:tcPr>
                <w:p>
                  <w:pPr>
                    <w:spacing w:line="300" w:lineRule="exact"/>
                    <w:jc w:val="center"/>
                    <w:rPr>
                      <w:color w:val="auto"/>
                      <w:szCs w:val="21"/>
                    </w:rPr>
                  </w:pPr>
                  <w:r>
                    <w:rPr>
                      <w:color w:val="auto"/>
                      <w:szCs w:val="21"/>
                    </w:rPr>
                    <w:t>49.4</w:t>
                  </w:r>
                </w:p>
              </w:tc>
              <w:tc>
                <w:tcPr>
                  <w:tcW w:w="449" w:type="pct"/>
                  <w:tcBorders>
                    <w:tl2br w:val="nil"/>
                    <w:tr2bl w:val="nil"/>
                  </w:tcBorders>
                  <w:vAlign w:val="center"/>
                </w:tcPr>
                <w:p>
                  <w:pPr>
                    <w:spacing w:line="300" w:lineRule="exact"/>
                    <w:jc w:val="center"/>
                    <w:rPr>
                      <w:color w:val="auto"/>
                      <w:szCs w:val="21"/>
                    </w:rPr>
                  </w:pPr>
                  <w:r>
                    <w:rPr>
                      <w:color w:val="auto"/>
                      <w:szCs w:val="21"/>
                    </w:rPr>
                    <w:t>46.9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6" w:type="pct"/>
                  <w:tcBorders>
                    <w:tl2br w:val="nil"/>
                    <w:tr2bl w:val="nil"/>
                  </w:tcBorders>
                  <w:vAlign w:val="center"/>
                </w:tcPr>
                <w:p>
                  <w:pPr>
                    <w:spacing w:line="300" w:lineRule="exact"/>
                    <w:jc w:val="center"/>
                    <w:rPr>
                      <w:color w:val="auto"/>
                      <w:szCs w:val="21"/>
                    </w:rPr>
                  </w:pPr>
                  <w:r>
                    <w:rPr>
                      <w:color w:val="auto"/>
                      <w:szCs w:val="21"/>
                    </w:rPr>
                    <w:t>卡车</w:t>
                  </w:r>
                </w:p>
              </w:tc>
              <w:tc>
                <w:tcPr>
                  <w:tcW w:w="377" w:type="pct"/>
                  <w:tcBorders>
                    <w:tl2br w:val="nil"/>
                    <w:tr2bl w:val="nil"/>
                  </w:tcBorders>
                  <w:vAlign w:val="center"/>
                </w:tcPr>
                <w:p>
                  <w:pPr>
                    <w:spacing w:line="300" w:lineRule="exact"/>
                    <w:jc w:val="center"/>
                    <w:rPr>
                      <w:color w:val="auto"/>
                      <w:szCs w:val="21"/>
                    </w:rPr>
                  </w:pPr>
                  <w:r>
                    <w:rPr>
                      <w:color w:val="auto"/>
                      <w:szCs w:val="21"/>
                    </w:rPr>
                    <w:t>80</w:t>
                  </w:r>
                </w:p>
              </w:tc>
              <w:tc>
                <w:tcPr>
                  <w:tcW w:w="400" w:type="pct"/>
                  <w:tcBorders>
                    <w:tl2br w:val="nil"/>
                    <w:tr2bl w:val="nil"/>
                  </w:tcBorders>
                  <w:vAlign w:val="center"/>
                </w:tcPr>
                <w:p>
                  <w:pPr>
                    <w:spacing w:line="300" w:lineRule="exact"/>
                    <w:jc w:val="center"/>
                    <w:rPr>
                      <w:color w:val="auto"/>
                      <w:szCs w:val="21"/>
                    </w:rPr>
                  </w:pPr>
                  <w:r>
                    <w:rPr>
                      <w:color w:val="auto"/>
                      <w:szCs w:val="21"/>
                    </w:rPr>
                    <w:t>74</w:t>
                  </w:r>
                </w:p>
              </w:tc>
              <w:tc>
                <w:tcPr>
                  <w:tcW w:w="424" w:type="pct"/>
                  <w:tcBorders>
                    <w:tl2br w:val="nil"/>
                    <w:tr2bl w:val="nil"/>
                  </w:tcBorders>
                  <w:vAlign w:val="center"/>
                </w:tcPr>
                <w:p>
                  <w:pPr>
                    <w:spacing w:line="300" w:lineRule="exact"/>
                    <w:jc w:val="center"/>
                    <w:rPr>
                      <w:color w:val="auto"/>
                      <w:szCs w:val="21"/>
                    </w:rPr>
                  </w:pPr>
                  <w:r>
                    <w:rPr>
                      <w:color w:val="auto"/>
                      <w:szCs w:val="21"/>
                    </w:rPr>
                    <w:t>68</w:t>
                  </w:r>
                </w:p>
              </w:tc>
              <w:tc>
                <w:tcPr>
                  <w:tcW w:w="440" w:type="pct"/>
                  <w:tcBorders>
                    <w:tl2br w:val="nil"/>
                    <w:tr2bl w:val="nil"/>
                  </w:tcBorders>
                  <w:vAlign w:val="center"/>
                </w:tcPr>
                <w:p>
                  <w:pPr>
                    <w:spacing w:line="300" w:lineRule="exact"/>
                    <w:jc w:val="center"/>
                    <w:rPr>
                      <w:color w:val="auto"/>
                      <w:szCs w:val="21"/>
                    </w:rPr>
                  </w:pPr>
                  <w:r>
                    <w:rPr>
                      <w:color w:val="auto"/>
                      <w:szCs w:val="21"/>
                    </w:rPr>
                    <w:t>62</w:t>
                  </w:r>
                </w:p>
              </w:tc>
              <w:tc>
                <w:tcPr>
                  <w:tcW w:w="424" w:type="pct"/>
                  <w:tcBorders>
                    <w:tl2br w:val="nil"/>
                    <w:tr2bl w:val="nil"/>
                  </w:tcBorders>
                  <w:vAlign w:val="center"/>
                </w:tcPr>
                <w:p>
                  <w:pPr>
                    <w:spacing w:line="300" w:lineRule="exact"/>
                    <w:jc w:val="center"/>
                    <w:rPr>
                      <w:color w:val="auto"/>
                      <w:szCs w:val="21"/>
                    </w:rPr>
                  </w:pPr>
                  <w:r>
                    <w:rPr>
                      <w:color w:val="auto"/>
                      <w:szCs w:val="21"/>
                    </w:rPr>
                    <w:t>58.4</w:t>
                  </w:r>
                </w:p>
              </w:tc>
              <w:tc>
                <w:tcPr>
                  <w:tcW w:w="445" w:type="pct"/>
                  <w:tcBorders>
                    <w:tl2br w:val="nil"/>
                    <w:tr2bl w:val="nil"/>
                  </w:tcBorders>
                  <w:vAlign w:val="center"/>
                </w:tcPr>
                <w:p>
                  <w:pPr>
                    <w:spacing w:line="300" w:lineRule="exact"/>
                    <w:jc w:val="center"/>
                    <w:rPr>
                      <w:color w:val="auto"/>
                      <w:szCs w:val="21"/>
                    </w:rPr>
                  </w:pPr>
                  <w:r>
                    <w:rPr>
                      <w:color w:val="auto"/>
                      <w:szCs w:val="21"/>
                    </w:rPr>
                    <w:t>54</w:t>
                  </w:r>
                </w:p>
              </w:tc>
              <w:tc>
                <w:tcPr>
                  <w:tcW w:w="454" w:type="pct"/>
                  <w:tcBorders>
                    <w:tl2br w:val="nil"/>
                    <w:tr2bl w:val="nil"/>
                  </w:tcBorders>
                  <w:vAlign w:val="center"/>
                </w:tcPr>
                <w:p>
                  <w:pPr>
                    <w:spacing w:line="300" w:lineRule="exact"/>
                    <w:jc w:val="center"/>
                    <w:rPr>
                      <w:color w:val="auto"/>
                      <w:szCs w:val="21"/>
                    </w:rPr>
                  </w:pPr>
                  <w:r>
                    <w:rPr>
                      <w:color w:val="auto"/>
                      <w:szCs w:val="21"/>
                    </w:rPr>
                    <w:t>50.5</w:t>
                  </w:r>
                </w:p>
              </w:tc>
              <w:tc>
                <w:tcPr>
                  <w:tcW w:w="454" w:type="pct"/>
                  <w:tcBorders>
                    <w:tl2br w:val="nil"/>
                    <w:tr2bl w:val="nil"/>
                  </w:tcBorders>
                  <w:vAlign w:val="center"/>
                </w:tcPr>
                <w:p>
                  <w:pPr>
                    <w:spacing w:line="300" w:lineRule="exact"/>
                    <w:jc w:val="center"/>
                    <w:rPr>
                      <w:color w:val="auto"/>
                      <w:szCs w:val="21"/>
                    </w:rPr>
                  </w:pPr>
                  <w:r>
                    <w:rPr>
                      <w:color w:val="auto"/>
                      <w:szCs w:val="21"/>
                    </w:rPr>
                    <w:t>48</w:t>
                  </w:r>
                </w:p>
              </w:tc>
              <w:tc>
                <w:tcPr>
                  <w:tcW w:w="461" w:type="pct"/>
                  <w:tcBorders>
                    <w:tl2br w:val="nil"/>
                    <w:tr2bl w:val="nil"/>
                  </w:tcBorders>
                  <w:vAlign w:val="center"/>
                </w:tcPr>
                <w:p>
                  <w:pPr>
                    <w:spacing w:line="300" w:lineRule="exact"/>
                    <w:jc w:val="center"/>
                    <w:rPr>
                      <w:color w:val="auto"/>
                      <w:szCs w:val="21"/>
                    </w:rPr>
                  </w:pPr>
                  <w:r>
                    <w:rPr>
                      <w:color w:val="auto"/>
                      <w:szCs w:val="21"/>
                    </w:rPr>
                    <w:t>43.4</w:t>
                  </w:r>
                </w:p>
              </w:tc>
              <w:tc>
                <w:tcPr>
                  <w:tcW w:w="449" w:type="pct"/>
                  <w:tcBorders>
                    <w:tl2br w:val="nil"/>
                    <w:tr2bl w:val="nil"/>
                  </w:tcBorders>
                  <w:vAlign w:val="center"/>
                </w:tcPr>
                <w:p>
                  <w:pPr>
                    <w:spacing w:line="300" w:lineRule="exact"/>
                    <w:jc w:val="center"/>
                    <w:rPr>
                      <w:color w:val="auto"/>
                      <w:szCs w:val="21"/>
                    </w:rPr>
                  </w:pPr>
                  <w:r>
                    <w:rPr>
                      <w:color w:val="auto"/>
                      <w:szCs w:val="21"/>
                    </w:rPr>
                    <w:t>40.9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6" w:type="pct"/>
                  <w:tcBorders>
                    <w:tl2br w:val="nil"/>
                    <w:tr2bl w:val="nil"/>
                  </w:tcBorders>
                  <w:vAlign w:val="center"/>
                </w:tcPr>
                <w:p>
                  <w:pPr>
                    <w:spacing w:line="300" w:lineRule="exact"/>
                    <w:jc w:val="center"/>
                    <w:rPr>
                      <w:color w:val="auto"/>
                      <w:szCs w:val="21"/>
                    </w:rPr>
                  </w:pPr>
                  <w:r>
                    <w:rPr>
                      <w:color w:val="auto"/>
                      <w:szCs w:val="21"/>
                    </w:rPr>
                    <w:t>振捣棒</w:t>
                  </w:r>
                </w:p>
              </w:tc>
              <w:tc>
                <w:tcPr>
                  <w:tcW w:w="377" w:type="pct"/>
                  <w:tcBorders>
                    <w:tl2br w:val="nil"/>
                    <w:tr2bl w:val="nil"/>
                  </w:tcBorders>
                  <w:vAlign w:val="center"/>
                </w:tcPr>
                <w:p>
                  <w:pPr>
                    <w:spacing w:line="300" w:lineRule="exact"/>
                    <w:jc w:val="center"/>
                    <w:rPr>
                      <w:color w:val="auto"/>
                      <w:szCs w:val="21"/>
                    </w:rPr>
                  </w:pPr>
                  <w:r>
                    <w:rPr>
                      <w:color w:val="auto"/>
                      <w:szCs w:val="21"/>
                    </w:rPr>
                    <w:t>85</w:t>
                  </w:r>
                </w:p>
              </w:tc>
              <w:tc>
                <w:tcPr>
                  <w:tcW w:w="400" w:type="pct"/>
                  <w:tcBorders>
                    <w:tl2br w:val="nil"/>
                    <w:tr2bl w:val="nil"/>
                  </w:tcBorders>
                  <w:vAlign w:val="center"/>
                </w:tcPr>
                <w:p>
                  <w:pPr>
                    <w:spacing w:line="300" w:lineRule="exact"/>
                    <w:jc w:val="center"/>
                    <w:rPr>
                      <w:color w:val="auto"/>
                      <w:szCs w:val="21"/>
                    </w:rPr>
                  </w:pPr>
                  <w:r>
                    <w:rPr>
                      <w:color w:val="auto"/>
                      <w:szCs w:val="21"/>
                    </w:rPr>
                    <w:t>79</w:t>
                  </w:r>
                </w:p>
              </w:tc>
              <w:tc>
                <w:tcPr>
                  <w:tcW w:w="424" w:type="pct"/>
                  <w:tcBorders>
                    <w:tl2br w:val="nil"/>
                    <w:tr2bl w:val="nil"/>
                  </w:tcBorders>
                  <w:vAlign w:val="center"/>
                </w:tcPr>
                <w:p>
                  <w:pPr>
                    <w:spacing w:line="300" w:lineRule="exact"/>
                    <w:jc w:val="center"/>
                    <w:rPr>
                      <w:color w:val="auto"/>
                      <w:szCs w:val="21"/>
                    </w:rPr>
                  </w:pPr>
                  <w:r>
                    <w:rPr>
                      <w:color w:val="auto"/>
                      <w:szCs w:val="21"/>
                    </w:rPr>
                    <w:t>73</w:t>
                  </w:r>
                </w:p>
              </w:tc>
              <w:tc>
                <w:tcPr>
                  <w:tcW w:w="440" w:type="pct"/>
                  <w:tcBorders>
                    <w:tl2br w:val="nil"/>
                    <w:tr2bl w:val="nil"/>
                  </w:tcBorders>
                  <w:vAlign w:val="center"/>
                </w:tcPr>
                <w:p>
                  <w:pPr>
                    <w:spacing w:line="300" w:lineRule="exact"/>
                    <w:jc w:val="center"/>
                    <w:rPr>
                      <w:color w:val="auto"/>
                      <w:szCs w:val="21"/>
                    </w:rPr>
                  </w:pPr>
                  <w:r>
                    <w:rPr>
                      <w:color w:val="auto"/>
                      <w:szCs w:val="21"/>
                    </w:rPr>
                    <w:t>67</w:t>
                  </w:r>
                </w:p>
              </w:tc>
              <w:tc>
                <w:tcPr>
                  <w:tcW w:w="424" w:type="pct"/>
                  <w:tcBorders>
                    <w:tl2br w:val="nil"/>
                    <w:tr2bl w:val="nil"/>
                  </w:tcBorders>
                  <w:vAlign w:val="center"/>
                </w:tcPr>
                <w:p>
                  <w:pPr>
                    <w:spacing w:line="300" w:lineRule="exact"/>
                    <w:jc w:val="center"/>
                    <w:rPr>
                      <w:color w:val="auto"/>
                      <w:szCs w:val="21"/>
                    </w:rPr>
                  </w:pPr>
                  <w:r>
                    <w:rPr>
                      <w:color w:val="auto"/>
                      <w:szCs w:val="21"/>
                    </w:rPr>
                    <w:t>63.4</w:t>
                  </w:r>
                </w:p>
              </w:tc>
              <w:tc>
                <w:tcPr>
                  <w:tcW w:w="445" w:type="pct"/>
                  <w:tcBorders>
                    <w:tl2br w:val="nil"/>
                    <w:tr2bl w:val="nil"/>
                  </w:tcBorders>
                  <w:vAlign w:val="center"/>
                </w:tcPr>
                <w:p>
                  <w:pPr>
                    <w:spacing w:line="300" w:lineRule="exact"/>
                    <w:jc w:val="center"/>
                    <w:rPr>
                      <w:color w:val="auto"/>
                      <w:szCs w:val="21"/>
                    </w:rPr>
                  </w:pPr>
                  <w:r>
                    <w:rPr>
                      <w:color w:val="auto"/>
                      <w:szCs w:val="21"/>
                    </w:rPr>
                    <w:t>59</w:t>
                  </w:r>
                </w:p>
              </w:tc>
              <w:tc>
                <w:tcPr>
                  <w:tcW w:w="454" w:type="pct"/>
                  <w:tcBorders>
                    <w:tl2br w:val="nil"/>
                    <w:tr2bl w:val="nil"/>
                  </w:tcBorders>
                  <w:vAlign w:val="center"/>
                </w:tcPr>
                <w:p>
                  <w:pPr>
                    <w:spacing w:line="300" w:lineRule="exact"/>
                    <w:jc w:val="center"/>
                    <w:rPr>
                      <w:color w:val="auto"/>
                      <w:szCs w:val="21"/>
                    </w:rPr>
                  </w:pPr>
                  <w:r>
                    <w:rPr>
                      <w:color w:val="auto"/>
                      <w:szCs w:val="21"/>
                    </w:rPr>
                    <w:t>55.5</w:t>
                  </w:r>
                </w:p>
              </w:tc>
              <w:tc>
                <w:tcPr>
                  <w:tcW w:w="454" w:type="pct"/>
                  <w:tcBorders>
                    <w:tl2br w:val="nil"/>
                    <w:tr2bl w:val="nil"/>
                  </w:tcBorders>
                  <w:vAlign w:val="center"/>
                </w:tcPr>
                <w:p>
                  <w:pPr>
                    <w:spacing w:line="300" w:lineRule="exact"/>
                    <w:jc w:val="center"/>
                    <w:rPr>
                      <w:color w:val="auto"/>
                      <w:szCs w:val="21"/>
                    </w:rPr>
                  </w:pPr>
                  <w:r>
                    <w:rPr>
                      <w:color w:val="auto"/>
                      <w:szCs w:val="21"/>
                    </w:rPr>
                    <w:t>53</w:t>
                  </w:r>
                </w:p>
              </w:tc>
              <w:tc>
                <w:tcPr>
                  <w:tcW w:w="461" w:type="pct"/>
                  <w:tcBorders>
                    <w:tl2br w:val="nil"/>
                    <w:tr2bl w:val="nil"/>
                  </w:tcBorders>
                  <w:vAlign w:val="center"/>
                </w:tcPr>
                <w:p>
                  <w:pPr>
                    <w:spacing w:line="300" w:lineRule="exact"/>
                    <w:jc w:val="center"/>
                    <w:rPr>
                      <w:color w:val="auto"/>
                      <w:szCs w:val="21"/>
                    </w:rPr>
                  </w:pPr>
                  <w:r>
                    <w:rPr>
                      <w:color w:val="auto"/>
                      <w:szCs w:val="21"/>
                    </w:rPr>
                    <w:t>48.4</w:t>
                  </w:r>
                </w:p>
              </w:tc>
              <w:tc>
                <w:tcPr>
                  <w:tcW w:w="449" w:type="pct"/>
                  <w:tcBorders>
                    <w:tl2br w:val="nil"/>
                    <w:tr2bl w:val="nil"/>
                  </w:tcBorders>
                  <w:vAlign w:val="center"/>
                </w:tcPr>
                <w:p>
                  <w:pPr>
                    <w:spacing w:line="300" w:lineRule="exact"/>
                    <w:jc w:val="center"/>
                    <w:rPr>
                      <w:color w:val="auto"/>
                      <w:szCs w:val="21"/>
                    </w:rPr>
                  </w:pPr>
                  <w:r>
                    <w:rPr>
                      <w:color w:val="auto"/>
                      <w:szCs w:val="21"/>
                    </w:rPr>
                    <w:t>45.9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6" w:type="pct"/>
                  <w:tcBorders>
                    <w:tl2br w:val="nil"/>
                    <w:tr2bl w:val="nil"/>
                  </w:tcBorders>
                  <w:vAlign w:val="center"/>
                </w:tcPr>
                <w:p>
                  <w:pPr>
                    <w:spacing w:line="300" w:lineRule="exact"/>
                    <w:jc w:val="center"/>
                    <w:rPr>
                      <w:color w:val="auto"/>
                      <w:szCs w:val="21"/>
                    </w:rPr>
                  </w:pPr>
                  <w:r>
                    <w:rPr>
                      <w:color w:val="auto"/>
                      <w:szCs w:val="21"/>
                    </w:rPr>
                    <w:t>电焊机</w:t>
                  </w:r>
                </w:p>
              </w:tc>
              <w:tc>
                <w:tcPr>
                  <w:tcW w:w="377" w:type="pct"/>
                  <w:tcBorders>
                    <w:tl2br w:val="nil"/>
                    <w:tr2bl w:val="nil"/>
                  </w:tcBorders>
                  <w:vAlign w:val="center"/>
                </w:tcPr>
                <w:p>
                  <w:pPr>
                    <w:spacing w:line="300" w:lineRule="exact"/>
                    <w:jc w:val="center"/>
                    <w:rPr>
                      <w:color w:val="auto"/>
                      <w:szCs w:val="21"/>
                    </w:rPr>
                  </w:pPr>
                  <w:r>
                    <w:rPr>
                      <w:color w:val="auto"/>
                      <w:szCs w:val="21"/>
                    </w:rPr>
                    <w:t>80</w:t>
                  </w:r>
                </w:p>
              </w:tc>
              <w:tc>
                <w:tcPr>
                  <w:tcW w:w="400" w:type="pct"/>
                  <w:tcBorders>
                    <w:tl2br w:val="nil"/>
                    <w:tr2bl w:val="nil"/>
                  </w:tcBorders>
                  <w:vAlign w:val="center"/>
                </w:tcPr>
                <w:p>
                  <w:pPr>
                    <w:spacing w:line="300" w:lineRule="exact"/>
                    <w:jc w:val="center"/>
                    <w:rPr>
                      <w:color w:val="auto"/>
                      <w:szCs w:val="21"/>
                    </w:rPr>
                  </w:pPr>
                  <w:r>
                    <w:rPr>
                      <w:color w:val="auto"/>
                      <w:szCs w:val="21"/>
                    </w:rPr>
                    <w:t>74</w:t>
                  </w:r>
                </w:p>
              </w:tc>
              <w:tc>
                <w:tcPr>
                  <w:tcW w:w="424" w:type="pct"/>
                  <w:tcBorders>
                    <w:tl2br w:val="nil"/>
                    <w:tr2bl w:val="nil"/>
                  </w:tcBorders>
                  <w:vAlign w:val="center"/>
                </w:tcPr>
                <w:p>
                  <w:pPr>
                    <w:spacing w:line="300" w:lineRule="exact"/>
                    <w:jc w:val="center"/>
                    <w:rPr>
                      <w:color w:val="auto"/>
                      <w:szCs w:val="21"/>
                    </w:rPr>
                  </w:pPr>
                  <w:r>
                    <w:rPr>
                      <w:color w:val="auto"/>
                      <w:szCs w:val="21"/>
                    </w:rPr>
                    <w:t>68</w:t>
                  </w:r>
                </w:p>
              </w:tc>
              <w:tc>
                <w:tcPr>
                  <w:tcW w:w="440" w:type="pct"/>
                  <w:tcBorders>
                    <w:tl2br w:val="nil"/>
                    <w:tr2bl w:val="nil"/>
                  </w:tcBorders>
                  <w:vAlign w:val="center"/>
                </w:tcPr>
                <w:p>
                  <w:pPr>
                    <w:spacing w:line="300" w:lineRule="exact"/>
                    <w:jc w:val="center"/>
                    <w:rPr>
                      <w:color w:val="auto"/>
                      <w:szCs w:val="21"/>
                    </w:rPr>
                  </w:pPr>
                  <w:r>
                    <w:rPr>
                      <w:color w:val="auto"/>
                      <w:szCs w:val="21"/>
                    </w:rPr>
                    <w:t>62</w:t>
                  </w:r>
                </w:p>
              </w:tc>
              <w:tc>
                <w:tcPr>
                  <w:tcW w:w="424" w:type="pct"/>
                  <w:tcBorders>
                    <w:tl2br w:val="nil"/>
                    <w:tr2bl w:val="nil"/>
                  </w:tcBorders>
                  <w:vAlign w:val="center"/>
                </w:tcPr>
                <w:p>
                  <w:pPr>
                    <w:spacing w:line="300" w:lineRule="exact"/>
                    <w:jc w:val="center"/>
                    <w:rPr>
                      <w:color w:val="auto"/>
                      <w:szCs w:val="21"/>
                    </w:rPr>
                  </w:pPr>
                  <w:r>
                    <w:rPr>
                      <w:color w:val="auto"/>
                      <w:szCs w:val="21"/>
                    </w:rPr>
                    <w:t>58.4</w:t>
                  </w:r>
                </w:p>
              </w:tc>
              <w:tc>
                <w:tcPr>
                  <w:tcW w:w="445" w:type="pct"/>
                  <w:tcBorders>
                    <w:tl2br w:val="nil"/>
                    <w:tr2bl w:val="nil"/>
                  </w:tcBorders>
                  <w:vAlign w:val="center"/>
                </w:tcPr>
                <w:p>
                  <w:pPr>
                    <w:spacing w:line="300" w:lineRule="exact"/>
                    <w:jc w:val="center"/>
                    <w:rPr>
                      <w:color w:val="auto"/>
                      <w:szCs w:val="21"/>
                    </w:rPr>
                  </w:pPr>
                  <w:r>
                    <w:rPr>
                      <w:color w:val="auto"/>
                      <w:szCs w:val="21"/>
                    </w:rPr>
                    <w:t>54</w:t>
                  </w:r>
                </w:p>
              </w:tc>
              <w:tc>
                <w:tcPr>
                  <w:tcW w:w="454" w:type="pct"/>
                  <w:tcBorders>
                    <w:tl2br w:val="nil"/>
                    <w:tr2bl w:val="nil"/>
                  </w:tcBorders>
                  <w:vAlign w:val="center"/>
                </w:tcPr>
                <w:p>
                  <w:pPr>
                    <w:spacing w:line="300" w:lineRule="exact"/>
                    <w:jc w:val="center"/>
                    <w:rPr>
                      <w:color w:val="auto"/>
                      <w:szCs w:val="21"/>
                    </w:rPr>
                  </w:pPr>
                  <w:r>
                    <w:rPr>
                      <w:color w:val="auto"/>
                      <w:szCs w:val="21"/>
                    </w:rPr>
                    <w:t>50.5</w:t>
                  </w:r>
                </w:p>
              </w:tc>
              <w:tc>
                <w:tcPr>
                  <w:tcW w:w="454" w:type="pct"/>
                  <w:tcBorders>
                    <w:tl2br w:val="nil"/>
                    <w:tr2bl w:val="nil"/>
                  </w:tcBorders>
                  <w:vAlign w:val="center"/>
                </w:tcPr>
                <w:p>
                  <w:pPr>
                    <w:spacing w:line="300" w:lineRule="exact"/>
                    <w:jc w:val="center"/>
                    <w:rPr>
                      <w:color w:val="auto"/>
                      <w:szCs w:val="21"/>
                    </w:rPr>
                  </w:pPr>
                  <w:r>
                    <w:rPr>
                      <w:color w:val="auto"/>
                      <w:szCs w:val="21"/>
                    </w:rPr>
                    <w:t>48</w:t>
                  </w:r>
                </w:p>
              </w:tc>
              <w:tc>
                <w:tcPr>
                  <w:tcW w:w="461" w:type="pct"/>
                  <w:tcBorders>
                    <w:tl2br w:val="nil"/>
                    <w:tr2bl w:val="nil"/>
                  </w:tcBorders>
                  <w:vAlign w:val="center"/>
                </w:tcPr>
                <w:p>
                  <w:pPr>
                    <w:spacing w:line="300" w:lineRule="exact"/>
                    <w:jc w:val="center"/>
                    <w:rPr>
                      <w:color w:val="auto"/>
                      <w:szCs w:val="21"/>
                    </w:rPr>
                  </w:pPr>
                  <w:r>
                    <w:rPr>
                      <w:color w:val="auto"/>
                      <w:szCs w:val="21"/>
                    </w:rPr>
                    <w:t>43.4</w:t>
                  </w:r>
                </w:p>
              </w:tc>
              <w:tc>
                <w:tcPr>
                  <w:tcW w:w="449" w:type="pct"/>
                  <w:tcBorders>
                    <w:tl2br w:val="nil"/>
                    <w:tr2bl w:val="nil"/>
                  </w:tcBorders>
                  <w:vAlign w:val="center"/>
                </w:tcPr>
                <w:p>
                  <w:pPr>
                    <w:spacing w:line="300" w:lineRule="exact"/>
                    <w:jc w:val="center"/>
                    <w:rPr>
                      <w:color w:val="auto"/>
                      <w:szCs w:val="21"/>
                    </w:rPr>
                  </w:pPr>
                  <w:r>
                    <w:rPr>
                      <w:color w:val="auto"/>
                      <w:szCs w:val="21"/>
                    </w:rPr>
                    <w:t>40.9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6" w:type="pct"/>
                  <w:tcBorders>
                    <w:tl2br w:val="nil"/>
                    <w:tr2bl w:val="nil"/>
                  </w:tcBorders>
                  <w:vAlign w:val="center"/>
                </w:tcPr>
                <w:p>
                  <w:pPr>
                    <w:spacing w:line="300" w:lineRule="exact"/>
                    <w:jc w:val="center"/>
                    <w:rPr>
                      <w:color w:val="auto"/>
                      <w:szCs w:val="21"/>
                    </w:rPr>
                  </w:pPr>
                  <w:r>
                    <w:rPr>
                      <w:color w:val="auto"/>
                      <w:szCs w:val="21"/>
                    </w:rPr>
                    <w:t>切割机</w:t>
                  </w:r>
                </w:p>
              </w:tc>
              <w:tc>
                <w:tcPr>
                  <w:tcW w:w="377" w:type="pct"/>
                  <w:tcBorders>
                    <w:tl2br w:val="nil"/>
                    <w:tr2bl w:val="nil"/>
                  </w:tcBorders>
                  <w:vAlign w:val="center"/>
                </w:tcPr>
                <w:p>
                  <w:pPr>
                    <w:spacing w:line="300" w:lineRule="exact"/>
                    <w:jc w:val="center"/>
                    <w:rPr>
                      <w:color w:val="auto"/>
                      <w:szCs w:val="21"/>
                    </w:rPr>
                  </w:pPr>
                  <w:r>
                    <w:rPr>
                      <w:color w:val="auto"/>
                      <w:szCs w:val="21"/>
                    </w:rPr>
                    <w:t>90</w:t>
                  </w:r>
                </w:p>
              </w:tc>
              <w:tc>
                <w:tcPr>
                  <w:tcW w:w="400" w:type="pct"/>
                  <w:tcBorders>
                    <w:tl2br w:val="nil"/>
                    <w:tr2bl w:val="nil"/>
                  </w:tcBorders>
                  <w:vAlign w:val="center"/>
                </w:tcPr>
                <w:p>
                  <w:pPr>
                    <w:spacing w:line="300" w:lineRule="exact"/>
                    <w:jc w:val="center"/>
                    <w:rPr>
                      <w:color w:val="auto"/>
                      <w:szCs w:val="21"/>
                    </w:rPr>
                  </w:pPr>
                  <w:r>
                    <w:rPr>
                      <w:color w:val="auto"/>
                      <w:szCs w:val="21"/>
                    </w:rPr>
                    <w:t>84</w:t>
                  </w:r>
                </w:p>
              </w:tc>
              <w:tc>
                <w:tcPr>
                  <w:tcW w:w="424" w:type="pct"/>
                  <w:tcBorders>
                    <w:tl2br w:val="nil"/>
                    <w:tr2bl w:val="nil"/>
                  </w:tcBorders>
                  <w:vAlign w:val="center"/>
                </w:tcPr>
                <w:p>
                  <w:pPr>
                    <w:spacing w:line="300" w:lineRule="exact"/>
                    <w:jc w:val="center"/>
                    <w:rPr>
                      <w:color w:val="auto"/>
                      <w:szCs w:val="21"/>
                    </w:rPr>
                  </w:pPr>
                  <w:r>
                    <w:rPr>
                      <w:color w:val="auto"/>
                      <w:szCs w:val="21"/>
                    </w:rPr>
                    <w:t>78</w:t>
                  </w:r>
                </w:p>
              </w:tc>
              <w:tc>
                <w:tcPr>
                  <w:tcW w:w="440" w:type="pct"/>
                  <w:tcBorders>
                    <w:tl2br w:val="nil"/>
                    <w:tr2bl w:val="nil"/>
                  </w:tcBorders>
                  <w:vAlign w:val="center"/>
                </w:tcPr>
                <w:p>
                  <w:pPr>
                    <w:spacing w:line="300" w:lineRule="exact"/>
                    <w:jc w:val="center"/>
                    <w:rPr>
                      <w:color w:val="auto"/>
                      <w:szCs w:val="21"/>
                    </w:rPr>
                  </w:pPr>
                  <w:r>
                    <w:rPr>
                      <w:color w:val="auto"/>
                      <w:szCs w:val="21"/>
                    </w:rPr>
                    <w:t>72</w:t>
                  </w:r>
                </w:p>
              </w:tc>
              <w:tc>
                <w:tcPr>
                  <w:tcW w:w="424" w:type="pct"/>
                  <w:tcBorders>
                    <w:tl2br w:val="nil"/>
                    <w:tr2bl w:val="nil"/>
                  </w:tcBorders>
                  <w:vAlign w:val="center"/>
                </w:tcPr>
                <w:p>
                  <w:pPr>
                    <w:spacing w:line="300" w:lineRule="exact"/>
                    <w:jc w:val="center"/>
                    <w:rPr>
                      <w:color w:val="auto"/>
                      <w:szCs w:val="21"/>
                    </w:rPr>
                  </w:pPr>
                  <w:r>
                    <w:rPr>
                      <w:color w:val="auto"/>
                      <w:szCs w:val="21"/>
                    </w:rPr>
                    <w:t>68.4</w:t>
                  </w:r>
                </w:p>
              </w:tc>
              <w:tc>
                <w:tcPr>
                  <w:tcW w:w="445" w:type="pct"/>
                  <w:tcBorders>
                    <w:tl2br w:val="nil"/>
                    <w:tr2bl w:val="nil"/>
                  </w:tcBorders>
                  <w:vAlign w:val="center"/>
                </w:tcPr>
                <w:p>
                  <w:pPr>
                    <w:spacing w:line="300" w:lineRule="exact"/>
                    <w:jc w:val="center"/>
                    <w:rPr>
                      <w:color w:val="auto"/>
                      <w:szCs w:val="21"/>
                    </w:rPr>
                  </w:pPr>
                  <w:r>
                    <w:rPr>
                      <w:color w:val="auto"/>
                      <w:szCs w:val="21"/>
                    </w:rPr>
                    <w:t>64</w:t>
                  </w:r>
                </w:p>
              </w:tc>
              <w:tc>
                <w:tcPr>
                  <w:tcW w:w="454" w:type="pct"/>
                  <w:tcBorders>
                    <w:tl2br w:val="nil"/>
                    <w:tr2bl w:val="nil"/>
                  </w:tcBorders>
                  <w:vAlign w:val="center"/>
                </w:tcPr>
                <w:p>
                  <w:pPr>
                    <w:spacing w:line="300" w:lineRule="exact"/>
                    <w:jc w:val="center"/>
                    <w:rPr>
                      <w:color w:val="auto"/>
                      <w:szCs w:val="21"/>
                    </w:rPr>
                  </w:pPr>
                  <w:r>
                    <w:rPr>
                      <w:color w:val="auto"/>
                      <w:szCs w:val="21"/>
                    </w:rPr>
                    <w:t>60.5</w:t>
                  </w:r>
                </w:p>
              </w:tc>
              <w:tc>
                <w:tcPr>
                  <w:tcW w:w="454" w:type="pct"/>
                  <w:tcBorders>
                    <w:tl2br w:val="nil"/>
                    <w:tr2bl w:val="nil"/>
                  </w:tcBorders>
                  <w:vAlign w:val="center"/>
                </w:tcPr>
                <w:p>
                  <w:pPr>
                    <w:spacing w:line="300" w:lineRule="exact"/>
                    <w:jc w:val="center"/>
                    <w:rPr>
                      <w:color w:val="auto"/>
                      <w:szCs w:val="21"/>
                    </w:rPr>
                  </w:pPr>
                  <w:r>
                    <w:rPr>
                      <w:color w:val="auto"/>
                      <w:szCs w:val="21"/>
                    </w:rPr>
                    <w:t>58</w:t>
                  </w:r>
                </w:p>
              </w:tc>
              <w:tc>
                <w:tcPr>
                  <w:tcW w:w="461" w:type="pct"/>
                  <w:tcBorders>
                    <w:tl2br w:val="nil"/>
                    <w:tr2bl w:val="nil"/>
                  </w:tcBorders>
                  <w:vAlign w:val="center"/>
                </w:tcPr>
                <w:p>
                  <w:pPr>
                    <w:spacing w:line="300" w:lineRule="exact"/>
                    <w:jc w:val="center"/>
                    <w:rPr>
                      <w:color w:val="auto"/>
                      <w:szCs w:val="21"/>
                    </w:rPr>
                  </w:pPr>
                  <w:r>
                    <w:rPr>
                      <w:color w:val="auto"/>
                      <w:szCs w:val="21"/>
                    </w:rPr>
                    <w:t>53.4</w:t>
                  </w:r>
                </w:p>
              </w:tc>
              <w:tc>
                <w:tcPr>
                  <w:tcW w:w="449" w:type="pct"/>
                  <w:tcBorders>
                    <w:tl2br w:val="nil"/>
                    <w:tr2bl w:val="nil"/>
                  </w:tcBorders>
                  <w:vAlign w:val="center"/>
                </w:tcPr>
                <w:p>
                  <w:pPr>
                    <w:spacing w:line="300" w:lineRule="exact"/>
                    <w:jc w:val="center"/>
                    <w:rPr>
                      <w:color w:val="auto"/>
                      <w:szCs w:val="21"/>
                    </w:rPr>
                  </w:pPr>
                  <w:r>
                    <w:rPr>
                      <w:color w:val="auto"/>
                      <w:szCs w:val="21"/>
                    </w:rPr>
                    <w:t>50.9</w:t>
                  </w:r>
                </w:p>
              </w:tc>
            </w:tr>
          </w:tbl>
          <w:p>
            <w:pPr>
              <w:spacing w:line="520" w:lineRule="exact"/>
              <w:ind w:firstLine="480" w:firstLineChars="200"/>
              <w:rPr>
                <w:color w:val="auto"/>
                <w:sz w:val="24"/>
              </w:rPr>
            </w:pPr>
            <w:r>
              <w:rPr>
                <w:color w:val="auto"/>
                <w:sz w:val="24"/>
              </w:rPr>
              <w:t>本项目不进行夜间施工，因此距场界50m处，昼间施工噪声均达到《建筑施工场界环境噪声排放标准》（GB12523-2011）排放限值。</w:t>
            </w:r>
          </w:p>
          <w:p>
            <w:pPr>
              <w:spacing w:line="520" w:lineRule="exact"/>
              <w:ind w:firstLine="480" w:firstLineChars="200"/>
              <w:rPr>
                <w:color w:val="auto"/>
                <w:sz w:val="24"/>
              </w:rPr>
            </w:pPr>
            <w:r>
              <w:rPr>
                <w:color w:val="auto"/>
                <w:sz w:val="24"/>
              </w:rPr>
              <w:t>项目周围50m范围内无敏感目标，因此施工噪声对项目周边环境不会造成不利影响。</w:t>
            </w:r>
          </w:p>
          <w:p>
            <w:pPr>
              <w:spacing w:line="520" w:lineRule="exact"/>
              <w:ind w:firstLine="480" w:firstLineChars="200"/>
              <w:rPr>
                <w:color w:val="auto"/>
                <w:sz w:val="24"/>
              </w:rPr>
            </w:pPr>
            <w:r>
              <w:rPr>
                <w:color w:val="auto"/>
                <w:sz w:val="24"/>
              </w:rPr>
              <w:t>施工中应采取以下措施以减少对声环境的影响：</w:t>
            </w:r>
          </w:p>
          <w:p>
            <w:pPr>
              <w:spacing w:line="520" w:lineRule="exact"/>
              <w:ind w:firstLine="480" w:firstLineChars="200"/>
              <w:rPr>
                <w:color w:val="auto"/>
                <w:sz w:val="24"/>
              </w:rPr>
            </w:pPr>
            <w:r>
              <w:rPr>
                <w:color w:val="auto"/>
                <w:sz w:val="24"/>
              </w:rPr>
              <w:t>1、项目施工时选用低噪声施工设备，同时在施工过程中施工单位应设专人对设备进行定期保养和维护，从声源上降低影响：严禁使用电锯、电刨等高噪声设备。</w:t>
            </w:r>
          </w:p>
          <w:p>
            <w:pPr>
              <w:spacing w:line="520" w:lineRule="exact"/>
              <w:ind w:firstLine="480" w:firstLineChars="200"/>
              <w:rPr>
                <w:color w:val="auto"/>
                <w:sz w:val="24"/>
              </w:rPr>
            </w:pPr>
            <w:r>
              <w:rPr>
                <w:color w:val="auto"/>
                <w:sz w:val="24"/>
              </w:rPr>
              <w:t>2、合理安排施工布局。施工使用商品混凝土禁止现场搅拌。</w:t>
            </w:r>
          </w:p>
          <w:p>
            <w:pPr>
              <w:spacing w:line="520" w:lineRule="exact"/>
              <w:ind w:firstLine="480" w:firstLineChars="200"/>
              <w:rPr>
                <w:color w:val="auto"/>
                <w:sz w:val="24"/>
              </w:rPr>
            </w:pPr>
            <w:r>
              <w:rPr>
                <w:color w:val="auto"/>
                <w:sz w:val="24"/>
              </w:rPr>
              <w:t>3、在施工场地四周修建起2.5米高隔声围墙，砂轮机、切割机等设备搭设封闭式的隔声棚或加盖隔声罩，使之与周围环境隔离，以减少强噪声的扩散，隔声罩采用1～3cm的钢板构成：在施工机械设备与基础或连接部之间采用弹簧减振、橡胶减振、管道减振、阻尼减振等技术，减小振动源。</w:t>
            </w:r>
          </w:p>
          <w:p>
            <w:pPr>
              <w:spacing w:line="520" w:lineRule="exact"/>
              <w:ind w:firstLine="480" w:firstLineChars="200"/>
              <w:rPr>
                <w:color w:val="auto"/>
                <w:sz w:val="24"/>
              </w:rPr>
            </w:pPr>
            <w:r>
              <w:rPr>
                <w:color w:val="auto"/>
                <w:sz w:val="24"/>
              </w:rPr>
              <w:t>4、加强环境保护管理部门的管理、监督作用。</w:t>
            </w:r>
          </w:p>
          <w:p>
            <w:pPr>
              <w:spacing w:line="520" w:lineRule="exact"/>
              <w:ind w:firstLine="480" w:firstLineChars="200"/>
              <w:rPr>
                <w:color w:val="auto"/>
                <w:sz w:val="24"/>
              </w:rPr>
            </w:pPr>
            <w:r>
              <w:rPr>
                <w:color w:val="auto"/>
                <w:sz w:val="24"/>
              </w:rPr>
              <w:t>综上，在采取上述降噪措施后，施工噪声不会对声环境产生明显影响，并随施工的结束噪声也随之结束。</w:t>
            </w:r>
          </w:p>
          <w:p>
            <w:pPr>
              <w:autoSpaceDE w:val="0"/>
              <w:autoSpaceDN w:val="0"/>
              <w:spacing w:line="520" w:lineRule="exact"/>
              <w:rPr>
                <w:b/>
                <w:bCs/>
                <w:color w:val="auto"/>
                <w:sz w:val="24"/>
              </w:rPr>
            </w:pPr>
            <w:r>
              <w:rPr>
                <w:b/>
                <w:bCs/>
                <w:color w:val="auto"/>
                <w:sz w:val="24"/>
              </w:rPr>
              <w:t>四、施工期固废</w:t>
            </w:r>
          </w:p>
          <w:p>
            <w:pPr>
              <w:spacing w:line="520" w:lineRule="exact"/>
              <w:ind w:firstLine="480" w:firstLineChars="200"/>
              <w:rPr>
                <w:color w:val="auto"/>
                <w:sz w:val="24"/>
              </w:rPr>
            </w:pPr>
            <w:r>
              <w:rPr>
                <w:color w:val="auto"/>
                <w:sz w:val="24"/>
              </w:rPr>
              <w:t>生活垃圾：施工期间产生的生活垃圾统一收集后，按当地环卫部门要求处理处置，对环境影响不大。</w:t>
            </w:r>
          </w:p>
          <w:p>
            <w:pPr>
              <w:spacing w:line="520" w:lineRule="exact"/>
              <w:ind w:firstLine="480" w:firstLineChars="200"/>
              <w:rPr>
                <w:color w:val="auto"/>
                <w:sz w:val="24"/>
              </w:rPr>
            </w:pPr>
            <w:r>
              <w:rPr>
                <w:color w:val="auto"/>
                <w:sz w:val="24"/>
              </w:rPr>
              <w:t>建筑垃圾：建筑垃圾的种类主要为泥土、水泥料渣等无机混合物。施工单位在进行场地平整时可将这些建筑垃圾用作回填材料，不能利用的建筑垃圾，经市政管理部门许可后，拉运至指定地点处理。基础施工时挖出的表层土应单独堆积，采取一定的遮盖与围护措施，避免造成水土流失。</w:t>
            </w:r>
          </w:p>
          <w:p>
            <w:pPr>
              <w:autoSpaceDE w:val="0"/>
              <w:autoSpaceDN w:val="0"/>
              <w:spacing w:line="520" w:lineRule="exact"/>
              <w:rPr>
                <w:b/>
                <w:bCs/>
                <w:color w:val="auto"/>
                <w:sz w:val="24"/>
              </w:rPr>
            </w:pPr>
            <w:r>
              <w:rPr>
                <w:b/>
                <w:bCs/>
                <w:color w:val="auto"/>
                <w:sz w:val="24"/>
              </w:rPr>
              <w:t>五、土地沙化</w:t>
            </w:r>
          </w:p>
          <w:p>
            <w:pPr>
              <w:spacing w:line="520" w:lineRule="exact"/>
              <w:ind w:firstLine="480" w:firstLineChars="200"/>
              <w:rPr>
                <w:color w:val="auto"/>
                <w:sz w:val="24"/>
              </w:rPr>
            </w:pPr>
            <w:r>
              <w:rPr>
                <w:color w:val="auto"/>
                <w:sz w:val="24"/>
              </w:rPr>
              <w:t>为防止施工过程中造成土地沙化，根据《中华人民共和国防沙治沙法（2018）》以及《关于加强沙区建设项目环境影响评价工作的通知》（新环环评发〔2020〕138号）、《防沙治沙技术规范》（GB/T21141-2007）的规定，项目实施过程中应采取以下防沙治沙措施：</w:t>
            </w:r>
          </w:p>
          <w:p>
            <w:pPr>
              <w:spacing w:line="520" w:lineRule="exact"/>
              <w:ind w:firstLine="480" w:firstLineChars="200"/>
              <w:rPr>
                <w:color w:val="auto"/>
                <w:sz w:val="24"/>
              </w:rPr>
            </w:pPr>
            <w:r>
              <w:rPr>
                <w:color w:val="auto"/>
                <w:sz w:val="24"/>
              </w:rPr>
              <w:t>（1）施工期应尽量减少对地表植被的破坏，避开植被较丰富的区域，避免破坏固沙植被。</w:t>
            </w:r>
          </w:p>
          <w:p>
            <w:pPr>
              <w:spacing w:line="520" w:lineRule="exact"/>
              <w:ind w:firstLine="480" w:firstLineChars="200"/>
              <w:rPr>
                <w:color w:val="auto"/>
                <w:sz w:val="24"/>
              </w:rPr>
            </w:pPr>
            <w:r>
              <w:rPr>
                <w:color w:val="auto"/>
                <w:sz w:val="24"/>
              </w:rPr>
              <w:t>（2）施工后及时清理现场，尽可能恢复原状地貌，做到“工完、料尽、场清、整洁”，恢复原有生态。</w:t>
            </w:r>
          </w:p>
          <w:p>
            <w:pPr>
              <w:spacing w:line="520" w:lineRule="exact"/>
              <w:ind w:firstLine="480" w:firstLineChars="200"/>
              <w:rPr>
                <w:color w:val="auto"/>
                <w:sz w:val="24"/>
              </w:rPr>
            </w:pPr>
            <w:r>
              <w:rPr>
                <w:color w:val="auto"/>
                <w:sz w:val="24"/>
              </w:rPr>
              <w:t>（3）做好施工扰动区的恢复治理工作，施工结束后，施工单位或建设单位应负责清理现场。凡受到施工车辆、机械破坏的地方都要及时修整，恢复原貌。</w:t>
            </w:r>
          </w:p>
          <w:p>
            <w:pPr>
              <w:spacing w:line="520" w:lineRule="exact"/>
              <w:ind w:firstLine="480" w:firstLineChars="200"/>
              <w:rPr>
                <w:color w:val="auto"/>
                <w:sz w:val="24"/>
              </w:rPr>
            </w:pPr>
            <w:r>
              <w:rPr>
                <w:color w:val="auto"/>
                <w:sz w:val="24"/>
              </w:rPr>
              <w:t>（4）项目建设及运营过程中，对于已经遭受破坏的植被，应及时通过工程措施来进行保护，使其在工程施工结束后尽快实现自然恢复。在工程施工前应严格限制施工范围，并将表层植被等收集保存，待施工结束后回铺。</w:t>
            </w:r>
          </w:p>
          <w:p>
            <w:pPr>
              <w:spacing w:line="520" w:lineRule="exact"/>
              <w:ind w:firstLine="480" w:firstLineChars="200"/>
              <w:rPr>
                <w:color w:val="auto"/>
                <w:sz w:val="24"/>
              </w:rPr>
            </w:pPr>
            <w:r>
              <w:rPr>
                <w:color w:val="auto"/>
                <w:sz w:val="24"/>
              </w:rPr>
              <w:t>（5）合理规划临时工程的位置，尽可能减小扰动范围；临时施工场地在施工结束后及时清理施工垃圾，对施工场地进行平整、压实，对临时堆土场和临时施工道路进行绿化。</w:t>
            </w:r>
          </w:p>
          <w:p>
            <w:pPr>
              <w:autoSpaceDE w:val="0"/>
              <w:autoSpaceDN w:val="0"/>
              <w:spacing w:line="520" w:lineRule="exact"/>
              <w:rPr>
                <w:b/>
                <w:bCs/>
                <w:color w:val="auto"/>
                <w:sz w:val="24"/>
              </w:rPr>
            </w:pPr>
            <w:r>
              <w:rPr>
                <w:b/>
                <w:bCs/>
                <w:color w:val="auto"/>
                <w:sz w:val="24"/>
              </w:rPr>
              <w:t>六、野生植物</w:t>
            </w:r>
          </w:p>
          <w:p>
            <w:pPr>
              <w:autoSpaceDE w:val="0"/>
              <w:autoSpaceDN w:val="0"/>
              <w:spacing w:line="520" w:lineRule="exact"/>
              <w:ind w:firstLine="480" w:firstLineChars="200"/>
              <w:rPr>
                <w:b/>
                <w:bCs/>
                <w:color w:val="auto"/>
                <w:sz w:val="24"/>
              </w:rPr>
            </w:pPr>
            <w:r>
              <w:rPr>
                <w:color w:val="auto"/>
                <w:kern w:val="0"/>
                <w:sz w:val="24"/>
              </w:rPr>
              <w:t>根据现场勘查情况，项目区植被覆盖度小于5%，植被稀疏，种类单一，植被主要为骆驼刺，在施工过程中，由于施工材料的拉运及施工设备及人员的移动，会对区域内植被造成影响。</w:t>
            </w:r>
          </w:p>
          <w:p>
            <w:pPr>
              <w:spacing w:line="520" w:lineRule="exact"/>
              <w:ind w:firstLine="480" w:firstLineChars="200"/>
              <w:rPr>
                <w:b/>
                <w:bCs/>
                <w:color w:val="auto"/>
                <w:sz w:val="24"/>
              </w:rPr>
            </w:pPr>
            <w:r>
              <w:rPr>
                <w:color w:val="auto"/>
                <w:sz w:val="24"/>
              </w:rPr>
              <w:t>为避免施工过程中对野生植物的影响，项目在施工过程中划定明显的施工范围。在项目施工期应加强施工管理，科学合理施工，维护植物的生境条件，减少水土流失，杜绝对工程用地范围以外植被的不良影响；但为保证项目能按设计正常建设，在施工过程中将不可避免对项目区绿化植被造成破坏性的影响，因此需要严格控制施工范围，尽量减少和避免工程造成的生态损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46" w:type="dxa"/>
            <w:tcMar>
              <w:left w:w="28" w:type="dxa"/>
              <w:right w:w="28" w:type="dxa"/>
            </w:tcMar>
            <w:vAlign w:val="center"/>
          </w:tcPr>
          <w:p>
            <w:pPr>
              <w:adjustRightInd w:val="0"/>
              <w:snapToGrid w:val="0"/>
              <w:jc w:val="center"/>
              <w:rPr>
                <w:bCs/>
                <w:color w:val="auto"/>
                <w:szCs w:val="21"/>
              </w:rPr>
            </w:pPr>
            <w:r>
              <w:rPr>
                <w:bCs/>
                <w:color w:val="auto"/>
                <w:szCs w:val="21"/>
              </w:rPr>
              <w:t>运营</w:t>
            </w:r>
          </w:p>
          <w:p>
            <w:pPr>
              <w:adjustRightInd w:val="0"/>
              <w:snapToGrid w:val="0"/>
              <w:jc w:val="center"/>
              <w:rPr>
                <w:bCs/>
                <w:color w:val="auto"/>
                <w:szCs w:val="21"/>
              </w:rPr>
            </w:pPr>
            <w:r>
              <w:rPr>
                <w:bCs/>
                <w:color w:val="auto"/>
                <w:szCs w:val="21"/>
              </w:rPr>
              <w:t>期环</w:t>
            </w:r>
          </w:p>
          <w:p>
            <w:pPr>
              <w:adjustRightInd w:val="0"/>
              <w:snapToGrid w:val="0"/>
              <w:jc w:val="center"/>
              <w:rPr>
                <w:bCs/>
                <w:color w:val="auto"/>
                <w:szCs w:val="21"/>
              </w:rPr>
            </w:pPr>
            <w:r>
              <w:rPr>
                <w:bCs/>
                <w:color w:val="auto"/>
                <w:szCs w:val="21"/>
              </w:rPr>
              <w:t>境影</w:t>
            </w:r>
          </w:p>
          <w:p>
            <w:pPr>
              <w:adjustRightInd w:val="0"/>
              <w:snapToGrid w:val="0"/>
              <w:jc w:val="center"/>
              <w:rPr>
                <w:bCs/>
                <w:color w:val="auto"/>
                <w:szCs w:val="21"/>
              </w:rPr>
            </w:pPr>
            <w:r>
              <w:rPr>
                <w:bCs/>
                <w:color w:val="auto"/>
                <w:szCs w:val="21"/>
              </w:rPr>
              <w:t>响和</w:t>
            </w:r>
          </w:p>
          <w:p>
            <w:pPr>
              <w:adjustRightInd w:val="0"/>
              <w:snapToGrid w:val="0"/>
              <w:jc w:val="center"/>
              <w:rPr>
                <w:bCs/>
                <w:color w:val="auto"/>
                <w:szCs w:val="21"/>
              </w:rPr>
            </w:pPr>
            <w:r>
              <w:rPr>
                <w:bCs/>
                <w:color w:val="auto"/>
                <w:szCs w:val="21"/>
              </w:rPr>
              <w:t>保护</w:t>
            </w:r>
          </w:p>
          <w:p>
            <w:pPr>
              <w:pStyle w:val="23"/>
              <w:adjustRightInd w:val="0"/>
              <w:snapToGrid w:val="0"/>
              <w:spacing w:before="0" w:beforeAutospacing="0" w:after="0" w:afterAutospacing="0"/>
              <w:jc w:val="center"/>
              <w:rPr>
                <w:rFonts w:ascii="Times New Roman" w:hAnsi="Times New Roman"/>
                <w:color w:val="auto"/>
                <w:kern w:val="2"/>
                <w:sz w:val="21"/>
                <w:szCs w:val="21"/>
              </w:rPr>
            </w:pPr>
            <w:r>
              <w:rPr>
                <w:rFonts w:ascii="Times New Roman" w:hAnsi="Times New Roman"/>
                <w:bCs/>
                <w:color w:val="auto"/>
                <w:szCs w:val="21"/>
              </w:rPr>
              <w:t>措施</w:t>
            </w:r>
          </w:p>
        </w:tc>
        <w:tc>
          <w:tcPr>
            <w:tcW w:w="8162" w:type="dxa"/>
            <w:vAlign w:val="center"/>
          </w:tcPr>
          <w:p>
            <w:pPr>
              <w:spacing w:line="520" w:lineRule="exact"/>
              <w:rPr>
                <w:b/>
                <w:bCs/>
                <w:color w:val="auto"/>
                <w:sz w:val="24"/>
              </w:rPr>
            </w:pPr>
            <w:r>
              <w:rPr>
                <w:b/>
                <w:bCs/>
                <w:color w:val="auto"/>
                <w:sz w:val="24"/>
              </w:rPr>
              <w:t>一、运营期大气环境影响和保护措施</w:t>
            </w:r>
          </w:p>
          <w:p>
            <w:pPr>
              <w:spacing w:line="520" w:lineRule="exact"/>
              <w:ind w:firstLine="480" w:firstLineChars="200"/>
              <w:rPr>
                <w:color w:val="auto"/>
                <w:sz w:val="24"/>
              </w:rPr>
            </w:pPr>
            <w:r>
              <w:rPr>
                <w:color w:val="auto"/>
                <w:sz w:val="24"/>
              </w:rPr>
              <w:t>项目拟建仓库仅用于储存，不进行任何烟花爆竹的生产性活动，也不存储烟花爆竹的原材料，仓库存储过程无废气产生。项目营运期大气污染源主要为车辆尾气、车辆进场行驶过程中产生的扬尘。</w:t>
            </w:r>
          </w:p>
          <w:p>
            <w:pPr>
              <w:spacing w:line="520" w:lineRule="exact"/>
              <w:ind w:firstLine="480" w:firstLineChars="200"/>
              <w:rPr>
                <w:color w:val="auto"/>
                <w:sz w:val="24"/>
              </w:rPr>
            </w:pPr>
            <w:r>
              <w:rPr>
                <w:color w:val="auto"/>
                <w:sz w:val="24"/>
              </w:rPr>
              <w:t>（1）车辆尾气</w:t>
            </w:r>
          </w:p>
          <w:p>
            <w:pPr>
              <w:spacing w:line="520" w:lineRule="exact"/>
              <w:ind w:firstLine="480" w:firstLineChars="200"/>
              <w:rPr>
                <w:color w:val="auto"/>
                <w:sz w:val="24"/>
              </w:rPr>
            </w:pPr>
            <w:r>
              <w:rPr>
                <w:color w:val="auto"/>
                <w:sz w:val="24"/>
              </w:rPr>
              <w:t>本项目规模较小，且转运量较小，运输车辆在场区内行车路线通畅，车辆从出、入口到达停车泊位的距离和行车时间均较短，汽车尾气的排放较少。同时，场区内部道路为敞开式，由于露天环境空气流通性较好，大气污染物扩散稀释速度快。</w:t>
            </w:r>
          </w:p>
          <w:p>
            <w:pPr>
              <w:spacing w:line="520" w:lineRule="exact"/>
              <w:ind w:firstLine="480" w:firstLineChars="200"/>
              <w:rPr>
                <w:color w:val="auto"/>
                <w:sz w:val="24"/>
              </w:rPr>
            </w:pPr>
            <w:r>
              <w:rPr>
                <w:color w:val="auto"/>
                <w:sz w:val="24"/>
              </w:rPr>
              <w:t>（2）运输扬尘</w:t>
            </w:r>
          </w:p>
          <w:p>
            <w:pPr>
              <w:spacing w:line="520" w:lineRule="exact"/>
              <w:ind w:firstLine="480" w:firstLineChars="200"/>
              <w:rPr>
                <w:color w:val="auto"/>
                <w:sz w:val="24"/>
              </w:rPr>
            </w:pPr>
            <w:r>
              <w:rPr>
                <w:color w:val="auto"/>
                <w:sz w:val="24"/>
              </w:rPr>
              <w:t>项目场区道路以水泥路面为主，且运输车辆进出车次数量不大，烟花爆竹仓库场地四周设置有绿化带，因此，项目运输车辆行驶过程中扬尘量不大，对周围环境影响较小。本评价要求建设单位应对车辆进场道路及时清扫，以降低道路地面扬尘，可有效降低道路扬尘的产生。</w:t>
            </w:r>
          </w:p>
          <w:p>
            <w:pPr>
              <w:spacing w:line="520" w:lineRule="exact"/>
              <w:ind w:firstLine="480" w:firstLineChars="200"/>
              <w:rPr>
                <w:color w:val="auto"/>
                <w:sz w:val="24"/>
              </w:rPr>
            </w:pPr>
            <w:r>
              <w:rPr>
                <w:color w:val="auto"/>
                <w:sz w:val="24"/>
              </w:rPr>
              <w:t>根据以上分析，在落实本环评提出的处理措施后，本项目对周边大气环境影响较小。</w:t>
            </w:r>
          </w:p>
          <w:p>
            <w:pPr>
              <w:spacing w:line="520" w:lineRule="exact"/>
              <w:rPr>
                <w:b/>
                <w:bCs/>
                <w:color w:val="auto"/>
                <w:sz w:val="24"/>
              </w:rPr>
            </w:pPr>
            <w:r>
              <w:rPr>
                <w:b/>
                <w:bCs/>
                <w:color w:val="auto"/>
                <w:sz w:val="24"/>
              </w:rPr>
              <w:t>二、废水环境影响和保护措施</w:t>
            </w:r>
          </w:p>
          <w:p>
            <w:pPr>
              <w:spacing w:line="520" w:lineRule="exact"/>
              <w:ind w:firstLine="480" w:firstLineChars="200"/>
              <w:rPr>
                <w:rFonts w:eastAsiaTheme="minorEastAsia"/>
                <w:color w:val="auto"/>
                <w:sz w:val="24"/>
              </w:rPr>
            </w:pPr>
            <w:r>
              <w:rPr>
                <w:rFonts w:eastAsiaTheme="minorEastAsia"/>
                <w:color w:val="auto"/>
                <w:sz w:val="24"/>
              </w:rPr>
              <w:t>（1）污染源分析</w:t>
            </w:r>
          </w:p>
          <w:p>
            <w:pPr>
              <w:spacing w:line="520" w:lineRule="exact"/>
              <w:ind w:firstLine="480" w:firstLineChars="200"/>
              <w:rPr>
                <w:rFonts w:eastAsiaTheme="minorEastAsia"/>
                <w:color w:val="auto"/>
                <w:sz w:val="24"/>
              </w:rPr>
            </w:pPr>
            <w:r>
              <w:rPr>
                <w:rFonts w:eastAsiaTheme="minorEastAsia"/>
                <w:color w:val="auto"/>
                <w:sz w:val="24"/>
              </w:rPr>
              <w:t>本项目营运期为成品烟花爆竹的储存，不涉及工艺排水。产生的废水主要为工作人员产生的生活污水。</w:t>
            </w:r>
          </w:p>
          <w:p>
            <w:pPr>
              <w:spacing w:line="520" w:lineRule="exact"/>
              <w:ind w:firstLine="480" w:firstLineChars="200"/>
              <w:rPr>
                <w:rFonts w:eastAsiaTheme="minorEastAsia"/>
                <w:color w:val="auto"/>
                <w:sz w:val="24"/>
              </w:rPr>
            </w:pPr>
            <w:r>
              <w:rPr>
                <w:color w:val="auto"/>
                <w:sz w:val="24"/>
              </w:rPr>
              <w:t>本项目设计劳动定员</w:t>
            </w:r>
            <w:r>
              <w:rPr>
                <w:rFonts w:hint="eastAsia"/>
                <w:color w:val="auto"/>
                <w:sz w:val="24"/>
              </w:rPr>
              <w:t>7</w:t>
            </w:r>
            <w:r>
              <w:rPr>
                <w:color w:val="auto"/>
                <w:sz w:val="24"/>
              </w:rPr>
              <w:t>人，年运行时长365d，仅</w:t>
            </w:r>
            <w:r>
              <w:rPr>
                <w:rFonts w:hint="eastAsia"/>
                <w:color w:val="auto"/>
                <w:sz w:val="24"/>
              </w:rPr>
              <w:t>2</w:t>
            </w:r>
            <w:r>
              <w:rPr>
                <w:color w:val="auto"/>
                <w:sz w:val="24"/>
              </w:rPr>
              <w:t>人在厂区内住宿（项目区不设置食堂），其余5人为装卸司机，不在厂区内食宿</w:t>
            </w:r>
            <w:r>
              <w:rPr>
                <w:rFonts w:hint="eastAsia"/>
                <w:color w:val="auto"/>
                <w:sz w:val="24"/>
              </w:rPr>
              <w:t>，</w:t>
            </w:r>
            <w:r>
              <w:rPr>
                <w:rFonts w:eastAsiaTheme="minorEastAsia"/>
                <w:color w:val="auto"/>
                <w:sz w:val="24"/>
              </w:rPr>
              <w:t>本次按照</w:t>
            </w:r>
            <w:r>
              <w:rPr>
                <w:rFonts w:hint="eastAsia" w:eastAsiaTheme="minorEastAsia"/>
                <w:color w:val="auto"/>
                <w:sz w:val="24"/>
              </w:rPr>
              <w:t>2</w:t>
            </w:r>
            <w:r>
              <w:rPr>
                <w:rFonts w:eastAsiaTheme="minorEastAsia"/>
                <w:color w:val="auto"/>
                <w:sz w:val="24"/>
              </w:rPr>
              <w:t>人排水量计算，本项目职工办公生活污水产生量为0.</w:t>
            </w:r>
            <w:r>
              <w:rPr>
                <w:rFonts w:hint="eastAsia" w:eastAsiaTheme="minorEastAsia"/>
                <w:color w:val="auto"/>
                <w:sz w:val="24"/>
              </w:rPr>
              <w:t>128</w:t>
            </w:r>
            <w:r>
              <w:rPr>
                <w:rFonts w:eastAsiaTheme="minorEastAsia"/>
                <w:color w:val="auto"/>
                <w:sz w:val="24"/>
              </w:rPr>
              <w:t>m</w:t>
            </w:r>
            <w:r>
              <w:rPr>
                <w:rFonts w:eastAsiaTheme="minorEastAsia"/>
                <w:color w:val="auto"/>
                <w:sz w:val="24"/>
                <w:vertAlign w:val="superscript"/>
              </w:rPr>
              <w:t>3</w:t>
            </w:r>
            <w:r>
              <w:rPr>
                <w:rFonts w:eastAsiaTheme="minorEastAsia"/>
                <w:color w:val="auto"/>
                <w:sz w:val="24"/>
              </w:rPr>
              <w:t>/d，</w:t>
            </w:r>
            <w:r>
              <w:rPr>
                <w:rFonts w:hint="eastAsia" w:eastAsiaTheme="minorEastAsia"/>
                <w:color w:val="auto"/>
                <w:sz w:val="24"/>
              </w:rPr>
              <w:t>46.72</w:t>
            </w:r>
            <w:r>
              <w:rPr>
                <w:rFonts w:eastAsiaTheme="minorEastAsia"/>
                <w:color w:val="auto"/>
                <w:sz w:val="24"/>
              </w:rPr>
              <w:t>m</w:t>
            </w:r>
            <w:r>
              <w:rPr>
                <w:rFonts w:eastAsiaTheme="minorEastAsia"/>
                <w:color w:val="auto"/>
                <w:sz w:val="24"/>
                <w:vertAlign w:val="superscript"/>
              </w:rPr>
              <w:t>3</w:t>
            </w:r>
            <w:r>
              <w:rPr>
                <w:rFonts w:eastAsiaTheme="minorEastAsia"/>
                <w:color w:val="auto"/>
                <w:sz w:val="24"/>
              </w:rPr>
              <w:t>/a，主要含COD、SS、BOD</w:t>
            </w:r>
            <w:r>
              <w:rPr>
                <w:rFonts w:eastAsiaTheme="minorEastAsia"/>
                <w:color w:val="auto"/>
                <w:sz w:val="24"/>
                <w:vertAlign w:val="subscript"/>
              </w:rPr>
              <w:t>5</w:t>
            </w:r>
            <w:r>
              <w:rPr>
                <w:rFonts w:eastAsiaTheme="minorEastAsia"/>
                <w:color w:val="auto"/>
                <w:sz w:val="24"/>
              </w:rPr>
              <w:t>、NH</w:t>
            </w:r>
            <w:r>
              <w:rPr>
                <w:rFonts w:eastAsiaTheme="minorEastAsia"/>
                <w:color w:val="auto"/>
                <w:sz w:val="24"/>
                <w:vertAlign w:val="subscript"/>
              </w:rPr>
              <w:t>3</w:t>
            </w:r>
            <w:r>
              <w:rPr>
                <w:rFonts w:eastAsiaTheme="minorEastAsia"/>
                <w:color w:val="auto"/>
                <w:sz w:val="24"/>
              </w:rPr>
              <w:t>-N污染物。鉴于项目区生活污水量较少，水质较为简单，排入防渗化粪池中，定期由吸污车清运至尉犁县污水处理厂集中处理。本项目配套建设容积为</w:t>
            </w:r>
            <w:r>
              <w:rPr>
                <w:rFonts w:hint="eastAsia" w:eastAsiaTheme="minorEastAsia"/>
                <w:color w:val="auto"/>
                <w:sz w:val="24"/>
              </w:rPr>
              <w:t>27</w:t>
            </w:r>
            <w:r>
              <w:rPr>
                <w:rFonts w:eastAsiaTheme="minorEastAsia"/>
                <w:color w:val="auto"/>
                <w:sz w:val="24"/>
              </w:rPr>
              <w:t>m</w:t>
            </w:r>
            <w:r>
              <w:rPr>
                <w:rFonts w:eastAsiaTheme="minorEastAsia"/>
                <w:color w:val="auto"/>
                <w:sz w:val="24"/>
                <w:vertAlign w:val="superscript"/>
              </w:rPr>
              <w:t>3</w:t>
            </w:r>
            <w:r>
              <w:rPr>
                <w:rFonts w:eastAsiaTheme="minorEastAsia"/>
                <w:color w:val="auto"/>
                <w:sz w:val="24"/>
              </w:rPr>
              <w:t>的防渗化粪池，底部和池壁采取防渗措施。</w:t>
            </w:r>
          </w:p>
          <w:p>
            <w:pPr>
              <w:spacing w:line="520" w:lineRule="exact"/>
              <w:ind w:firstLine="480" w:firstLineChars="200"/>
              <w:rPr>
                <w:b/>
                <w:bCs/>
                <w:color w:val="auto"/>
                <w:sz w:val="24"/>
              </w:rPr>
            </w:pPr>
            <w:r>
              <w:rPr>
                <w:rFonts w:eastAsiaTheme="minorEastAsia"/>
                <w:color w:val="auto"/>
                <w:sz w:val="24"/>
              </w:rPr>
              <w:t>项目区生活污水污染物产排情况见表4-</w:t>
            </w:r>
            <w:r>
              <w:rPr>
                <w:rFonts w:hint="eastAsia" w:eastAsiaTheme="minorEastAsia"/>
                <w:color w:val="auto"/>
                <w:sz w:val="24"/>
              </w:rPr>
              <w:t>2</w:t>
            </w:r>
            <w:r>
              <w:rPr>
                <w:rFonts w:eastAsiaTheme="minorEastAsia"/>
                <w:color w:val="auto"/>
                <w:sz w:val="24"/>
              </w:rPr>
              <w:t>。</w:t>
            </w:r>
          </w:p>
          <w:p>
            <w:pPr>
              <w:pStyle w:val="52"/>
              <w:rPr>
                <w:color w:val="auto"/>
              </w:rPr>
            </w:pPr>
            <w:r>
              <w:rPr>
                <w:color w:val="auto"/>
              </w:rPr>
              <w:t>表4-</w:t>
            </w:r>
            <w:r>
              <w:rPr>
                <w:rFonts w:hint="eastAsia"/>
                <w:color w:val="auto"/>
              </w:rPr>
              <w:t>2</w:t>
            </w:r>
            <w:r>
              <w:rPr>
                <w:color w:val="auto"/>
              </w:rPr>
              <w:t xml:space="preserve">  生活污水排放情况一览表</w:t>
            </w:r>
          </w:p>
          <w:tbl>
            <w:tblPr>
              <w:tblStyle w:val="2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250"/>
              <w:gridCol w:w="1214"/>
              <w:gridCol w:w="2230"/>
              <w:gridCol w:w="199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87" w:type="pct"/>
                  <w:tcBorders>
                    <w:tl2br w:val="nil"/>
                    <w:tr2bl w:val="nil"/>
                  </w:tcBorders>
                  <w:tcMar>
                    <w:left w:w="28" w:type="dxa"/>
                    <w:right w:w="28" w:type="dxa"/>
                  </w:tcMar>
                  <w:vAlign w:val="center"/>
                </w:tcPr>
                <w:p>
                  <w:pPr>
                    <w:spacing w:line="300" w:lineRule="exact"/>
                    <w:jc w:val="center"/>
                    <w:rPr>
                      <w:color w:val="auto"/>
                      <w:szCs w:val="21"/>
                    </w:rPr>
                  </w:pPr>
                  <w:r>
                    <w:rPr>
                      <w:color w:val="auto"/>
                      <w:szCs w:val="21"/>
                    </w:rPr>
                    <w:t>污水类型</w:t>
                  </w:r>
                </w:p>
              </w:tc>
              <w:tc>
                <w:tcPr>
                  <w:tcW w:w="787" w:type="pct"/>
                  <w:tcBorders>
                    <w:tl2br w:val="nil"/>
                    <w:tr2bl w:val="nil"/>
                  </w:tcBorders>
                  <w:tcMar>
                    <w:left w:w="28" w:type="dxa"/>
                    <w:right w:w="28" w:type="dxa"/>
                  </w:tcMar>
                  <w:vAlign w:val="center"/>
                </w:tcPr>
                <w:p>
                  <w:pPr>
                    <w:spacing w:line="300" w:lineRule="exact"/>
                    <w:jc w:val="center"/>
                    <w:rPr>
                      <w:color w:val="auto"/>
                      <w:szCs w:val="21"/>
                    </w:rPr>
                  </w:pPr>
                  <w:r>
                    <w:rPr>
                      <w:color w:val="auto"/>
                      <w:szCs w:val="21"/>
                    </w:rPr>
                    <w:t>废水量</w:t>
                  </w:r>
                </w:p>
              </w:tc>
              <w:tc>
                <w:tcPr>
                  <w:tcW w:w="764" w:type="pct"/>
                  <w:tcBorders>
                    <w:tl2br w:val="nil"/>
                    <w:tr2bl w:val="nil"/>
                  </w:tcBorders>
                  <w:tcMar>
                    <w:left w:w="28" w:type="dxa"/>
                    <w:right w:w="28" w:type="dxa"/>
                  </w:tcMar>
                  <w:vAlign w:val="center"/>
                </w:tcPr>
                <w:p>
                  <w:pPr>
                    <w:spacing w:line="300" w:lineRule="exact"/>
                    <w:jc w:val="center"/>
                    <w:rPr>
                      <w:color w:val="auto"/>
                      <w:szCs w:val="21"/>
                    </w:rPr>
                  </w:pPr>
                  <w:r>
                    <w:rPr>
                      <w:color w:val="auto"/>
                      <w:szCs w:val="21"/>
                    </w:rPr>
                    <w:t>污染物</w:t>
                  </w:r>
                </w:p>
              </w:tc>
              <w:tc>
                <w:tcPr>
                  <w:tcW w:w="1403" w:type="pct"/>
                  <w:tcBorders>
                    <w:tl2br w:val="nil"/>
                    <w:tr2bl w:val="nil"/>
                  </w:tcBorders>
                  <w:tcMar>
                    <w:left w:w="28" w:type="dxa"/>
                    <w:right w:w="28" w:type="dxa"/>
                  </w:tcMar>
                  <w:vAlign w:val="center"/>
                </w:tcPr>
                <w:p>
                  <w:pPr>
                    <w:spacing w:line="300" w:lineRule="exact"/>
                    <w:jc w:val="center"/>
                    <w:rPr>
                      <w:color w:val="auto"/>
                      <w:szCs w:val="21"/>
                    </w:rPr>
                  </w:pPr>
                  <w:r>
                    <w:rPr>
                      <w:color w:val="auto"/>
                      <w:szCs w:val="21"/>
                    </w:rPr>
                    <w:t>排放浓度（mg/L）</w:t>
                  </w:r>
                </w:p>
              </w:tc>
              <w:tc>
                <w:tcPr>
                  <w:tcW w:w="1257" w:type="pct"/>
                  <w:tcBorders>
                    <w:tl2br w:val="nil"/>
                    <w:tr2bl w:val="nil"/>
                  </w:tcBorders>
                  <w:tcMar>
                    <w:left w:w="28" w:type="dxa"/>
                    <w:right w:w="28" w:type="dxa"/>
                  </w:tcMar>
                  <w:vAlign w:val="center"/>
                </w:tcPr>
                <w:p>
                  <w:pPr>
                    <w:spacing w:line="300" w:lineRule="exact"/>
                    <w:jc w:val="center"/>
                    <w:rPr>
                      <w:color w:val="auto"/>
                      <w:szCs w:val="21"/>
                    </w:rPr>
                  </w:pPr>
                  <w:r>
                    <w:rPr>
                      <w:color w:val="auto"/>
                      <w:szCs w:val="21"/>
                    </w:rPr>
                    <w:t>年排放量（t/a）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87" w:type="pct"/>
                  <w:vMerge w:val="restart"/>
                  <w:tcBorders>
                    <w:tl2br w:val="nil"/>
                    <w:tr2bl w:val="nil"/>
                  </w:tcBorders>
                  <w:tcMar>
                    <w:left w:w="28" w:type="dxa"/>
                    <w:right w:w="28" w:type="dxa"/>
                  </w:tcMar>
                  <w:vAlign w:val="center"/>
                </w:tcPr>
                <w:p>
                  <w:pPr>
                    <w:spacing w:line="300" w:lineRule="exact"/>
                    <w:jc w:val="center"/>
                    <w:rPr>
                      <w:color w:val="auto"/>
                      <w:szCs w:val="21"/>
                    </w:rPr>
                  </w:pPr>
                  <w:r>
                    <w:rPr>
                      <w:color w:val="auto"/>
                      <w:szCs w:val="21"/>
                    </w:rPr>
                    <w:t>生活污水</w:t>
                  </w:r>
                </w:p>
              </w:tc>
              <w:tc>
                <w:tcPr>
                  <w:tcW w:w="787" w:type="pct"/>
                  <w:vMerge w:val="restart"/>
                  <w:tcBorders>
                    <w:tl2br w:val="nil"/>
                    <w:tr2bl w:val="nil"/>
                  </w:tcBorders>
                  <w:tcMar>
                    <w:left w:w="28" w:type="dxa"/>
                    <w:right w:w="28" w:type="dxa"/>
                  </w:tcMar>
                  <w:vAlign w:val="center"/>
                </w:tcPr>
                <w:p>
                  <w:pPr>
                    <w:spacing w:line="300" w:lineRule="exact"/>
                    <w:jc w:val="center"/>
                    <w:rPr>
                      <w:color w:val="auto"/>
                      <w:szCs w:val="21"/>
                    </w:rPr>
                  </w:pPr>
                  <w:r>
                    <w:rPr>
                      <w:rFonts w:hint="eastAsia"/>
                      <w:color w:val="auto"/>
                      <w:szCs w:val="21"/>
                    </w:rPr>
                    <w:t>46.72</w:t>
                  </w:r>
                  <w:r>
                    <w:rPr>
                      <w:color w:val="auto"/>
                      <w:szCs w:val="21"/>
                    </w:rPr>
                    <w:t>m</w:t>
                  </w:r>
                  <w:r>
                    <w:rPr>
                      <w:color w:val="auto"/>
                      <w:szCs w:val="21"/>
                      <w:vertAlign w:val="superscript"/>
                    </w:rPr>
                    <w:t>3</w:t>
                  </w:r>
                  <w:r>
                    <w:rPr>
                      <w:color w:val="auto"/>
                      <w:szCs w:val="21"/>
                    </w:rPr>
                    <w:t>/a</w:t>
                  </w:r>
                </w:p>
              </w:tc>
              <w:tc>
                <w:tcPr>
                  <w:tcW w:w="764" w:type="pct"/>
                  <w:tcBorders>
                    <w:tl2br w:val="nil"/>
                    <w:tr2bl w:val="nil"/>
                  </w:tcBorders>
                  <w:tcMar>
                    <w:left w:w="28" w:type="dxa"/>
                    <w:right w:w="28" w:type="dxa"/>
                  </w:tcMar>
                  <w:vAlign w:val="center"/>
                </w:tcPr>
                <w:p>
                  <w:pPr>
                    <w:spacing w:line="300" w:lineRule="exact"/>
                    <w:jc w:val="center"/>
                    <w:rPr>
                      <w:color w:val="auto"/>
                      <w:szCs w:val="21"/>
                    </w:rPr>
                  </w:pPr>
                  <w:r>
                    <w:rPr>
                      <w:color w:val="auto"/>
                      <w:szCs w:val="21"/>
                    </w:rPr>
                    <w:t>COD</w:t>
                  </w:r>
                </w:p>
              </w:tc>
              <w:tc>
                <w:tcPr>
                  <w:tcW w:w="1403" w:type="pct"/>
                  <w:tcBorders>
                    <w:tl2br w:val="nil"/>
                    <w:tr2bl w:val="nil"/>
                  </w:tcBorders>
                  <w:tcMar>
                    <w:left w:w="28" w:type="dxa"/>
                    <w:right w:w="28" w:type="dxa"/>
                  </w:tcMar>
                  <w:vAlign w:val="center"/>
                </w:tcPr>
                <w:p>
                  <w:pPr>
                    <w:spacing w:line="300" w:lineRule="exact"/>
                    <w:jc w:val="center"/>
                    <w:rPr>
                      <w:color w:val="auto"/>
                      <w:szCs w:val="21"/>
                    </w:rPr>
                  </w:pPr>
                  <w:r>
                    <w:rPr>
                      <w:color w:val="auto"/>
                      <w:szCs w:val="21"/>
                    </w:rPr>
                    <w:t>350</w:t>
                  </w:r>
                </w:p>
              </w:tc>
              <w:tc>
                <w:tcPr>
                  <w:tcW w:w="1995" w:type="dxa"/>
                  <w:tcBorders>
                    <w:tl2br w:val="nil"/>
                    <w:tr2bl w:val="nil"/>
                  </w:tcBorders>
                  <w:tcMar>
                    <w:left w:w="28" w:type="dxa"/>
                    <w:right w:w="28" w:type="dxa"/>
                  </w:tcMar>
                  <w:vAlign w:val="center"/>
                </w:tcPr>
                <w:p>
                  <w:pPr>
                    <w:spacing w:line="300" w:lineRule="exact"/>
                    <w:jc w:val="center"/>
                    <w:rPr>
                      <w:color w:val="auto"/>
                      <w:szCs w:val="21"/>
                    </w:rPr>
                  </w:pPr>
                  <w:r>
                    <w:rPr>
                      <w:rFonts w:hint="eastAsia"/>
                      <w:color w:val="auto"/>
                      <w:szCs w:val="21"/>
                    </w:rPr>
                    <w:t>0.0164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87" w:type="pct"/>
                  <w:vMerge w:val="continue"/>
                  <w:tcBorders>
                    <w:tl2br w:val="nil"/>
                    <w:tr2bl w:val="nil"/>
                  </w:tcBorders>
                  <w:tcMar>
                    <w:left w:w="28" w:type="dxa"/>
                    <w:right w:w="28" w:type="dxa"/>
                  </w:tcMar>
                  <w:vAlign w:val="center"/>
                </w:tcPr>
                <w:p>
                  <w:pPr>
                    <w:spacing w:line="300" w:lineRule="exact"/>
                    <w:jc w:val="center"/>
                    <w:rPr>
                      <w:color w:val="auto"/>
                      <w:szCs w:val="21"/>
                    </w:rPr>
                  </w:pPr>
                </w:p>
              </w:tc>
              <w:tc>
                <w:tcPr>
                  <w:tcW w:w="787" w:type="pct"/>
                  <w:vMerge w:val="continue"/>
                  <w:tcBorders>
                    <w:tl2br w:val="nil"/>
                    <w:tr2bl w:val="nil"/>
                  </w:tcBorders>
                  <w:tcMar>
                    <w:left w:w="28" w:type="dxa"/>
                    <w:right w:w="28" w:type="dxa"/>
                  </w:tcMar>
                  <w:vAlign w:val="center"/>
                </w:tcPr>
                <w:p>
                  <w:pPr>
                    <w:spacing w:line="300" w:lineRule="exact"/>
                    <w:jc w:val="center"/>
                    <w:rPr>
                      <w:color w:val="auto"/>
                      <w:szCs w:val="21"/>
                    </w:rPr>
                  </w:pPr>
                </w:p>
              </w:tc>
              <w:tc>
                <w:tcPr>
                  <w:tcW w:w="764" w:type="pct"/>
                  <w:tcBorders>
                    <w:tl2br w:val="nil"/>
                    <w:tr2bl w:val="nil"/>
                  </w:tcBorders>
                  <w:tcMar>
                    <w:left w:w="28" w:type="dxa"/>
                    <w:right w:w="28" w:type="dxa"/>
                  </w:tcMar>
                  <w:vAlign w:val="center"/>
                </w:tcPr>
                <w:p>
                  <w:pPr>
                    <w:spacing w:line="300" w:lineRule="exact"/>
                    <w:jc w:val="center"/>
                    <w:rPr>
                      <w:color w:val="auto"/>
                      <w:szCs w:val="21"/>
                    </w:rPr>
                  </w:pPr>
                  <w:r>
                    <w:rPr>
                      <w:color w:val="auto"/>
                      <w:szCs w:val="21"/>
                    </w:rPr>
                    <w:t>BOD</w:t>
                  </w:r>
                  <w:r>
                    <w:rPr>
                      <w:color w:val="auto"/>
                      <w:szCs w:val="21"/>
                      <w:vertAlign w:val="subscript"/>
                    </w:rPr>
                    <w:t>5</w:t>
                  </w:r>
                </w:p>
              </w:tc>
              <w:tc>
                <w:tcPr>
                  <w:tcW w:w="1403" w:type="pct"/>
                  <w:tcBorders>
                    <w:tl2br w:val="nil"/>
                    <w:tr2bl w:val="nil"/>
                  </w:tcBorders>
                  <w:tcMar>
                    <w:left w:w="28" w:type="dxa"/>
                    <w:right w:w="28" w:type="dxa"/>
                  </w:tcMar>
                  <w:vAlign w:val="center"/>
                </w:tcPr>
                <w:p>
                  <w:pPr>
                    <w:spacing w:line="300" w:lineRule="exact"/>
                    <w:jc w:val="center"/>
                    <w:rPr>
                      <w:color w:val="auto"/>
                      <w:szCs w:val="21"/>
                    </w:rPr>
                  </w:pPr>
                  <w:r>
                    <w:rPr>
                      <w:color w:val="auto"/>
                      <w:szCs w:val="21"/>
                    </w:rPr>
                    <w:t>200</w:t>
                  </w:r>
                </w:p>
              </w:tc>
              <w:tc>
                <w:tcPr>
                  <w:tcW w:w="1995" w:type="dxa"/>
                  <w:tcBorders>
                    <w:tl2br w:val="nil"/>
                    <w:tr2bl w:val="nil"/>
                  </w:tcBorders>
                  <w:tcMar>
                    <w:left w:w="28" w:type="dxa"/>
                    <w:right w:w="28" w:type="dxa"/>
                  </w:tcMar>
                  <w:vAlign w:val="center"/>
                </w:tcPr>
                <w:p>
                  <w:pPr>
                    <w:spacing w:line="300" w:lineRule="exact"/>
                    <w:jc w:val="center"/>
                    <w:rPr>
                      <w:color w:val="auto"/>
                      <w:szCs w:val="21"/>
                    </w:rPr>
                  </w:pPr>
                  <w:r>
                    <w:rPr>
                      <w:rFonts w:hint="eastAsia"/>
                      <w:color w:val="auto"/>
                      <w:szCs w:val="21"/>
                    </w:rPr>
                    <w:t>0.0093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87" w:type="pct"/>
                  <w:vMerge w:val="continue"/>
                  <w:tcBorders>
                    <w:tl2br w:val="nil"/>
                    <w:tr2bl w:val="nil"/>
                  </w:tcBorders>
                  <w:tcMar>
                    <w:left w:w="28" w:type="dxa"/>
                    <w:right w:w="28" w:type="dxa"/>
                  </w:tcMar>
                  <w:vAlign w:val="center"/>
                </w:tcPr>
                <w:p>
                  <w:pPr>
                    <w:spacing w:line="300" w:lineRule="exact"/>
                    <w:jc w:val="center"/>
                    <w:rPr>
                      <w:color w:val="auto"/>
                      <w:szCs w:val="21"/>
                    </w:rPr>
                  </w:pPr>
                </w:p>
              </w:tc>
              <w:tc>
                <w:tcPr>
                  <w:tcW w:w="787" w:type="pct"/>
                  <w:vMerge w:val="continue"/>
                  <w:tcBorders>
                    <w:tl2br w:val="nil"/>
                    <w:tr2bl w:val="nil"/>
                  </w:tcBorders>
                  <w:tcMar>
                    <w:left w:w="28" w:type="dxa"/>
                    <w:right w:w="28" w:type="dxa"/>
                  </w:tcMar>
                  <w:vAlign w:val="center"/>
                </w:tcPr>
                <w:p>
                  <w:pPr>
                    <w:spacing w:line="300" w:lineRule="exact"/>
                    <w:jc w:val="center"/>
                    <w:rPr>
                      <w:color w:val="auto"/>
                      <w:szCs w:val="21"/>
                    </w:rPr>
                  </w:pPr>
                </w:p>
              </w:tc>
              <w:tc>
                <w:tcPr>
                  <w:tcW w:w="764" w:type="pct"/>
                  <w:tcBorders>
                    <w:tl2br w:val="nil"/>
                    <w:tr2bl w:val="nil"/>
                  </w:tcBorders>
                  <w:tcMar>
                    <w:left w:w="28" w:type="dxa"/>
                    <w:right w:w="28" w:type="dxa"/>
                  </w:tcMar>
                  <w:vAlign w:val="center"/>
                </w:tcPr>
                <w:p>
                  <w:pPr>
                    <w:spacing w:line="300" w:lineRule="exact"/>
                    <w:jc w:val="center"/>
                    <w:rPr>
                      <w:color w:val="auto"/>
                      <w:szCs w:val="21"/>
                    </w:rPr>
                  </w:pPr>
                  <w:r>
                    <w:rPr>
                      <w:color w:val="auto"/>
                      <w:szCs w:val="21"/>
                    </w:rPr>
                    <w:t>SS</w:t>
                  </w:r>
                </w:p>
              </w:tc>
              <w:tc>
                <w:tcPr>
                  <w:tcW w:w="1403" w:type="pct"/>
                  <w:tcBorders>
                    <w:tl2br w:val="nil"/>
                    <w:tr2bl w:val="nil"/>
                  </w:tcBorders>
                  <w:tcMar>
                    <w:left w:w="28" w:type="dxa"/>
                    <w:right w:w="28" w:type="dxa"/>
                  </w:tcMar>
                  <w:vAlign w:val="center"/>
                </w:tcPr>
                <w:p>
                  <w:pPr>
                    <w:spacing w:line="300" w:lineRule="exact"/>
                    <w:jc w:val="center"/>
                    <w:rPr>
                      <w:color w:val="auto"/>
                      <w:szCs w:val="21"/>
                    </w:rPr>
                  </w:pPr>
                  <w:r>
                    <w:rPr>
                      <w:color w:val="auto"/>
                      <w:szCs w:val="21"/>
                    </w:rPr>
                    <w:t>200</w:t>
                  </w:r>
                </w:p>
              </w:tc>
              <w:tc>
                <w:tcPr>
                  <w:tcW w:w="1995" w:type="dxa"/>
                  <w:tcBorders>
                    <w:tl2br w:val="nil"/>
                    <w:tr2bl w:val="nil"/>
                  </w:tcBorders>
                  <w:tcMar>
                    <w:left w:w="28" w:type="dxa"/>
                    <w:right w:w="28" w:type="dxa"/>
                  </w:tcMar>
                  <w:vAlign w:val="center"/>
                </w:tcPr>
                <w:p>
                  <w:pPr>
                    <w:spacing w:line="300" w:lineRule="exact"/>
                    <w:jc w:val="center"/>
                    <w:rPr>
                      <w:color w:val="auto"/>
                      <w:szCs w:val="21"/>
                    </w:rPr>
                  </w:pPr>
                  <w:r>
                    <w:rPr>
                      <w:rFonts w:hint="eastAsia"/>
                      <w:color w:val="auto"/>
                      <w:szCs w:val="21"/>
                    </w:rPr>
                    <w:t>0.0093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87" w:type="pct"/>
                  <w:vMerge w:val="continue"/>
                  <w:tcBorders>
                    <w:tl2br w:val="nil"/>
                    <w:tr2bl w:val="nil"/>
                  </w:tcBorders>
                  <w:tcMar>
                    <w:left w:w="28" w:type="dxa"/>
                    <w:right w:w="28" w:type="dxa"/>
                  </w:tcMar>
                  <w:vAlign w:val="center"/>
                </w:tcPr>
                <w:p>
                  <w:pPr>
                    <w:spacing w:line="300" w:lineRule="exact"/>
                    <w:jc w:val="center"/>
                    <w:rPr>
                      <w:color w:val="auto"/>
                      <w:szCs w:val="21"/>
                    </w:rPr>
                  </w:pPr>
                </w:p>
              </w:tc>
              <w:tc>
                <w:tcPr>
                  <w:tcW w:w="787" w:type="pct"/>
                  <w:vMerge w:val="continue"/>
                  <w:tcBorders>
                    <w:tl2br w:val="nil"/>
                    <w:tr2bl w:val="nil"/>
                  </w:tcBorders>
                  <w:tcMar>
                    <w:left w:w="28" w:type="dxa"/>
                    <w:right w:w="28" w:type="dxa"/>
                  </w:tcMar>
                  <w:vAlign w:val="center"/>
                </w:tcPr>
                <w:p>
                  <w:pPr>
                    <w:spacing w:line="300" w:lineRule="exact"/>
                    <w:jc w:val="center"/>
                    <w:rPr>
                      <w:color w:val="auto"/>
                      <w:szCs w:val="21"/>
                    </w:rPr>
                  </w:pPr>
                </w:p>
              </w:tc>
              <w:tc>
                <w:tcPr>
                  <w:tcW w:w="764" w:type="pct"/>
                  <w:tcBorders>
                    <w:tl2br w:val="nil"/>
                    <w:tr2bl w:val="nil"/>
                  </w:tcBorders>
                  <w:tcMar>
                    <w:left w:w="28" w:type="dxa"/>
                    <w:right w:w="28" w:type="dxa"/>
                  </w:tcMar>
                  <w:vAlign w:val="center"/>
                </w:tcPr>
                <w:p>
                  <w:pPr>
                    <w:spacing w:line="300" w:lineRule="exact"/>
                    <w:jc w:val="center"/>
                    <w:rPr>
                      <w:color w:val="auto"/>
                      <w:szCs w:val="21"/>
                    </w:rPr>
                  </w:pPr>
                  <w:r>
                    <w:rPr>
                      <w:color w:val="auto"/>
                      <w:szCs w:val="21"/>
                    </w:rPr>
                    <w:t>NH</w:t>
                  </w:r>
                  <w:r>
                    <w:rPr>
                      <w:color w:val="auto"/>
                      <w:szCs w:val="21"/>
                      <w:vertAlign w:val="subscript"/>
                    </w:rPr>
                    <w:t>3</w:t>
                  </w:r>
                  <w:r>
                    <w:rPr>
                      <w:color w:val="auto"/>
                      <w:szCs w:val="21"/>
                    </w:rPr>
                    <w:t>-N</w:t>
                  </w:r>
                </w:p>
              </w:tc>
              <w:tc>
                <w:tcPr>
                  <w:tcW w:w="1403" w:type="pct"/>
                  <w:tcBorders>
                    <w:tl2br w:val="nil"/>
                    <w:tr2bl w:val="nil"/>
                  </w:tcBorders>
                  <w:tcMar>
                    <w:left w:w="28" w:type="dxa"/>
                    <w:right w:w="28" w:type="dxa"/>
                  </w:tcMar>
                  <w:vAlign w:val="center"/>
                </w:tcPr>
                <w:p>
                  <w:pPr>
                    <w:spacing w:line="300" w:lineRule="exact"/>
                    <w:jc w:val="center"/>
                    <w:rPr>
                      <w:color w:val="auto"/>
                      <w:szCs w:val="21"/>
                    </w:rPr>
                  </w:pPr>
                  <w:r>
                    <w:rPr>
                      <w:color w:val="auto"/>
                      <w:szCs w:val="21"/>
                    </w:rPr>
                    <w:t>25</w:t>
                  </w:r>
                </w:p>
              </w:tc>
              <w:tc>
                <w:tcPr>
                  <w:tcW w:w="1995" w:type="dxa"/>
                  <w:tcBorders>
                    <w:tl2br w:val="nil"/>
                    <w:tr2bl w:val="nil"/>
                  </w:tcBorders>
                  <w:tcMar>
                    <w:left w:w="28" w:type="dxa"/>
                    <w:right w:w="28" w:type="dxa"/>
                  </w:tcMar>
                  <w:vAlign w:val="center"/>
                </w:tcPr>
                <w:p>
                  <w:pPr>
                    <w:spacing w:line="300" w:lineRule="exact"/>
                    <w:jc w:val="center"/>
                    <w:rPr>
                      <w:color w:val="auto"/>
                      <w:szCs w:val="21"/>
                    </w:rPr>
                  </w:pPr>
                  <w:r>
                    <w:rPr>
                      <w:rFonts w:hint="eastAsia"/>
                      <w:color w:val="auto"/>
                      <w:szCs w:val="21"/>
                    </w:rPr>
                    <w:t>0.0012</w:t>
                  </w:r>
                </w:p>
              </w:tc>
            </w:tr>
          </w:tbl>
          <w:p>
            <w:pPr>
              <w:spacing w:line="520" w:lineRule="exact"/>
              <w:ind w:firstLine="480" w:firstLineChars="200"/>
              <w:rPr>
                <w:color w:val="auto"/>
                <w:sz w:val="24"/>
              </w:rPr>
            </w:pPr>
            <w:r>
              <w:rPr>
                <w:color w:val="auto"/>
                <w:sz w:val="24"/>
              </w:rPr>
              <w:t>（2）依托的可行性</w:t>
            </w:r>
          </w:p>
          <w:p>
            <w:pPr>
              <w:spacing w:line="520" w:lineRule="exact"/>
              <w:ind w:firstLine="480" w:firstLineChars="200"/>
              <w:rPr>
                <w:color w:val="auto"/>
                <w:sz w:val="24"/>
              </w:rPr>
            </w:pPr>
            <w:r>
              <w:rPr>
                <w:color w:val="auto"/>
                <w:sz w:val="24"/>
              </w:rPr>
              <w:t>尉犁县城镇污水处理厂建设于2008年，2008年7月21日取得了《关于尉犁县排水改扩建及污水 再生利用工程环境影响报告表的批复》（新环监建函〔2008〕74号），2019年取得了巴州生态环境局（原巴州环保局）出具的《关于尉犁县住房和城乡建设局尉犁县城镇污水处理厂（二期）工程建设项目环境影响报告表的批复》（巴环评价函〔2017〕243号），2018年10月18日完成的竣工环境保护验收，验收备案文号：巴环评价验备〔2018〕136号。2019年6月11日已申请排污许可证，排污许可证编制号：91652823MA77CK2F1H001C。</w:t>
            </w:r>
          </w:p>
          <w:p>
            <w:pPr>
              <w:spacing w:line="520" w:lineRule="exact"/>
              <w:ind w:firstLine="480" w:firstLineChars="200"/>
              <w:rPr>
                <w:color w:val="auto"/>
                <w:sz w:val="24"/>
              </w:rPr>
            </w:pPr>
            <w:r>
              <w:rPr>
                <w:color w:val="auto"/>
                <w:sz w:val="24"/>
              </w:rPr>
              <w:t>尉犁县城镇污水处理厂设计处理能力为9000t/a，采用的处理工艺为A</w:t>
            </w:r>
            <w:r>
              <w:rPr>
                <w:color w:val="auto"/>
                <w:sz w:val="24"/>
                <w:vertAlign w:val="superscript"/>
              </w:rPr>
              <w:t>2</w:t>
            </w:r>
            <w:r>
              <w:rPr>
                <w:color w:val="auto"/>
                <w:sz w:val="24"/>
              </w:rPr>
              <w:t>/O工艺。设计进水水质为：COD：500mg/L，BOD：300 mg/L，氨氮：25mg/L，废水排放标准为《城镇污水处理厂污染物排放标准》一级A标准。</w:t>
            </w:r>
          </w:p>
          <w:p>
            <w:pPr>
              <w:spacing w:line="520" w:lineRule="exact"/>
              <w:ind w:firstLine="480" w:firstLineChars="200"/>
              <w:rPr>
                <w:color w:val="auto"/>
                <w:sz w:val="24"/>
              </w:rPr>
            </w:pPr>
            <w:r>
              <w:rPr>
                <w:color w:val="auto"/>
                <w:sz w:val="24"/>
              </w:rPr>
              <w:t>本项目生活污水排放量约为0.</w:t>
            </w:r>
            <w:r>
              <w:rPr>
                <w:rFonts w:hint="eastAsia"/>
                <w:color w:val="auto"/>
                <w:sz w:val="24"/>
              </w:rPr>
              <w:t>128</w:t>
            </w:r>
            <w:r>
              <w:rPr>
                <w:color w:val="auto"/>
                <w:sz w:val="24"/>
              </w:rPr>
              <w:t>m</w:t>
            </w:r>
            <w:r>
              <w:rPr>
                <w:color w:val="auto"/>
                <w:sz w:val="24"/>
                <w:vertAlign w:val="superscript"/>
              </w:rPr>
              <w:t>3</w:t>
            </w:r>
            <w:r>
              <w:rPr>
                <w:color w:val="auto"/>
                <w:sz w:val="24"/>
              </w:rPr>
              <w:t>/d</w:t>
            </w:r>
            <w:r>
              <w:rPr>
                <w:rFonts w:hint="eastAsia"/>
                <w:color w:val="auto"/>
                <w:sz w:val="24"/>
              </w:rPr>
              <w:t>（46.72</w:t>
            </w:r>
            <w:r>
              <w:rPr>
                <w:rFonts w:eastAsiaTheme="minorEastAsia"/>
                <w:color w:val="auto"/>
                <w:sz w:val="24"/>
              </w:rPr>
              <w:t>m</w:t>
            </w:r>
            <w:r>
              <w:rPr>
                <w:rFonts w:eastAsiaTheme="minorEastAsia"/>
                <w:color w:val="auto"/>
                <w:sz w:val="24"/>
                <w:vertAlign w:val="superscript"/>
              </w:rPr>
              <w:t>3</w:t>
            </w:r>
            <w:r>
              <w:rPr>
                <w:rFonts w:eastAsiaTheme="minorEastAsia"/>
                <w:color w:val="auto"/>
                <w:sz w:val="24"/>
              </w:rPr>
              <w:t>/a</w:t>
            </w:r>
            <w:r>
              <w:rPr>
                <w:rFonts w:hint="eastAsia"/>
                <w:color w:val="auto"/>
              </w:rPr>
              <w:t>）</w:t>
            </w:r>
            <w:r>
              <w:rPr>
                <w:color w:val="auto"/>
                <w:sz w:val="24"/>
              </w:rPr>
              <w:t>，尉犁县城镇污水处理厂设计日处理规模为0.9万m</w:t>
            </w:r>
            <w:r>
              <w:rPr>
                <w:color w:val="auto"/>
                <w:sz w:val="24"/>
                <w:vertAlign w:val="superscript"/>
              </w:rPr>
              <w:t>3</w:t>
            </w:r>
            <w:r>
              <w:rPr>
                <w:color w:val="auto"/>
                <w:sz w:val="24"/>
              </w:rPr>
              <w:t>。目前尉犁县城镇污水处理厂剩余量为0.1万m</w:t>
            </w:r>
            <w:r>
              <w:rPr>
                <w:color w:val="auto"/>
                <w:sz w:val="24"/>
                <w:vertAlign w:val="superscript"/>
              </w:rPr>
              <w:t>3</w:t>
            </w:r>
            <w:r>
              <w:rPr>
                <w:color w:val="auto"/>
                <w:sz w:val="24"/>
              </w:rPr>
              <w:t>，从处理能力上看污水处理厂有能力接纳项目废水；项目生活污水污染物浓度较低、水质简单，符合尉犁县污水处理厂进水水质标准要求，因此依托尉犁县污水处理厂从时间、空间上均可行。此外项目水量和水质不会对污水处理厂的处理能力和处理工艺造成冲击，经处理后的污水对项目附近水域水质无重大影响，且不会改变当地水环境的功能类别。综上，项目运营过程中产生的废水得到有效处置，对地表水环境影响较小。</w:t>
            </w:r>
          </w:p>
          <w:p>
            <w:pPr>
              <w:spacing w:line="520" w:lineRule="exact"/>
              <w:rPr>
                <w:b/>
                <w:color w:val="auto"/>
                <w:sz w:val="24"/>
              </w:rPr>
            </w:pPr>
            <w:r>
              <w:rPr>
                <w:b/>
                <w:color w:val="auto"/>
                <w:sz w:val="24"/>
              </w:rPr>
              <w:t>三、噪声环境影响和保护措施</w:t>
            </w:r>
          </w:p>
          <w:p>
            <w:pPr>
              <w:spacing w:line="520" w:lineRule="exact"/>
              <w:ind w:firstLine="480" w:firstLineChars="200"/>
              <w:rPr>
                <w:color w:val="auto"/>
                <w:sz w:val="24"/>
              </w:rPr>
            </w:pPr>
            <w:r>
              <w:rPr>
                <w:color w:val="auto"/>
                <w:sz w:val="24"/>
              </w:rPr>
              <w:t>项目烟花爆竹装卸全部为人力搬卸，不使用动力设备，噪声源为烟花爆竹运输车辆的交通噪声，此类噪声可能对厂区周边造成影响，故需加强运输车辆管理，按照规定运输路线行驶，同时应限速行驶、禁止鸣笛，夜间不进行运输等，将运输车辆的交通噪声影响减小到最低程度，且项目区周围设置有2m高围墙，经过围墙隔声后，声环境影响有限，通过类比同类项目，厂界噪声值低于《工业企业厂界环境噪声排放标准》（GB12348-2008）中2类标准限值，项目产生的噪声对周围环境影响较小。</w:t>
            </w:r>
          </w:p>
          <w:p>
            <w:pPr>
              <w:spacing w:line="520" w:lineRule="exact"/>
              <w:ind w:firstLine="480" w:firstLineChars="200"/>
              <w:rPr>
                <w:color w:val="auto"/>
                <w:sz w:val="24"/>
              </w:rPr>
            </w:pPr>
            <w:r>
              <w:rPr>
                <w:color w:val="auto"/>
                <w:kern w:val="0"/>
                <w:sz w:val="24"/>
                <w:lang w:bidi="ar"/>
              </w:rPr>
              <w:t>根据《排污单位自行监测技术指南 总则》（HJ819-2017）确定本项目噪声监测计划，见表4</w:t>
            </w:r>
            <w:r>
              <w:rPr>
                <w:rFonts w:hint="eastAsia"/>
                <w:color w:val="auto"/>
                <w:kern w:val="0"/>
                <w:sz w:val="24"/>
                <w:lang w:bidi="ar"/>
              </w:rPr>
              <w:t>-3</w:t>
            </w:r>
            <w:r>
              <w:rPr>
                <w:color w:val="auto"/>
                <w:kern w:val="0"/>
                <w:sz w:val="24"/>
                <w:lang w:bidi="ar"/>
              </w:rPr>
              <w:t>。</w:t>
            </w:r>
          </w:p>
          <w:p>
            <w:pPr>
              <w:pStyle w:val="52"/>
              <w:rPr>
                <w:color w:val="auto"/>
              </w:rPr>
            </w:pPr>
            <w:r>
              <w:rPr>
                <w:color w:val="auto"/>
              </w:rPr>
              <w:t>表4-</w:t>
            </w:r>
            <w:r>
              <w:rPr>
                <w:rFonts w:hint="eastAsia"/>
                <w:color w:val="auto"/>
              </w:rPr>
              <w:t>3</w:t>
            </w:r>
            <w:r>
              <w:rPr>
                <w:color w:val="auto"/>
              </w:rPr>
              <w:t xml:space="preserve">  噪声监测计划表</w:t>
            </w:r>
          </w:p>
          <w:tbl>
            <w:tblPr>
              <w:tblStyle w:val="26"/>
              <w:tblW w:w="5000" w:type="pct"/>
              <w:tblInd w:w="5" w:type="dxa"/>
              <w:tblBorders>
                <w:top w:val="single" w:color="auto" w:sz="12" w:space="0"/>
                <w:left w:val="none" w:color="auto" w:sz="0" w:space="0"/>
                <w:bottom w:val="single" w:color="auto"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
            <w:tblGrid>
              <w:gridCol w:w="1577"/>
              <w:gridCol w:w="2213"/>
              <w:gridCol w:w="1863"/>
              <w:gridCol w:w="2293"/>
            </w:tblGrid>
            <w:tr>
              <w:tblPrEx>
                <w:tblBorders>
                  <w:top w:val="single" w:color="auto" w:sz="12" w:space="0"/>
                  <w:left w:val="none" w:color="auto" w:sz="0" w:space="0"/>
                  <w:bottom w:val="single" w:color="auto"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992" w:type="pct"/>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监测要素</w:t>
                  </w:r>
                </w:p>
              </w:tc>
              <w:tc>
                <w:tcPr>
                  <w:tcW w:w="1392" w:type="pct"/>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监测点位</w:t>
                  </w:r>
                </w:p>
              </w:tc>
              <w:tc>
                <w:tcPr>
                  <w:tcW w:w="1171" w:type="pct"/>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监测项目</w:t>
                  </w:r>
                </w:p>
              </w:tc>
              <w:tc>
                <w:tcPr>
                  <w:tcW w:w="1442" w:type="pct"/>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监测频次</w:t>
                  </w:r>
                </w:p>
              </w:tc>
            </w:tr>
            <w:tr>
              <w:tblPrEx>
                <w:tblBorders>
                  <w:top w:val="single" w:color="auto" w:sz="12" w:space="0"/>
                  <w:left w:val="none" w:color="auto" w:sz="0" w:space="0"/>
                  <w:bottom w:val="single" w:color="auto"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04" w:hRule="atLeast"/>
              </w:trPr>
              <w:tc>
                <w:tcPr>
                  <w:tcW w:w="992" w:type="pct"/>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声环境</w:t>
                  </w:r>
                </w:p>
              </w:tc>
              <w:tc>
                <w:tcPr>
                  <w:tcW w:w="1392" w:type="pct"/>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东南西北厂界外1m</w:t>
                  </w:r>
                </w:p>
              </w:tc>
              <w:tc>
                <w:tcPr>
                  <w:tcW w:w="1171" w:type="pct"/>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等效连续A声级</w:t>
                  </w:r>
                </w:p>
              </w:tc>
              <w:tc>
                <w:tcPr>
                  <w:tcW w:w="1442" w:type="pct"/>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1次/季</w:t>
                  </w:r>
                </w:p>
              </w:tc>
            </w:tr>
          </w:tbl>
          <w:p>
            <w:pPr>
              <w:spacing w:line="520" w:lineRule="exact"/>
              <w:rPr>
                <w:b/>
                <w:color w:val="auto"/>
                <w:sz w:val="24"/>
              </w:rPr>
            </w:pPr>
            <w:bookmarkStart w:id="9" w:name="_Hlk216706929"/>
            <w:r>
              <w:rPr>
                <w:b/>
                <w:color w:val="auto"/>
                <w:sz w:val="24"/>
              </w:rPr>
              <w:t>四、运营期固体废物环境影响和保护措施</w:t>
            </w:r>
          </w:p>
          <w:bookmarkEnd w:id="9"/>
          <w:p>
            <w:pPr>
              <w:spacing w:line="520" w:lineRule="exact"/>
              <w:ind w:firstLine="480" w:firstLineChars="200"/>
              <w:rPr>
                <w:bCs/>
                <w:color w:val="auto"/>
                <w:kern w:val="0"/>
                <w:sz w:val="24"/>
              </w:rPr>
            </w:pPr>
            <w:r>
              <w:rPr>
                <w:bCs/>
                <w:color w:val="auto"/>
                <w:kern w:val="0"/>
                <w:sz w:val="24"/>
              </w:rPr>
              <w:t>（1）固体废物的产生和处置情况</w:t>
            </w:r>
          </w:p>
          <w:p>
            <w:pPr>
              <w:spacing w:line="520" w:lineRule="exact"/>
              <w:ind w:firstLine="480" w:firstLineChars="200"/>
              <w:rPr>
                <w:bCs/>
                <w:color w:val="auto"/>
                <w:kern w:val="0"/>
                <w:sz w:val="24"/>
              </w:rPr>
            </w:pPr>
            <w:r>
              <w:rPr>
                <w:bCs/>
                <w:color w:val="auto"/>
                <w:kern w:val="0"/>
                <w:sz w:val="24"/>
              </w:rPr>
              <w:t>项目运营期产生的固体废物主要是工作人员产生的生活垃圾和过期及残损的烟花爆竹。</w:t>
            </w:r>
          </w:p>
          <w:p>
            <w:pPr>
              <w:spacing w:line="520" w:lineRule="exact"/>
              <w:ind w:firstLine="480" w:firstLineChars="200"/>
              <w:rPr>
                <w:bCs/>
                <w:color w:val="auto"/>
                <w:kern w:val="0"/>
                <w:sz w:val="24"/>
              </w:rPr>
            </w:pPr>
            <w:r>
              <w:rPr>
                <w:bCs/>
                <w:color w:val="auto"/>
                <w:kern w:val="0"/>
                <w:sz w:val="24"/>
              </w:rPr>
              <w:t>①生活垃圾：</w:t>
            </w:r>
            <w:r>
              <w:rPr>
                <w:color w:val="auto"/>
                <w:sz w:val="24"/>
              </w:rPr>
              <w:t>本项目设计劳动定员</w:t>
            </w:r>
            <w:r>
              <w:rPr>
                <w:rFonts w:hint="eastAsia"/>
                <w:color w:val="auto"/>
                <w:sz w:val="24"/>
                <w:lang w:val="en-US" w:eastAsia="zh-CN"/>
              </w:rPr>
              <w:t>7</w:t>
            </w:r>
            <w:r>
              <w:rPr>
                <w:color w:val="auto"/>
                <w:sz w:val="24"/>
              </w:rPr>
              <w:t>人，年运行时长365d，仅</w:t>
            </w:r>
            <w:r>
              <w:rPr>
                <w:rFonts w:hint="eastAsia"/>
                <w:color w:val="auto"/>
                <w:sz w:val="24"/>
              </w:rPr>
              <w:t>2</w:t>
            </w:r>
            <w:r>
              <w:rPr>
                <w:color w:val="auto"/>
                <w:sz w:val="24"/>
              </w:rPr>
              <w:t>人在厂区内住宿（项目区不设置食堂），其余5人为装卸司机，不在厂区内食宿</w:t>
            </w:r>
            <w:r>
              <w:rPr>
                <w:bCs/>
                <w:color w:val="auto"/>
                <w:kern w:val="0"/>
                <w:sz w:val="24"/>
              </w:rPr>
              <w:t>，</w:t>
            </w:r>
            <w:r>
              <w:rPr>
                <w:rFonts w:hint="eastAsia"/>
                <w:bCs/>
                <w:color w:val="auto"/>
                <w:kern w:val="0"/>
                <w:sz w:val="24"/>
              </w:rPr>
              <w:t>本次生活垃圾产生量按照</w:t>
            </w:r>
            <w:r>
              <w:rPr>
                <w:rFonts w:hint="eastAsia"/>
                <w:bCs/>
                <w:color w:val="auto"/>
                <w:kern w:val="0"/>
                <w:sz w:val="24"/>
                <w:lang w:val="en-US" w:eastAsia="zh-CN"/>
              </w:rPr>
              <w:t>2</w:t>
            </w:r>
            <w:r>
              <w:rPr>
                <w:rFonts w:hint="eastAsia"/>
                <w:bCs/>
                <w:color w:val="auto"/>
                <w:kern w:val="0"/>
                <w:sz w:val="24"/>
              </w:rPr>
              <w:t>人计算，</w:t>
            </w:r>
            <w:r>
              <w:rPr>
                <w:bCs/>
                <w:color w:val="auto"/>
                <w:kern w:val="0"/>
                <w:sz w:val="24"/>
              </w:rPr>
              <w:t>日常生活垃圾按人均0.5kg/d计算，则本项目生活垃圾产生量约为0.</w:t>
            </w:r>
            <w:r>
              <w:rPr>
                <w:rFonts w:hint="eastAsia"/>
                <w:bCs/>
                <w:color w:val="auto"/>
                <w:kern w:val="0"/>
                <w:sz w:val="24"/>
                <w:lang w:val="en-US" w:eastAsia="zh-CN"/>
              </w:rPr>
              <w:t>365</w:t>
            </w:r>
            <w:r>
              <w:rPr>
                <w:bCs/>
                <w:color w:val="auto"/>
                <w:kern w:val="0"/>
                <w:sz w:val="24"/>
              </w:rPr>
              <w:t>t/a。生活垃圾设垃圾桶统一收集后，交由当地环卫部门处理。</w:t>
            </w:r>
          </w:p>
          <w:p>
            <w:pPr>
              <w:spacing w:line="520" w:lineRule="exact"/>
              <w:ind w:firstLine="480" w:firstLineChars="200"/>
              <w:rPr>
                <w:rFonts w:hint="eastAsia" w:eastAsia="宋体"/>
                <w:bCs/>
                <w:color w:val="auto"/>
                <w:kern w:val="0"/>
                <w:sz w:val="24"/>
                <w:lang w:val="en-US" w:eastAsia="zh-CN"/>
              </w:rPr>
            </w:pPr>
            <w:r>
              <w:rPr>
                <w:bCs/>
                <w:color w:val="auto"/>
                <w:kern w:val="0"/>
                <w:sz w:val="24"/>
              </w:rPr>
              <w:t>②</w:t>
            </w:r>
            <w:bookmarkStart w:id="10" w:name="_Hlk216705187"/>
            <w:r>
              <w:rPr>
                <w:bCs/>
                <w:color w:val="auto"/>
                <w:kern w:val="0"/>
                <w:sz w:val="24"/>
              </w:rPr>
              <w:t>过期、残次烟花：废物</w:t>
            </w:r>
            <w:r>
              <w:rPr>
                <w:rFonts w:hint="eastAsia"/>
                <w:bCs/>
                <w:color w:val="auto"/>
                <w:kern w:val="0"/>
                <w:sz w:val="24"/>
              </w:rPr>
              <w:t>类别</w:t>
            </w:r>
            <w:r>
              <w:rPr>
                <w:bCs/>
                <w:color w:val="auto"/>
                <w:kern w:val="0"/>
                <w:sz w:val="24"/>
              </w:rPr>
              <w:t>HW49类，废物代码</w:t>
            </w:r>
            <w:r>
              <w:rPr>
                <w:rFonts w:hint="eastAsia"/>
                <w:bCs/>
                <w:color w:val="auto"/>
                <w:kern w:val="0"/>
                <w:sz w:val="24"/>
              </w:rPr>
              <w:t>900-999-49</w:t>
            </w:r>
            <w:r>
              <w:rPr>
                <w:bCs/>
                <w:color w:val="auto"/>
                <w:kern w:val="0"/>
                <w:sz w:val="24"/>
              </w:rPr>
              <w:t>，是指“被所有者申报废弃的，或未申报废弃但被非法排放、倾倒、利用、处置的，以及有关部门依法收缴或接收且需要销毁的列入《危险化学品目录》的危险化学品（不含该目录中仅具有“加压气体”物理危险性的危险化学品）”，</w:t>
            </w:r>
            <w:bookmarkEnd w:id="10"/>
            <w:r>
              <w:rPr>
                <w:bCs/>
                <w:color w:val="auto"/>
                <w:kern w:val="0"/>
                <w:sz w:val="24"/>
              </w:rPr>
              <w:t>本项目烟花爆竹中部分成分（硫黄、硝酸钾、硝酸钡、铝粉等）属于《危险化学品目录》的危险化学品。因此本项目将过期或残损而淘汰或放弃的烟花爆竹列为危险废物。根据同类项目经验过期及残损的烟花爆竹预计产生量为周转量的千分之一，项目年周转C级和D级烟花爆竹量为20t，则过期、残次烟花约为0.02t/a。依据《烟花爆竹安全管理条例》（国务院令第445号，2016年修订）第六章第四十三条“对没收的非法烟花爆竹以及生产、经营企业弃置的废旧烟花爆竹，应当就地封存，并由当地公安部门销毁、处置”</w:t>
            </w:r>
            <w:r>
              <w:rPr>
                <w:rFonts w:hint="eastAsia"/>
                <w:bCs/>
                <w:color w:val="auto"/>
                <w:kern w:val="0"/>
                <w:sz w:val="24"/>
                <w:lang w:eastAsia="zh-CN"/>
              </w:rPr>
              <w:t>。</w:t>
            </w:r>
          </w:p>
          <w:p>
            <w:pPr>
              <w:spacing w:line="520" w:lineRule="exact"/>
              <w:ind w:firstLine="480" w:firstLineChars="200"/>
              <w:rPr>
                <w:bCs/>
                <w:color w:val="auto"/>
                <w:kern w:val="0"/>
                <w:sz w:val="24"/>
              </w:rPr>
            </w:pPr>
            <w:r>
              <w:rPr>
                <w:rFonts w:hint="eastAsia"/>
                <w:bCs/>
                <w:color w:val="auto"/>
                <w:kern w:val="0"/>
                <w:sz w:val="24"/>
              </w:rPr>
              <w:t>项目运营期固体废物产生及处理情况见表4-4。</w:t>
            </w:r>
          </w:p>
          <w:p>
            <w:pPr>
              <w:pStyle w:val="52"/>
              <w:rPr>
                <w:color w:val="auto"/>
              </w:rPr>
            </w:pPr>
            <w:r>
              <w:rPr>
                <w:color w:val="auto"/>
              </w:rPr>
              <w:t>表4-</w:t>
            </w:r>
            <w:r>
              <w:rPr>
                <w:rFonts w:hint="eastAsia"/>
                <w:color w:val="auto"/>
              </w:rPr>
              <w:t>4</w:t>
            </w:r>
            <w:r>
              <w:rPr>
                <w:color w:val="auto"/>
              </w:rPr>
              <w:t xml:space="preserve">  固体废弃物产排一览表</w:t>
            </w:r>
          </w:p>
          <w:tbl>
            <w:tblPr>
              <w:tblStyle w:val="26"/>
              <w:tblW w:w="8254" w:type="dxa"/>
              <w:jc w:val="center"/>
              <w:tblBorders>
                <w:top w:val="single" w:color="auto" w:sz="12" w:space="0"/>
                <w:left w:val="none" w:color="auto" w:sz="0" w:space="0"/>
                <w:bottom w:val="single" w:color="auto"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
            <w:tblGrid>
              <w:gridCol w:w="839"/>
              <w:gridCol w:w="599"/>
              <w:gridCol w:w="558"/>
              <w:gridCol w:w="863"/>
              <w:gridCol w:w="1147"/>
              <w:gridCol w:w="599"/>
              <w:gridCol w:w="466"/>
              <w:gridCol w:w="3183"/>
            </w:tblGrid>
            <w:tr>
              <w:tblPrEx>
                <w:tblBorders>
                  <w:top w:val="single" w:color="auto" w:sz="12" w:space="0"/>
                  <w:left w:val="none" w:color="auto" w:sz="0" w:space="0"/>
                  <w:bottom w:val="single" w:color="auto"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88" w:hRule="atLeast"/>
                <w:jc w:val="center"/>
              </w:trPr>
              <w:tc>
                <w:tcPr>
                  <w:tcW w:w="508" w:type="pct"/>
                  <w:tcBorders>
                    <w:tl2br w:val="nil"/>
                    <w:tr2bl w:val="nil"/>
                  </w:tcBorders>
                  <w:vAlign w:val="center"/>
                </w:tcPr>
                <w:p>
                  <w:pPr>
                    <w:pStyle w:val="33"/>
                    <w:adjustRightInd/>
                    <w:snapToGrid/>
                    <w:spacing w:before="24" w:after="24" w:line="300" w:lineRule="exact"/>
                    <w:rPr>
                      <w:rFonts w:ascii="Times New Roman"/>
                      <w:color w:val="auto"/>
                      <w:szCs w:val="21"/>
                    </w:rPr>
                  </w:pPr>
                  <w:r>
                    <w:rPr>
                      <w:rFonts w:ascii="Times New Roman"/>
                      <w:color w:val="auto"/>
                      <w:szCs w:val="21"/>
                    </w:rPr>
                    <w:t>名称</w:t>
                  </w:r>
                </w:p>
              </w:tc>
              <w:tc>
                <w:tcPr>
                  <w:tcW w:w="363" w:type="pct"/>
                  <w:tcBorders>
                    <w:tl2br w:val="nil"/>
                    <w:tr2bl w:val="nil"/>
                  </w:tcBorders>
                  <w:vAlign w:val="center"/>
                </w:tcPr>
                <w:p>
                  <w:pPr>
                    <w:pStyle w:val="33"/>
                    <w:adjustRightInd/>
                    <w:snapToGrid/>
                    <w:spacing w:before="24" w:after="24" w:line="300" w:lineRule="exact"/>
                    <w:rPr>
                      <w:rFonts w:ascii="Times New Roman"/>
                      <w:color w:val="auto"/>
                      <w:szCs w:val="21"/>
                    </w:rPr>
                  </w:pPr>
                  <w:r>
                    <w:rPr>
                      <w:rFonts w:ascii="Times New Roman"/>
                      <w:color w:val="auto"/>
                      <w:szCs w:val="21"/>
                    </w:rPr>
                    <w:t>产污环节</w:t>
                  </w:r>
                </w:p>
              </w:tc>
              <w:tc>
                <w:tcPr>
                  <w:tcW w:w="338" w:type="pct"/>
                  <w:tcBorders>
                    <w:tl2br w:val="nil"/>
                    <w:tr2bl w:val="nil"/>
                  </w:tcBorders>
                  <w:vAlign w:val="center"/>
                </w:tcPr>
                <w:p>
                  <w:pPr>
                    <w:pStyle w:val="33"/>
                    <w:adjustRightInd/>
                    <w:snapToGrid/>
                    <w:spacing w:before="24" w:after="24" w:line="300" w:lineRule="exact"/>
                    <w:rPr>
                      <w:rFonts w:ascii="Times New Roman"/>
                      <w:color w:val="auto"/>
                      <w:szCs w:val="21"/>
                    </w:rPr>
                  </w:pPr>
                  <w:r>
                    <w:rPr>
                      <w:rFonts w:ascii="Times New Roman"/>
                      <w:color w:val="auto"/>
                      <w:szCs w:val="21"/>
                    </w:rPr>
                    <w:t>属性</w:t>
                  </w:r>
                </w:p>
              </w:tc>
              <w:tc>
                <w:tcPr>
                  <w:tcW w:w="523" w:type="pct"/>
                  <w:tcBorders>
                    <w:tl2br w:val="nil"/>
                    <w:tr2bl w:val="nil"/>
                  </w:tcBorders>
                  <w:vAlign w:val="center"/>
                </w:tcPr>
                <w:p>
                  <w:pPr>
                    <w:pStyle w:val="33"/>
                    <w:adjustRightInd/>
                    <w:snapToGrid/>
                    <w:spacing w:before="24" w:after="24" w:line="300" w:lineRule="exact"/>
                    <w:rPr>
                      <w:rFonts w:ascii="Times New Roman"/>
                      <w:color w:val="auto"/>
                      <w:szCs w:val="21"/>
                    </w:rPr>
                  </w:pPr>
                  <w:r>
                    <w:rPr>
                      <w:rFonts w:ascii="Times New Roman"/>
                      <w:color w:val="auto"/>
                      <w:szCs w:val="21"/>
                    </w:rPr>
                    <w:t>废物类别</w:t>
                  </w:r>
                </w:p>
              </w:tc>
              <w:tc>
                <w:tcPr>
                  <w:tcW w:w="695" w:type="pct"/>
                  <w:tcBorders>
                    <w:tl2br w:val="nil"/>
                    <w:tr2bl w:val="nil"/>
                  </w:tcBorders>
                  <w:vAlign w:val="center"/>
                </w:tcPr>
                <w:p>
                  <w:pPr>
                    <w:pStyle w:val="33"/>
                    <w:adjustRightInd/>
                    <w:snapToGrid/>
                    <w:spacing w:before="24" w:after="24" w:line="300" w:lineRule="exact"/>
                    <w:rPr>
                      <w:rFonts w:ascii="Times New Roman"/>
                      <w:color w:val="auto"/>
                      <w:szCs w:val="21"/>
                    </w:rPr>
                  </w:pPr>
                  <w:r>
                    <w:rPr>
                      <w:rFonts w:ascii="Times New Roman"/>
                      <w:color w:val="auto"/>
                      <w:szCs w:val="21"/>
                    </w:rPr>
                    <w:t>废物代码</w:t>
                  </w:r>
                </w:p>
              </w:tc>
              <w:tc>
                <w:tcPr>
                  <w:tcW w:w="363" w:type="pct"/>
                  <w:tcBorders>
                    <w:tl2br w:val="nil"/>
                    <w:tr2bl w:val="nil"/>
                  </w:tcBorders>
                  <w:vAlign w:val="center"/>
                </w:tcPr>
                <w:p>
                  <w:pPr>
                    <w:pStyle w:val="33"/>
                    <w:adjustRightInd/>
                    <w:snapToGrid/>
                    <w:spacing w:before="24" w:after="24" w:line="300" w:lineRule="exact"/>
                    <w:rPr>
                      <w:rFonts w:ascii="Times New Roman"/>
                      <w:color w:val="auto"/>
                      <w:szCs w:val="21"/>
                    </w:rPr>
                  </w:pPr>
                  <w:r>
                    <w:rPr>
                      <w:rFonts w:ascii="Times New Roman"/>
                      <w:color w:val="auto"/>
                      <w:szCs w:val="21"/>
                    </w:rPr>
                    <w:t>产生量（t/a）</w:t>
                  </w:r>
                </w:p>
              </w:tc>
              <w:tc>
                <w:tcPr>
                  <w:tcW w:w="282" w:type="pct"/>
                </w:tcPr>
                <w:p>
                  <w:pPr>
                    <w:pStyle w:val="33"/>
                    <w:adjustRightInd/>
                    <w:snapToGrid/>
                    <w:spacing w:before="24" w:after="24" w:line="300" w:lineRule="exact"/>
                    <w:rPr>
                      <w:rFonts w:ascii="Times New Roman"/>
                      <w:color w:val="auto"/>
                      <w:szCs w:val="21"/>
                    </w:rPr>
                  </w:pPr>
                  <w:r>
                    <w:rPr>
                      <w:rFonts w:hint="eastAsia" w:ascii="Times New Roman"/>
                      <w:color w:val="auto"/>
                      <w:szCs w:val="21"/>
                    </w:rPr>
                    <w:t>危险特性</w:t>
                  </w:r>
                </w:p>
              </w:tc>
              <w:tc>
                <w:tcPr>
                  <w:tcW w:w="1928" w:type="pct"/>
                  <w:tcBorders>
                    <w:tl2br w:val="nil"/>
                    <w:tr2bl w:val="nil"/>
                  </w:tcBorders>
                  <w:vAlign w:val="center"/>
                </w:tcPr>
                <w:p>
                  <w:pPr>
                    <w:pStyle w:val="33"/>
                    <w:adjustRightInd/>
                    <w:snapToGrid/>
                    <w:spacing w:before="24" w:after="24" w:line="300" w:lineRule="exact"/>
                    <w:rPr>
                      <w:rFonts w:ascii="Times New Roman"/>
                      <w:color w:val="auto"/>
                      <w:szCs w:val="21"/>
                    </w:rPr>
                  </w:pPr>
                  <w:r>
                    <w:rPr>
                      <w:rFonts w:ascii="Times New Roman"/>
                      <w:color w:val="auto"/>
                      <w:szCs w:val="21"/>
                    </w:rPr>
                    <w:t>处理方式</w:t>
                  </w:r>
                </w:p>
              </w:tc>
            </w:tr>
            <w:tr>
              <w:tblPrEx>
                <w:tblBorders>
                  <w:top w:val="single" w:color="auto" w:sz="12" w:space="0"/>
                  <w:left w:val="none" w:color="auto" w:sz="0" w:space="0"/>
                  <w:bottom w:val="single" w:color="auto"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656" w:hRule="atLeast"/>
                <w:jc w:val="center"/>
              </w:trPr>
              <w:tc>
                <w:tcPr>
                  <w:tcW w:w="508" w:type="pct"/>
                  <w:tcBorders>
                    <w:tl2br w:val="nil"/>
                    <w:tr2bl w:val="nil"/>
                  </w:tcBorders>
                  <w:vAlign w:val="center"/>
                </w:tcPr>
                <w:p>
                  <w:pPr>
                    <w:pStyle w:val="33"/>
                    <w:adjustRightInd/>
                    <w:snapToGrid/>
                    <w:spacing w:before="24" w:after="24" w:line="300" w:lineRule="exact"/>
                    <w:rPr>
                      <w:rFonts w:ascii="Times New Roman"/>
                      <w:color w:val="auto"/>
                      <w:szCs w:val="21"/>
                    </w:rPr>
                  </w:pPr>
                  <w:r>
                    <w:rPr>
                      <w:rFonts w:ascii="Times New Roman"/>
                      <w:color w:val="auto"/>
                      <w:szCs w:val="21"/>
                    </w:rPr>
                    <w:t>生活垃圾</w:t>
                  </w:r>
                </w:p>
              </w:tc>
              <w:tc>
                <w:tcPr>
                  <w:tcW w:w="363" w:type="pct"/>
                  <w:tcBorders>
                    <w:tl2br w:val="nil"/>
                    <w:tr2bl w:val="nil"/>
                  </w:tcBorders>
                  <w:vAlign w:val="center"/>
                </w:tcPr>
                <w:p>
                  <w:pPr>
                    <w:pStyle w:val="33"/>
                    <w:adjustRightInd/>
                    <w:snapToGrid/>
                    <w:spacing w:before="24" w:after="24" w:line="300" w:lineRule="exact"/>
                    <w:rPr>
                      <w:rFonts w:ascii="Times New Roman"/>
                      <w:color w:val="auto"/>
                      <w:szCs w:val="21"/>
                    </w:rPr>
                  </w:pPr>
                  <w:r>
                    <w:rPr>
                      <w:rFonts w:ascii="Times New Roman"/>
                      <w:color w:val="auto"/>
                      <w:szCs w:val="21"/>
                    </w:rPr>
                    <w:t>办公生活</w:t>
                  </w:r>
                </w:p>
              </w:tc>
              <w:tc>
                <w:tcPr>
                  <w:tcW w:w="338" w:type="pct"/>
                  <w:tcBorders>
                    <w:tl2br w:val="nil"/>
                    <w:tr2bl w:val="nil"/>
                  </w:tcBorders>
                  <w:vAlign w:val="center"/>
                </w:tcPr>
                <w:p>
                  <w:pPr>
                    <w:pStyle w:val="33"/>
                    <w:adjustRightInd/>
                    <w:snapToGrid/>
                    <w:spacing w:before="24" w:after="24" w:line="300" w:lineRule="exact"/>
                    <w:rPr>
                      <w:rFonts w:ascii="Times New Roman"/>
                      <w:color w:val="auto"/>
                      <w:szCs w:val="21"/>
                    </w:rPr>
                  </w:pPr>
                  <w:r>
                    <w:rPr>
                      <w:rFonts w:ascii="Times New Roman"/>
                      <w:color w:val="auto"/>
                      <w:szCs w:val="21"/>
                    </w:rPr>
                    <w:t>/</w:t>
                  </w:r>
                </w:p>
              </w:tc>
              <w:tc>
                <w:tcPr>
                  <w:tcW w:w="523" w:type="pct"/>
                  <w:tcBorders>
                    <w:tl2br w:val="nil"/>
                    <w:tr2bl w:val="nil"/>
                  </w:tcBorders>
                  <w:vAlign w:val="center"/>
                </w:tcPr>
                <w:p>
                  <w:pPr>
                    <w:pStyle w:val="33"/>
                    <w:spacing w:beforeLines="0" w:afterLines="0" w:line="240" w:lineRule="auto"/>
                    <w:rPr>
                      <w:rFonts w:ascii="Times New Roman"/>
                      <w:bCs/>
                      <w:color w:val="auto"/>
                      <w:szCs w:val="21"/>
                    </w:rPr>
                  </w:pPr>
                  <w:r>
                    <w:rPr>
                      <w:rFonts w:ascii="Times New Roman"/>
                      <w:bCs/>
                      <w:color w:val="auto"/>
                      <w:szCs w:val="21"/>
                    </w:rPr>
                    <w:t>SW61</w:t>
                  </w:r>
                </w:p>
                <w:p>
                  <w:pPr>
                    <w:pStyle w:val="33"/>
                    <w:adjustRightInd/>
                    <w:snapToGrid/>
                    <w:spacing w:before="24" w:after="24" w:line="300" w:lineRule="exact"/>
                    <w:rPr>
                      <w:rFonts w:ascii="Times New Roman"/>
                      <w:color w:val="auto"/>
                      <w:szCs w:val="21"/>
                    </w:rPr>
                  </w:pPr>
                  <w:r>
                    <w:rPr>
                      <w:rFonts w:ascii="Times New Roman"/>
                      <w:bCs/>
                      <w:color w:val="auto"/>
                      <w:szCs w:val="21"/>
                    </w:rPr>
                    <w:t>SW62</w:t>
                  </w:r>
                </w:p>
              </w:tc>
              <w:tc>
                <w:tcPr>
                  <w:tcW w:w="695" w:type="pct"/>
                  <w:tcBorders>
                    <w:tl2br w:val="nil"/>
                    <w:tr2bl w:val="nil"/>
                  </w:tcBorders>
                  <w:vAlign w:val="center"/>
                </w:tcPr>
                <w:p>
                  <w:pPr>
                    <w:pStyle w:val="33"/>
                    <w:spacing w:beforeLines="0" w:afterLines="0" w:line="240" w:lineRule="auto"/>
                    <w:rPr>
                      <w:rFonts w:ascii="Times New Roman"/>
                      <w:bCs/>
                      <w:color w:val="auto"/>
                      <w:szCs w:val="21"/>
                    </w:rPr>
                  </w:pPr>
                  <w:r>
                    <w:rPr>
                      <w:rFonts w:ascii="Times New Roman"/>
                      <w:bCs/>
                      <w:color w:val="auto"/>
                      <w:szCs w:val="21"/>
                    </w:rPr>
                    <w:t>900-001-S61</w:t>
                  </w:r>
                </w:p>
                <w:p>
                  <w:pPr>
                    <w:pStyle w:val="33"/>
                    <w:spacing w:beforeLines="0" w:afterLines="0" w:line="240" w:lineRule="auto"/>
                    <w:rPr>
                      <w:rFonts w:ascii="Times New Roman"/>
                      <w:bCs/>
                      <w:color w:val="auto"/>
                      <w:szCs w:val="21"/>
                    </w:rPr>
                  </w:pPr>
                  <w:r>
                    <w:rPr>
                      <w:rFonts w:ascii="Times New Roman"/>
                      <w:bCs/>
                      <w:color w:val="auto"/>
                      <w:szCs w:val="21"/>
                    </w:rPr>
                    <w:t>900-001-S62</w:t>
                  </w:r>
                </w:p>
                <w:p>
                  <w:pPr>
                    <w:pStyle w:val="33"/>
                    <w:adjustRightInd/>
                    <w:snapToGrid/>
                    <w:spacing w:before="24" w:after="24" w:line="300" w:lineRule="exact"/>
                    <w:rPr>
                      <w:rFonts w:ascii="Times New Roman"/>
                      <w:color w:val="auto"/>
                      <w:szCs w:val="21"/>
                    </w:rPr>
                  </w:pPr>
                  <w:r>
                    <w:rPr>
                      <w:rFonts w:ascii="Times New Roman"/>
                      <w:bCs/>
                      <w:color w:val="auto"/>
                      <w:szCs w:val="21"/>
                    </w:rPr>
                    <w:t>900-002-S62</w:t>
                  </w:r>
                </w:p>
              </w:tc>
              <w:tc>
                <w:tcPr>
                  <w:tcW w:w="363" w:type="pct"/>
                  <w:tcBorders>
                    <w:tl2br w:val="nil"/>
                    <w:tr2bl w:val="nil"/>
                  </w:tcBorders>
                  <w:vAlign w:val="center"/>
                </w:tcPr>
                <w:p>
                  <w:pPr>
                    <w:pStyle w:val="33"/>
                    <w:adjustRightInd/>
                    <w:snapToGrid/>
                    <w:spacing w:before="24" w:after="24" w:line="300" w:lineRule="exact"/>
                    <w:rPr>
                      <w:rFonts w:hint="default" w:ascii="Times New Roman" w:eastAsia="宋体"/>
                      <w:color w:val="auto"/>
                      <w:szCs w:val="21"/>
                      <w:lang w:val="en-US" w:eastAsia="zh-CN"/>
                    </w:rPr>
                  </w:pPr>
                  <w:r>
                    <w:rPr>
                      <w:rFonts w:hint="eastAsia" w:ascii="Times New Roman"/>
                      <w:color w:val="auto"/>
                      <w:szCs w:val="21"/>
                      <w:lang w:val="en-US" w:eastAsia="zh-CN"/>
                    </w:rPr>
                    <w:t>0.365</w:t>
                  </w:r>
                </w:p>
              </w:tc>
              <w:tc>
                <w:tcPr>
                  <w:tcW w:w="282" w:type="pct"/>
                </w:tcPr>
                <w:p>
                  <w:pPr>
                    <w:pStyle w:val="33"/>
                    <w:adjustRightInd/>
                    <w:snapToGrid/>
                    <w:spacing w:before="24" w:after="24" w:line="300" w:lineRule="exact"/>
                    <w:rPr>
                      <w:rFonts w:ascii="Times New Roman"/>
                      <w:color w:val="auto"/>
                      <w:szCs w:val="21"/>
                    </w:rPr>
                  </w:pPr>
                  <w:r>
                    <w:rPr>
                      <w:rFonts w:hint="eastAsia" w:ascii="Times New Roman"/>
                      <w:color w:val="auto"/>
                      <w:szCs w:val="21"/>
                    </w:rPr>
                    <w:t>/</w:t>
                  </w:r>
                </w:p>
              </w:tc>
              <w:tc>
                <w:tcPr>
                  <w:tcW w:w="1928" w:type="pct"/>
                  <w:tcBorders>
                    <w:tl2br w:val="nil"/>
                    <w:tr2bl w:val="nil"/>
                  </w:tcBorders>
                  <w:vAlign w:val="center"/>
                </w:tcPr>
                <w:p>
                  <w:pPr>
                    <w:pStyle w:val="33"/>
                    <w:adjustRightInd/>
                    <w:snapToGrid/>
                    <w:spacing w:before="24" w:after="24" w:line="300" w:lineRule="exact"/>
                    <w:rPr>
                      <w:rFonts w:ascii="Times New Roman"/>
                      <w:color w:val="auto"/>
                      <w:szCs w:val="21"/>
                    </w:rPr>
                  </w:pPr>
                  <w:r>
                    <w:rPr>
                      <w:rFonts w:ascii="Times New Roman"/>
                      <w:color w:val="auto"/>
                      <w:szCs w:val="21"/>
                    </w:rPr>
                    <w:t>垃圾桶收集，最终由当地环卫部门统一处理</w:t>
                  </w:r>
                </w:p>
              </w:tc>
            </w:tr>
            <w:tr>
              <w:tblPrEx>
                <w:tblBorders>
                  <w:top w:val="single" w:color="auto" w:sz="12" w:space="0"/>
                  <w:left w:val="none" w:color="auto" w:sz="0" w:space="0"/>
                  <w:bottom w:val="single" w:color="auto"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45" w:hRule="atLeast"/>
                <w:jc w:val="center"/>
              </w:trPr>
              <w:tc>
                <w:tcPr>
                  <w:tcW w:w="508" w:type="pct"/>
                  <w:tcBorders>
                    <w:tl2br w:val="nil"/>
                    <w:tr2bl w:val="nil"/>
                  </w:tcBorders>
                  <w:vAlign w:val="center"/>
                </w:tcPr>
                <w:p>
                  <w:pPr>
                    <w:pStyle w:val="33"/>
                    <w:adjustRightInd/>
                    <w:snapToGrid/>
                    <w:spacing w:before="24" w:after="24" w:line="300" w:lineRule="exact"/>
                    <w:rPr>
                      <w:rFonts w:ascii="Times New Roman"/>
                      <w:color w:val="auto"/>
                      <w:szCs w:val="21"/>
                    </w:rPr>
                  </w:pPr>
                  <w:r>
                    <w:rPr>
                      <w:rFonts w:ascii="Times New Roman"/>
                      <w:color w:val="auto"/>
                      <w:szCs w:val="21"/>
                    </w:rPr>
                    <w:t>过期及残损的烟花爆竹</w:t>
                  </w:r>
                </w:p>
              </w:tc>
              <w:tc>
                <w:tcPr>
                  <w:tcW w:w="363" w:type="pct"/>
                  <w:tcBorders>
                    <w:tl2br w:val="nil"/>
                    <w:tr2bl w:val="nil"/>
                  </w:tcBorders>
                  <w:vAlign w:val="center"/>
                </w:tcPr>
                <w:p>
                  <w:pPr>
                    <w:pStyle w:val="33"/>
                    <w:adjustRightInd/>
                    <w:snapToGrid/>
                    <w:spacing w:before="24" w:after="24" w:line="300" w:lineRule="exact"/>
                    <w:rPr>
                      <w:rFonts w:ascii="Times New Roman"/>
                      <w:color w:val="auto"/>
                      <w:szCs w:val="21"/>
                    </w:rPr>
                  </w:pPr>
                  <w:r>
                    <w:rPr>
                      <w:rFonts w:ascii="Times New Roman"/>
                      <w:color w:val="auto"/>
                      <w:szCs w:val="21"/>
                    </w:rPr>
                    <w:t>仓储</w:t>
                  </w:r>
                </w:p>
              </w:tc>
              <w:tc>
                <w:tcPr>
                  <w:tcW w:w="338" w:type="pct"/>
                  <w:tcBorders>
                    <w:tl2br w:val="nil"/>
                    <w:tr2bl w:val="nil"/>
                  </w:tcBorders>
                  <w:vAlign w:val="center"/>
                </w:tcPr>
                <w:p>
                  <w:pPr>
                    <w:pStyle w:val="33"/>
                    <w:adjustRightInd/>
                    <w:snapToGrid/>
                    <w:spacing w:before="24" w:after="24" w:line="300" w:lineRule="exact"/>
                    <w:rPr>
                      <w:rFonts w:ascii="Times New Roman"/>
                      <w:color w:val="auto"/>
                      <w:szCs w:val="21"/>
                    </w:rPr>
                  </w:pPr>
                  <w:r>
                    <w:rPr>
                      <w:rFonts w:ascii="Times New Roman"/>
                      <w:color w:val="auto"/>
                      <w:szCs w:val="21"/>
                    </w:rPr>
                    <w:t>危险废物</w:t>
                  </w:r>
                </w:p>
              </w:tc>
              <w:tc>
                <w:tcPr>
                  <w:tcW w:w="523" w:type="pct"/>
                  <w:tcBorders>
                    <w:tl2br w:val="nil"/>
                    <w:tr2bl w:val="nil"/>
                  </w:tcBorders>
                  <w:vAlign w:val="center"/>
                </w:tcPr>
                <w:p>
                  <w:pPr>
                    <w:pStyle w:val="33"/>
                    <w:adjustRightInd/>
                    <w:snapToGrid/>
                    <w:spacing w:before="24" w:after="24" w:line="300" w:lineRule="exact"/>
                    <w:rPr>
                      <w:rFonts w:ascii="Times New Roman"/>
                      <w:color w:val="auto"/>
                      <w:szCs w:val="21"/>
                    </w:rPr>
                  </w:pPr>
                  <w:r>
                    <w:rPr>
                      <w:rFonts w:ascii="Times New Roman"/>
                      <w:color w:val="auto"/>
                      <w:szCs w:val="21"/>
                    </w:rPr>
                    <w:t>HW49</w:t>
                  </w:r>
                </w:p>
              </w:tc>
              <w:tc>
                <w:tcPr>
                  <w:tcW w:w="695" w:type="pct"/>
                  <w:tcBorders>
                    <w:tl2br w:val="nil"/>
                    <w:tr2bl w:val="nil"/>
                  </w:tcBorders>
                  <w:vAlign w:val="center"/>
                </w:tcPr>
                <w:p>
                  <w:pPr>
                    <w:pStyle w:val="33"/>
                    <w:adjustRightInd/>
                    <w:snapToGrid/>
                    <w:spacing w:before="24" w:after="24" w:line="300" w:lineRule="exact"/>
                    <w:rPr>
                      <w:rFonts w:ascii="Times New Roman"/>
                      <w:color w:val="auto"/>
                      <w:szCs w:val="21"/>
                    </w:rPr>
                  </w:pPr>
                  <w:r>
                    <w:rPr>
                      <w:rFonts w:hint="eastAsia" w:ascii="Times New Roman"/>
                      <w:color w:val="auto"/>
                      <w:szCs w:val="21"/>
                    </w:rPr>
                    <w:t>900-999-49</w:t>
                  </w:r>
                </w:p>
              </w:tc>
              <w:tc>
                <w:tcPr>
                  <w:tcW w:w="363" w:type="pct"/>
                  <w:tcBorders>
                    <w:tl2br w:val="nil"/>
                    <w:tr2bl w:val="nil"/>
                  </w:tcBorders>
                  <w:vAlign w:val="center"/>
                </w:tcPr>
                <w:p>
                  <w:pPr>
                    <w:pStyle w:val="33"/>
                    <w:adjustRightInd/>
                    <w:snapToGrid/>
                    <w:spacing w:before="24" w:after="24" w:line="300" w:lineRule="exact"/>
                    <w:rPr>
                      <w:rFonts w:ascii="Times New Roman"/>
                      <w:color w:val="auto"/>
                      <w:szCs w:val="21"/>
                    </w:rPr>
                  </w:pPr>
                  <w:r>
                    <w:rPr>
                      <w:rFonts w:ascii="Times New Roman"/>
                      <w:color w:val="auto"/>
                      <w:szCs w:val="21"/>
                    </w:rPr>
                    <w:t>0.02</w:t>
                  </w:r>
                </w:p>
              </w:tc>
              <w:tc>
                <w:tcPr>
                  <w:tcW w:w="282" w:type="pct"/>
                </w:tcPr>
                <w:p>
                  <w:pPr>
                    <w:pStyle w:val="33"/>
                    <w:adjustRightInd/>
                    <w:snapToGrid/>
                    <w:spacing w:before="24" w:after="24" w:line="300" w:lineRule="exact"/>
                    <w:rPr>
                      <w:rFonts w:ascii="Times New Roman"/>
                      <w:color w:val="auto"/>
                    </w:rPr>
                  </w:pPr>
                  <w:r>
                    <w:rPr>
                      <w:rFonts w:hint="eastAsia" w:ascii="Times New Roman"/>
                      <w:color w:val="auto"/>
                    </w:rPr>
                    <w:t>T/C/I/R</w:t>
                  </w:r>
                </w:p>
              </w:tc>
              <w:tc>
                <w:tcPr>
                  <w:tcW w:w="1928" w:type="pct"/>
                  <w:tcBorders>
                    <w:tl2br w:val="nil"/>
                    <w:tr2bl w:val="nil"/>
                  </w:tcBorders>
                  <w:vAlign w:val="center"/>
                </w:tcPr>
                <w:p>
                  <w:pPr>
                    <w:pStyle w:val="33"/>
                    <w:adjustRightInd/>
                    <w:snapToGrid/>
                    <w:spacing w:before="24" w:after="24" w:line="300" w:lineRule="exact"/>
                    <w:rPr>
                      <w:rFonts w:ascii="Times New Roman"/>
                      <w:color w:val="auto"/>
                      <w:szCs w:val="21"/>
                    </w:rPr>
                  </w:pPr>
                  <w:r>
                    <w:rPr>
                      <w:rFonts w:ascii="Times New Roman"/>
                      <w:color w:val="auto"/>
                    </w:rPr>
                    <w:t>定</w:t>
                  </w:r>
                  <w:r>
                    <w:rPr>
                      <w:rFonts w:ascii="Times New Roman"/>
                      <w:color w:val="auto"/>
                      <w:szCs w:val="21"/>
                    </w:rPr>
                    <w:t>期巡查、盘点过期、残次的烟花爆竹集中收集至危废贮存点内，定期交由公安部门销毁处置。</w:t>
                  </w:r>
                </w:p>
              </w:tc>
            </w:tr>
          </w:tbl>
          <w:p>
            <w:pPr>
              <w:spacing w:line="360" w:lineRule="auto"/>
              <w:ind w:firstLine="480" w:firstLineChars="200"/>
              <w:rPr>
                <w:bCs/>
                <w:color w:val="auto"/>
                <w:kern w:val="0"/>
                <w:sz w:val="24"/>
              </w:rPr>
            </w:pPr>
            <w:bookmarkStart w:id="11" w:name="_Hlk216707700"/>
            <w:r>
              <w:rPr>
                <w:bCs/>
                <w:color w:val="auto"/>
                <w:kern w:val="0"/>
                <w:sz w:val="24"/>
              </w:rPr>
              <w:t>（2）环境管理要求</w:t>
            </w:r>
          </w:p>
          <w:p>
            <w:pPr>
              <w:spacing w:line="360" w:lineRule="auto"/>
              <w:ind w:firstLine="480" w:firstLineChars="200"/>
              <w:rPr>
                <w:bCs/>
                <w:color w:val="auto"/>
                <w:kern w:val="0"/>
                <w:sz w:val="24"/>
              </w:rPr>
            </w:pPr>
            <w:r>
              <w:rPr>
                <w:bCs/>
                <w:color w:val="auto"/>
                <w:kern w:val="0"/>
                <w:sz w:val="24"/>
              </w:rPr>
              <w:t>本项目产生的危险废物主要是过期及残损烟花爆竹。按照《危险废物贮存污染控制标准》（GB18597—2023）中相关规定要求，本项目设置危险废物贮存设施用于暂存危险废物。</w:t>
            </w:r>
          </w:p>
          <w:bookmarkEnd w:id="11"/>
          <w:p>
            <w:pPr>
              <w:spacing w:line="360" w:lineRule="auto"/>
              <w:ind w:firstLine="480" w:firstLineChars="200"/>
              <w:rPr>
                <w:bCs/>
                <w:color w:val="auto"/>
                <w:kern w:val="0"/>
                <w:sz w:val="24"/>
              </w:rPr>
            </w:pPr>
            <w:bookmarkStart w:id="12" w:name="_Hlk216707690"/>
            <w:r>
              <w:rPr>
                <w:bCs/>
                <w:color w:val="auto"/>
                <w:kern w:val="0"/>
                <w:sz w:val="24"/>
              </w:rPr>
              <w:t>本项目设置危废贮存点一处，面积为5m</w:t>
            </w:r>
            <w:r>
              <w:rPr>
                <w:bCs/>
                <w:color w:val="auto"/>
                <w:kern w:val="0"/>
                <w:sz w:val="24"/>
                <w:vertAlign w:val="superscript"/>
              </w:rPr>
              <w:t>2</w:t>
            </w:r>
            <w:r>
              <w:rPr>
                <w:bCs/>
                <w:color w:val="auto"/>
                <w:kern w:val="0"/>
                <w:sz w:val="24"/>
              </w:rPr>
              <w:t>，满足本项目需求，危险废物在厂内贮存时，执行《危险废物贮存污染控制标准》（GB 18597—2023）中相关规定，规范建设危废贮存点，具体措施如下：</w:t>
            </w:r>
          </w:p>
          <w:p>
            <w:pPr>
              <w:pStyle w:val="12"/>
              <w:spacing w:before="0" w:after="0" w:line="360" w:lineRule="auto"/>
              <w:ind w:right="0" w:firstLine="480" w:firstLineChars="200"/>
              <w:rPr>
                <w:bCs/>
                <w:color w:val="auto"/>
                <w:sz w:val="24"/>
                <w:szCs w:val="24"/>
              </w:rPr>
            </w:pPr>
            <w:r>
              <w:rPr>
                <w:rFonts w:hint="eastAsia"/>
                <w:bCs/>
                <w:color w:val="auto"/>
                <w:sz w:val="24"/>
                <w:szCs w:val="24"/>
              </w:rPr>
              <w:t>1）</w:t>
            </w:r>
            <w:r>
              <w:rPr>
                <w:bCs/>
                <w:color w:val="auto"/>
                <w:sz w:val="24"/>
                <w:szCs w:val="24"/>
              </w:rPr>
              <w:t>贮存点环境管理要求</w:t>
            </w:r>
          </w:p>
          <w:p>
            <w:pPr>
              <w:pStyle w:val="12"/>
              <w:spacing w:before="0" w:after="0" w:line="360" w:lineRule="auto"/>
              <w:ind w:right="0" w:firstLine="480" w:firstLineChars="200"/>
              <w:rPr>
                <w:bCs/>
                <w:color w:val="auto"/>
                <w:sz w:val="24"/>
                <w:szCs w:val="24"/>
              </w:rPr>
            </w:pPr>
            <w:r>
              <w:rPr>
                <w:rFonts w:hint="eastAsia" w:ascii="仿宋" w:hAnsi="仿宋" w:eastAsia="仿宋" w:cs="仿宋"/>
                <w:bCs/>
                <w:color w:val="auto"/>
                <w:sz w:val="24"/>
                <w:szCs w:val="24"/>
              </w:rPr>
              <w:t>①</w:t>
            </w:r>
            <w:r>
              <w:rPr>
                <w:bCs/>
                <w:color w:val="auto"/>
                <w:sz w:val="24"/>
                <w:szCs w:val="24"/>
              </w:rPr>
              <w:t>贮存点应具有固定的区域边界，并应采取与其他区域进行隔离的措施</w:t>
            </w:r>
          </w:p>
          <w:p>
            <w:pPr>
              <w:pStyle w:val="12"/>
              <w:spacing w:before="0" w:after="0" w:line="360" w:lineRule="auto"/>
              <w:ind w:right="0" w:firstLine="480" w:firstLineChars="200"/>
              <w:rPr>
                <w:bCs/>
                <w:color w:val="auto"/>
                <w:sz w:val="24"/>
                <w:szCs w:val="24"/>
              </w:rPr>
            </w:pPr>
            <w:r>
              <w:rPr>
                <w:rFonts w:hint="eastAsia"/>
                <w:bCs/>
                <w:color w:val="auto"/>
                <w:sz w:val="24"/>
                <w:szCs w:val="24"/>
              </w:rPr>
              <w:t>②</w:t>
            </w:r>
            <w:r>
              <w:rPr>
                <w:bCs/>
                <w:color w:val="auto"/>
                <w:sz w:val="24"/>
                <w:szCs w:val="24"/>
              </w:rPr>
              <w:t>贮存点应采取防风、防雨、防晒和防止危险废物流失、扬散等措施。</w:t>
            </w:r>
          </w:p>
          <w:p>
            <w:pPr>
              <w:pStyle w:val="12"/>
              <w:spacing w:before="0" w:after="0" w:line="360" w:lineRule="auto"/>
              <w:ind w:right="0" w:firstLine="480" w:firstLineChars="200"/>
              <w:rPr>
                <w:bCs/>
                <w:color w:val="auto"/>
                <w:sz w:val="24"/>
                <w:szCs w:val="24"/>
              </w:rPr>
            </w:pPr>
            <w:r>
              <w:rPr>
                <w:bCs/>
                <w:color w:val="auto"/>
                <w:sz w:val="24"/>
                <w:szCs w:val="24"/>
              </w:rPr>
              <w:t>③贮存点贮存的危险废物应置于容器或包装物中，不应直接散堆。</w:t>
            </w:r>
          </w:p>
          <w:p>
            <w:pPr>
              <w:pStyle w:val="12"/>
              <w:spacing w:before="0" w:after="0" w:line="360" w:lineRule="auto"/>
              <w:ind w:right="0" w:firstLine="480" w:firstLineChars="200"/>
              <w:rPr>
                <w:bCs/>
                <w:color w:val="auto"/>
                <w:sz w:val="24"/>
                <w:szCs w:val="24"/>
              </w:rPr>
            </w:pPr>
            <w:r>
              <w:rPr>
                <w:rFonts w:hint="eastAsia"/>
                <w:bCs/>
                <w:color w:val="auto"/>
                <w:sz w:val="24"/>
                <w:szCs w:val="24"/>
              </w:rPr>
              <w:t>④</w:t>
            </w:r>
            <w:r>
              <w:rPr>
                <w:bCs/>
                <w:color w:val="auto"/>
                <w:sz w:val="24"/>
                <w:szCs w:val="24"/>
              </w:rPr>
              <w:t>贮存点应根据危险废物的形态、物理化学性质、包装形式等，采取防渗、防漏等污染防治措施或采用具有相应功能的装置。</w:t>
            </w:r>
          </w:p>
          <w:p>
            <w:pPr>
              <w:pStyle w:val="12"/>
              <w:spacing w:before="0" w:after="0" w:line="360" w:lineRule="auto"/>
              <w:ind w:right="0" w:firstLine="480" w:firstLineChars="200"/>
              <w:rPr>
                <w:bCs/>
                <w:color w:val="auto"/>
                <w:sz w:val="24"/>
                <w:szCs w:val="24"/>
              </w:rPr>
            </w:pPr>
            <w:r>
              <w:rPr>
                <w:rFonts w:hint="eastAsia" w:ascii="仿宋" w:hAnsi="仿宋" w:eastAsia="仿宋" w:cs="仿宋"/>
                <w:bCs/>
                <w:color w:val="auto"/>
                <w:sz w:val="24"/>
                <w:szCs w:val="24"/>
              </w:rPr>
              <w:t>⑤</w:t>
            </w:r>
            <w:r>
              <w:rPr>
                <w:bCs/>
                <w:color w:val="auto"/>
                <w:sz w:val="24"/>
                <w:szCs w:val="24"/>
              </w:rPr>
              <w:t>贮存点应及时清运贮存的危险废物，实时贮存量不应超过3吨。</w:t>
            </w:r>
          </w:p>
          <w:p>
            <w:pPr>
              <w:spacing w:line="360" w:lineRule="auto"/>
              <w:ind w:firstLine="480" w:firstLineChars="200"/>
              <w:rPr>
                <w:bCs/>
                <w:color w:val="auto"/>
                <w:kern w:val="0"/>
                <w:sz w:val="24"/>
              </w:rPr>
            </w:pPr>
            <w:r>
              <w:rPr>
                <w:rFonts w:hint="eastAsia" w:ascii="宋体" w:hAnsi="宋体"/>
                <w:bCs/>
                <w:color w:val="auto"/>
                <w:kern w:val="0"/>
                <w:sz w:val="24"/>
              </w:rPr>
              <w:t>⑥</w:t>
            </w:r>
            <w:r>
              <w:rPr>
                <w:rFonts w:hint="eastAsia"/>
                <w:bCs/>
                <w:color w:val="auto"/>
                <w:kern w:val="0"/>
                <w:sz w:val="24"/>
              </w:rPr>
              <w:t>企业需</w:t>
            </w:r>
            <w:r>
              <w:rPr>
                <w:bCs/>
                <w:color w:val="auto"/>
                <w:kern w:val="0"/>
                <w:sz w:val="24"/>
              </w:rPr>
              <w:t>设置专职保管员进行定期巡查、盘点，及时发现过期、残次的烟花爆竹，并收集至危废贮存点内</w:t>
            </w:r>
            <w:r>
              <w:rPr>
                <w:rFonts w:hint="eastAsia"/>
                <w:bCs/>
                <w:color w:val="auto"/>
                <w:kern w:val="0"/>
                <w:sz w:val="24"/>
              </w:rPr>
              <w:t>并</w:t>
            </w:r>
            <w:r>
              <w:rPr>
                <w:rFonts w:hint="eastAsia" w:ascii="宋体" w:hAnsi="宋体"/>
                <w:color w:val="auto"/>
                <w:sz w:val="24"/>
              </w:rPr>
              <w:t>制定危废废物内部的收集、登记、暂存管理制度。</w:t>
            </w:r>
          </w:p>
          <w:p>
            <w:pPr>
              <w:spacing w:line="360" w:lineRule="auto"/>
              <w:ind w:firstLine="480" w:firstLineChars="200"/>
              <w:rPr>
                <w:rFonts w:hint="eastAsia" w:ascii="宋体" w:hAnsi="宋体"/>
                <w:color w:val="auto"/>
                <w:sz w:val="24"/>
              </w:rPr>
            </w:pPr>
            <w:r>
              <w:rPr>
                <w:rFonts w:hint="eastAsia" w:ascii="宋体" w:hAnsi="宋体"/>
                <w:color w:val="auto"/>
                <w:sz w:val="24"/>
              </w:rPr>
              <w:t>⑦企业需与当地公安部门确定的销毁责任主体、移交程序、记录台账，</w:t>
            </w:r>
            <w:r>
              <w:rPr>
                <w:bCs/>
                <w:color w:val="auto"/>
                <w:kern w:val="0"/>
                <w:sz w:val="24"/>
              </w:rPr>
              <w:t>转运过程严格按照《危险废物收集 贮存 运输技术规范》（HJ 2025-2012）及《危险废物转移管理办法》（部令 第23号）等相关要求，实行联单制度。</w:t>
            </w:r>
            <w:r>
              <w:rPr>
                <w:rFonts w:hint="eastAsia"/>
                <w:bCs/>
                <w:color w:val="auto"/>
                <w:kern w:val="0"/>
                <w:sz w:val="24"/>
              </w:rPr>
              <w:t>确保危险废物</w:t>
            </w:r>
            <w:r>
              <w:rPr>
                <w:rFonts w:hint="eastAsia" w:ascii="宋体" w:hAnsi="宋体"/>
                <w:color w:val="auto"/>
                <w:sz w:val="24"/>
              </w:rPr>
              <w:t>最终安全处置。</w:t>
            </w:r>
          </w:p>
          <w:p>
            <w:pPr>
              <w:spacing w:line="360" w:lineRule="auto"/>
              <w:ind w:firstLine="480" w:firstLineChars="200"/>
              <w:rPr>
                <w:bCs/>
                <w:color w:val="auto"/>
                <w:kern w:val="0"/>
                <w:sz w:val="24"/>
              </w:rPr>
            </w:pPr>
            <w:r>
              <w:rPr>
                <w:bCs/>
                <w:color w:val="auto"/>
                <w:kern w:val="0"/>
                <w:sz w:val="24"/>
              </w:rPr>
              <w:t>采取上述措施后，能够确保本项目危险废物在厂内贮存时得到有效处置，对环境影响较小。</w:t>
            </w:r>
          </w:p>
          <w:bookmarkEnd w:id="12"/>
          <w:p>
            <w:pPr>
              <w:spacing w:line="360" w:lineRule="auto"/>
              <w:ind w:firstLine="480" w:firstLineChars="200"/>
              <w:rPr>
                <w:bCs/>
                <w:color w:val="auto"/>
                <w:kern w:val="0"/>
                <w:sz w:val="24"/>
              </w:rPr>
            </w:pPr>
            <w:r>
              <w:rPr>
                <w:rFonts w:hint="eastAsia"/>
                <w:bCs/>
                <w:color w:val="auto"/>
                <w:kern w:val="0"/>
                <w:sz w:val="24"/>
              </w:rPr>
              <w:t>2</w:t>
            </w:r>
            <w:r>
              <w:rPr>
                <w:bCs/>
                <w:color w:val="auto"/>
                <w:kern w:val="0"/>
                <w:sz w:val="24"/>
              </w:rPr>
              <w:t>）危险废物的运输要求</w:t>
            </w:r>
          </w:p>
          <w:p>
            <w:pPr>
              <w:spacing w:line="360" w:lineRule="auto"/>
              <w:ind w:firstLine="480" w:firstLineChars="200"/>
              <w:rPr>
                <w:bCs/>
                <w:color w:val="auto"/>
                <w:kern w:val="0"/>
                <w:sz w:val="24"/>
              </w:rPr>
            </w:pPr>
            <w:r>
              <w:rPr>
                <w:bCs/>
                <w:color w:val="auto"/>
                <w:kern w:val="0"/>
                <w:sz w:val="24"/>
              </w:rPr>
              <w:t>①运输车辆配备必要的事故急救设备和器材，如灭火器、急救箱等。</w:t>
            </w:r>
          </w:p>
          <w:p>
            <w:pPr>
              <w:spacing w:line="360" w:lineRule="auto"/>
              <w:ind w:firstLine="480" w:firstLineChars="200"/>
              <w:rPr>
                <w:bCs/>
                <w:color w:val="auto"/>
                <w:kern w:val="0"/>
                <w:sz w:val="24"/>
              </w:rPr>
            </w:pPr>
            <w:r>
              <w:rPr>
                <w:bCs/>
                <w:color w:val="auto"/>
                <w:kern w:val="0"/>
                <w:sz w:val="24"/>
              </w:rPr>
              <w:t>②加强对车辆的管理，加强车检工作，保证上路车辆状况良好；根据国务院发布的《危险化学品安全管理条例》有关要求，运输危险品时，必须持有部门颁发的运输许可证、驾驶员执照及保安员证书；在车前醒目位置悬挂黄底黑字“危险品”字样，严格禁止车辆超速、超载。</w:t>
            </w:r>
          </w:p>
          <w:p>
            <w:pPr>
              <w:spacing w:line="360" w:lineRule="auto"/>
              <w:ind w:firstLine="480" w:firstLineChars="200"/>
              <w:rPr>
                <w:bCs/>
                <w:color w:val="auto"/>
                <w:kern w:val="0"/>
                <w:sz w:val="24"/>
              </w:rPr>
            </w:pPr>
            <w:r>
              <w:rPr>
                <w:bCs/>
                <w:color w:val="auto"/>
                <w:kern w:val="0"/>
                <w:sz w:val="24"/>
              </w:rPr>
              <w:t>③运输过程要防渗漏、防溢出、防扩散。备有发生抛锚、撞车、翻车事故的应急措施。运输工具表面按标准设立危险货物标识。</w:t>
            </w:r>
          </w:p>
          <w:p>
            <w:pPr>
              <w:spacing w:line="360" w:lineRule="auto"/>
              <w:ind w:firstLine="480" w:firstLineChars="200"/>
              <w:rPr>
                <w:bCs/>
                <w:color w:val="auto"/>
                <w:kern w:val="0"/>
                <w:sz w:val="24"/>
              </w:rPr>
            </w:pPr>
            <w:r>
              <w:rPr>
                <w:bCs/>
                <w:color w:val="auto"/>
                <w:kern w:val="0"/>
                <w:sz w:val="24"/>
              </w:rPr>
              <w:t>④在运输过程中，一旦发生意外事故，驾驶员和押运员采取应急处理的同时，迅速报告公安机关和环保等有关部门。疏散群众，防止事态进一步扩大，并积极协助公安机关和消防人员抢救伤者和物资，使损失减少至最小范围。</w:t>
            </w:r>
          </w:p>
          <w:p>
            <w:pPr>
              <w:spacing w:line="360" w:lineRule="auto"/>
              <w:ind w:firstLine="480" w:firstLineChars="200"/>
              <w:rPr>
                <w:bCs/>
                <w:color w:val="auto"/>
                <w:kern w:val="0"/>
                <w:sz w:val="24"/>
              </w:rPr>
            </w:pPr>
            <w:r>
              <w:rPr>
                <w:bCs/>
                <w:color w:val="auto"/>
                <w:kern w:val="0"/>
                <w:sz w:val="24"/>
              </w:rPr>
              <w:t>综上所述，项目产生的固体废弃物对环境的影响较小。</w:t>
            </w:r>
          </w:p>
          <w:p>
            <w:pPr>
              <w:spacing w:line="520" w:lineRule="exact"/>
              <w:rPr>
                <w:b/>
                <w:color w:val="auto"/>
                <w:sz w:val="24"/>
              </w:rPr>
            </w:pPr>
            <w:r>
              <w:rPr>
                <w:b/>
                <w:color w:val="auto"/>
                <w:sz w:val="24"/>
              </w:rPr>
              <w:t>五、地下水、土壤影响分析</w:t>
            </w:r>
          </w:p>
          <w:p>
            <w:pPr>
              <w:spacing w:line="520" w:lineRule="exact"/>
              <w:ind w:firstLine="480" w:firstLineChars="200"/>
              <w:rPr>
                <w:bCs/>
                <w:color w:val="auto"/>
                <w:kern w:val="0"/>
                <w:sz w:val="24"/>
              </w:rPr>
            </w:pPr>
            <w:r>
              <w:rPr>
                <w:bCs/>
                <w:color w:val="auto"/>
                <w:kern w:val="0"/>
                <w:sz w:val="24"/>
              </w:rPr>
              <w:t>针对本项目可能导致的地下水及土壤环境污染，按照“分区管理、分类防治”工作思路，“预防为主、综合施策；突出重点、分类指导；问题导向、风险防控、明确责任、循序渐进”的工作原则。本项目地下水防护措施制定思路为：</w:t>
            </w:r>
          </w:p>
          <w:p>
            <w:pPr>
              <w:spacing w:line="520" w:lineRule="exact"/>
              <w:ind w:firstLine="480" w:firstLineChars="200"/>
              <w:rPr>
                <w:bCs/>
                <w:color w:val="auto"/>
                <w:kern w:val="0"/>
                <w:sz w:val="24"/>
              </w:rPr>
            </w:pPr>
            <w:r>
              <w:rPr>
                <w:bCs/>
                <w:color w:val="auto"/>
                <w:kern w:val="0"/>
                <w:sz w:val="24"/>
              </w:rPr>
              <w:t>（1）预防为主做好源头控制</w:t>
            </w:r>
          </w:p>
          <w:p>
            <w:pPr>
              <w:spacing w:line="520" w:lineRule="exact"/>
              <w:ind w:firstLine="480" w:firstLineChars="200"/>
              <w:rPr>
                <w:bCs/>
                <w:color w:val="auto"/>
                <w:kern w:val="0"/>
                <w:sz w:val="24"/>
              </w:rPr>
            </w:pPr>
            <w:r>
              <w:rPr>
                <w:bCs/>
                <w:color w:val="auto"/>
                <w:kern w:val="0"/>
                <w:sz w:val="24"/>
              </w:rPr>
              <w:t>根据本项目工艺特点，针对源头控制，本次环评要求建设单位严格按照国家相关规范要求，对</w:t>
            </w:r>
            <w:r>
              <w:rPr>
                <w:rFonts w:hint="eastAsia"/>
                <w:color w:val="auto"/>
                <w:sz w:val="24"/>
              </w:rPr>
              <w:t>仓库</w:t>
            </w:r>
            <w:r>
              <w:rPr>
                <w:bCs/>
                <w:color w:val="auto"/>
                <w:kern w:val="0"/>
                <w:sz w:val="24"/>
              </w:rPr>
              <w:t>、防渗化粪池及厂区地面采取相应防渗措施，以防止和降低污染物的跑、冒、滴、漏，将环境风险事故降到最低。</w:t>
            </w:r>
          </w:p>
          <w:p>
            <w:pPr>
              <w:spacing w:line="520" w:lineRule="exact"/>
              <w:ind w:firstLine="480" w:firstLineChars="200"/>
              <w:rPr>
                <w:bCs/>
                <w:color w:val="auto"/>
                <w:kern w:val="0"/>
                <w:sz w:val="24"/>
              </w:rPr>
            </w:pPr>
            <w:r>
              <w:rPr>
                <w:bCs/>
                <w:color w:val="auto"/>
                <w:kern w:val="0"/>
                <w:sz w:val="24"/>
              </w:rPr>
              <w:t>（2）分区管理做好分区防治</w:t>
            </w:r>
          </w:p>
          <w:p>
            <w:pPr>
              <w:spacing w:line="520" w:lineRule="exact"/>
              <w:ind w:firstLine="480" w:firstLineChars="200"/>
              <w:rPr>
                <w:bCs/>
                <w:color w:val="auto"/>
                <w:kern w:val="0"/>
                <w:sz w:val="24"/>
              </w:rPr>
            </w:pPr>
            <w:r>
              <w:rPr>
                <w:bCs/>
                <w:color w:val="auto"/>
                <w:kern w:val="0"/>
                <w:sz w:val="24"/>
              </w:rPr>
              <w:t>根据本项目的建设内容及平面布置特点，本项目</w:t>
            </w:r>
            <w:r>
              <w:rPr>
                <w:rFonts w:hint="eastAsia"/>
                <w:color w:val="auto"/>
                <w:sz w:val="24"/>
              </w:rPr>
              <w:t>仓库</w:t>
            </w:r>
            <w:r>
              <w:rPr>
                <w:bCs/>
                <w:color w:val="auto"/>
                <w:kern w:val="0"/>
                <w:sz w:val="24"/>
              </w:rPr>
              <w:t>与辅助设施区分开布置，根据防渗化粪池、危废贮存点、</w:t>
            </w:r>
            <w:r>
              <w:rPr>
                <w:rFonts w:hint="eastAsia"/>
                <w:color w:val="auto"/>
                <w:sz w:val="24"/>
              </w:rPr>
              <w:t>仓库</w:t>
            </w:r>
            <w:r>
              <w:rPr>
                <w:bCs/>
                <w:color w:val="auto"/>
                <w:kern w:val="0"/>
                <w:sz w:val="24"/>
              </w:rPr>
              <w:t>、消防水池、值班</w:t>
            </w:r>
            <w:r>
              <w:rPr>
                <w:rFonts w:hint="eastAsia"/>
                <w:bCs/>
                <w:color w:val="auto"/>
                <w:kern w:val="0"/>
                <w:sz w:val="24"/>
              </w:rPr>
              <w:t>室</w:t>
            </w:r>
            <w:r>
              <w:rPr>
                <w:bCs/>
                <w:color w:val="auto"/>
                <w:kern w:val="0"/>
                <w:sz w:val="24"/>
              </w:rPr>
              <w:t>及消防控制室等不同防渗要求，本项目将厂区各功能区进行分区防渗。</w:t>
            </w:r>
          </w:p>
          <w:p>
            <w:pPr>
              <w:spacing w:line="520" w:lineRule="exact"/>
              <w:ind w:firstLine="480" w:firstLineChars="200"/>
              <w:rPr>
                <w:bCs/>
                <w:color w:val="auto"/>
                <w:kern w:val="0"/>
                <w:sz w:val="24"/>
              </w:rPr>
            </w:pPr>
            <w:r>
              <w:rPr>
                <w:bCs/>
                <w:color w:val="auto"/>
                <w:kern w:val="0"/>
                <w:sz w:val="24"/>
              </w:rPr>
              <w:t>1）防渗工程设计原则</w:t>
            </w:r>
          </w:p>
          <w:p>
            <w:pPr>
              <w:spacing w:line="520" w:lineRule="exact"/>
              <w:ind w:firstLine="480" w:firstLineChars="200"/>
              <w:rPr>
                <w:bCs/>
                <w:color w:val="auto"/>
                <w:kern w:val="0"/>
                <w:sz w:val="24"/>
              </w:rPr>
            </w:pPr>
            <w:r>
              <w:rPr>
                <w:bCs/>
                <w:color w:val="auto"/>
                <w:kern w:val="0"/>
                <w:sz w:val="24"/>
              </w:rPr>
              <w:t>①采用国际国内先进的防渗材料、技术和实施手段，确保工程建设对区域地下水环境影响较小、地下水现有水体功能不发生明显改变；</w:t>
            </w:r>
          </w:p>
          <w:p>
            <w:pPr>
              <w:spacing w:line="520" w:lineRule="exact"/>
              <w:ind w:firstLine="480" w:firstLineChars="200"/>
              <w:rPr>
                <w:bCs/>
                <w:color w:val="auto"/>
                <w:kern w:val="0"/>
                <w:sz w:val="24"/>
              </w:rPr>
            </w:pPr>
            <w:r>
              <w:rPr>
                <w:bCs/>
                <w:color w:val="auto"/>
                <w:kern w:val="0"/>
                <w:sz w:val="24"/>
              </w:rPr>
              <w:t>②坚持分区管理和控制原则，根据厂址所在地的工程地质、水文地质条件和全厂可能发生泄漏的物料性质、排放量，参照相应标准要求有针对性地分区，并分别设计地面防渗层结构；</w:t>
            </w:r>
          </w:p>
          <w:p>
            <w:pPr>
              <w:spacing w:line="520" w:lineRule="exact"/>
              <w:ind w:firstLine="480" w:firstLineChars="200"/>
              <w:rPr>
                <w:bCs/>
                <w:color w:val="auto"/>
                <w:kern w:val="0"/>
                <w:sz w:val="24"/>
              </w:rPr>
            </w:pPr>
            <w:r>
              <w:rPr>
                <w:bCs/>
                <w:color w:val="auto"/>
                <w:kern w:val="0"/>
                <w:sz w:val="24"/>
              </w:rPr>
              <w:t>③坚持“可视化”原则，在满足工程和防渗层结构标准要求的前提下，尽量在地面实施防渗措施建设，便于泄漏物质的收集和防渗层破损被及时发现；</w:t>
            </w:r>
          </w:p>
          <w:p>
            <w:pPr>
              <w:spacing w:line="520" w:lineRule="exact"/>
              <w:ind w:firstLine="480" w:firstLineChars="200"/>
              <w:rPr>
                <w:bCs/>
                <w:color w:val="auto"/>
                <w:kern w:val="0"/>
                <w:sz w:val="24"/>
              </w:rPr>
            </w:pPr>
            <w:r>
              <w:rPr>
                <w:bCs/>
                <w:color w:val="auto"/>
                <w:kern w:val="0"/>
                <w:sz w:val="24"/>
              </w:rPr>
              <w:t>2）防渗方案设计</w:t>
            </w:r>
          </w:p>
          <w:p>
            <w:pPr>
              <w:spacing w:line="520" w:lineRule="exact"/>
              <w:ind w:firstLine="480" w:firstLineChars="200"/>
              <w:rPr>
                <w:bCs/>
                <w:color w:val="auto"/>
                <w:kern w:val="0"/>
                <w:sz w:val="24"/>
              </w:rPr>
            </w:pPr>
            <w:r>
              <w:rPr>
                <w:bCs/>
                <w:color w:val="auto"/>
                <w:kern w:val="0"/>
                <w:sz w:val="24"/>
              </w:rPr>
              <w:t>根据厂区可能泄漏至地面区域污染物的性质和各生产单元的构筑方式，将项目区划分为简单防渗区、一般防渗区和重点防渗区。根据本工程特点，防渗区域划分及防渗要求见表4-</w:t>
            </w:r>
            <w:r>
              <w:rPr>
                <w:rFonts w:hint="eastAsia"/>
                <w:bCs/>
                <w:color w:val="auto"/>
                <w:kern w:val="0"/>
                <w:sz w:val="24"/>
              </w:rPr>
              <w:t>5</w:t>
            </w:r>
            <w:r>
              <w:rPr>
                <w:bCs/>
                <w:color w:val="auto"/>
                <w:kern w:val="0"/>
                <w:sz w:val="24"/>
              </w:rPr>
              <w:t>。</w:t>
            </w:r>
          </w:p>
          <w:p>
            <w:pPr>
              <w:pStyle w:val="52"/>
              <w:rPr>
                <w:color w:val="auto"/>
              </w:rPr>
            </w:pPr>
            <w:r>
              <w:rPr>
                <w:color w:val="auto"/>
              </w:rPr>
              <w:t>表4-</w:t>
            </w:r>
            <w:r>
              <w:rPr>
                <w:rFonts w:hint="eastAsia"/>
                <w:color w:val="auto"/>
              </w:rPr>
              <w:t>5</w:t>
            </w:r>
            <w:r>
              <w:rPr>
                <w:color w:val="auto"/>
              </w:rPr>
              <w:t xml:space="preserve">  防渗区域划分及防渗要求</w:t>
            </w:r>
          </w:p>
          <w:tbl>
            <w:tblPr>
              <w:tblStyle w:val="27"/>
              <w:tblW w:w="4998"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1528"/>
              <w:gridCol w:w="513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807" w:type="pct"/>
                  <w:tcBorders>
                    <w:tl2br w:val="nil"/>
                    <w:tr2bl w:val="nil"/>
                  </w:tcBorders>
                  <w:vAlign w:val="center"/>
                </w:tcPr>
                <w:p>
                  <w:pPr>
                    <w:pStyle w:val="48"/>
                    <w:rPr>
                      <w:rFonts w:cs="Times New Roman"/>
                      <w:color w:val="auto"/>
                    </w:rPr>
                  </w:pPr>
                  <w:r>
                    <w:rPr>
                      <w:rFonts w:cs="Times New Roman"/>
                      <w:color w:val="auto"/>
                    </w:rPr>
                    <w:t>防渗分区</w:t>
                  </w:r>
                </w:p>
              </w:tc>
              <w:tc>
                <w:tcPr>
                  <w:tcW w:w="962" w:type="pct"/>
                  <w:tcBorders>
                    <w:tl2br w:val="nil"/>
                    <w:tr2bl w:val="nil"/>
                  </w:tcBorders>
                  <w:vAlign w:val="center"/>
                </w:tcPr>
                <w:p>
                  <w:pPr>
                    <w:pStyle w:val="48"/>
                    <w:rPr>
                      <w:rFonts w:cs="Times New Roman"/>
                      <w:color w:val="auto"/>
                    </w:rPr>
                  </w:pPr>
                  <w:r>
                    <w:rPr>
                      <w:rFonts w:cs="Times New Roman"/>
                      <w:color w:val="auto"/>
                    </w:rPr>
                    <w:t>位置</w:t>
                  </w:r>
                </w:p>
              </w:tc>
              <w:tc>
                <w:tcPr>
                  <w:tcW w:w="3230" w:type="pct"/>
                  <w:tcBorders>
                    <w:tl2br w:val="nil"/>
                    <w:tr2bl w:val="nil"/>
                  </w:tcBorders>
                  <w:vAlign w:val="center"/>
                </w:tcPr>
                <w:p>
                  <w:pPr>
                    <w:pStyle w:val="48"/>
                    <w:rPr>
                      <w:rFonts w:cs="Times New Roman"/>
                      <w:color w:val="auto"/>
                    </w:rPr>
                  </w:pPr>
                  <w:r>
                    <w:rPr>
                      <w:rFonts w:cs="Times New Roman"/>
                      <w:color w:val="auto"/>
                    </w:rPr>
                    <w:t>防渗技术要求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 w:hRule="atLeast"/>
              </w:trPr>
              <w:tc>
                <w:tcPr>
                  <w:tcW w:w="807" w:type="pct"/>
                  <w:tcBorders>
                    <w:tl2br w:val="nil"/>
                    <w:tr2bl w:val="nil"/>
                  </w:tcBorders>
                  <w:vAlign w:val="center"/>
                </w:tcPr>
                <w:p>
                  <w:pPr>
                    <w:pStyle w:val="48"/>
                    <w:rPr>
                      <w:rFonts w:cs="Times New Roman"/>
                      <w:color w:val="auto"/>
                    </w:rPr>
                  </w:pPr>
                  <w:r>
                    <w:rPr>
                      <w:rFonts w:cs="Times New Roman"/>
                      <w:color w:val="auto"/>
                    </w:rPr>
                    <w:t>重点防渗</w:t>
                  </w:r>
                </w:p>
              </w:tc>
              <w:tc>
                <w:tcPr>
                  <w:tcW w:w="962" w:type="pct"/>
                  <w:tcBorders>
                    <w:tl2br w:val="nil"/>
                    <w:tr2bl w:val="nil"/>
                  </w:tcBorders>
                  <w:vAlign w:val="center"/>
                </w:tcPr>
                <w:p>
                  <w:pPr>
                    <w:pStyle w:val="48"/>
                    <w:rPr>
                      <w:rFonts w:hint="eastAsia" w:cs="Times New Roman"/>
                      <w:color w:val="auto"/>
                    </w:rPr>
                  </w:pPr>
                  <w:r>
                    <w:rPr>
                      <w:rFonts w:cs="Times New Roman"/>
                      <w:color w:val="auto"/>
                    </w:rPr>
                    <w:t>危废贮存点</w:t>
                  </w:r>
                  <w:r>
                    <w:rPr>
                      <w:rFonts w:hint="eastAsia" w:cs="Times New Roman"/>
                      <w:color w:val="auto"/>
                    </w:rPr>
                    <w:t>、</w:t>
                  </w:r>
                  <w:r>
                    <w:rPr>
                      <w:rFonts w:cs="Times New Roman"/>
                      <w:color w:val="auto"/>
                    </w:rPr>
                    <w:t>消防水池</w:t>
                  </w:r>
                </w:p>
              </w:tc>
              <w:tc>
                <w:tcPr>
                  <w:tcW w:w="3230" w:type="pct"/>
                  <w:tcBorders>
                    <w:tl2br w:val="nil"/>
                    <w:tr2bl w:val="nil"/>
                  </w:tcBorders>
                  <w:vAlign w:val="center"/>
                </w:tcPr>
                <w:p>
                  <w:pPr>
                    <w:pStyle w:val="48"/>
                    <w:rPr>
                      <w:rFonts w:cs="Times New Roman"/>
                      <w:color w:val="auto"/>
                    </w:rPr>
                  </w:pPr>
                  <w:r>
                    <w:rPr>
                      <w:rFonts w:cs="Times New Roman"/>
                      <w:color w:val="auto"/>
                    </w:rPr>
                    <w:t xml:space="preserve">等效粘土防渗层Mb≥6.0m，渗透系数 K≤1.0×10 </w:t>
                  </w:r>
                  <w:r>
                    <w:rPr>
                      <w:rFonts w:cs="Times New Roman"/>
                      <w:color w:val="auto"/>
                      <w:vertAlign w:val="superscript"/>
                    </w:rPr>
                    <w:t>-7</w:t>
                  </w:r>
                  <w:r>
                    <w:rPr>
                      <w:rFonts w:cs="Times New Roman"/>
                      <w:color w:val="auto"/>
                    </w:rPr>
                    <w:t>cm/s</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 w:hRule="atLeast"/>
              </w:trPr>
              <w:tc>
                <w:tcPr>
                  <w:tcW w:w="807" w:type="pct"/>
                  <w:tcBorders>
                    <w:tl2br w:val="nil"/>
                    <w:tr2bl w:val="nil"/>
                  </w:tcBorders>
                  <w:vAlign w:val="center"/>
                </w:tcPr>
                <w:p>
                  <w:pPr>
                    <w:pStyle w:val="48"/>
                    <w:rPr>
                      <w:rFonts w:cs="Times New Roman"/>
                      <w:color w:val="auto"/>
                    </w:rPr>
                  </w:pPr>
                  <w:r>
                    <w:rPr>
                      <w:rFonts w:cs="Times New Roman"/>
                      <w:color w:val="auto"/>
                    </w:rPr>
                    <w:t>一般防渗区</w:t>
                  </w:r>
                </w:p>
              </w:tc>
              <w:tc>
                <w:tcPr>
                  <w:tcW w:w="962" w:type="pct"/>
                  <w:tcBorders>
                    <w:tl2br w:val="nil"/>
                    <w:tr2bl w:val="nil"/>
                  </w:tcBorders>
                  <w:vAlign w:val="center"/>
                </w:tcPr>
                <w:p>
                  <w:pPr>
                    <w:pStyle w:val="48"/>
                    <w:rPr>
                      <w:rFonts w:cs="Times New Roman"/>
                      <w:color w:val="auto"/>
                    </w:rPr>
                  </w:pPr>
                  <w:r>
                    <w:rPr>
                      <w:rFonts w:hint="eastAsia" w:cs="Times New Roman"/>
                      <w:color w:val="auto"/>
                    </w:rPr>
                    <w:t>防渗</w:t>
                  </w:r>
                  <w:r>
                    <w:rPr>
                      <w:rFonts w:cs="Times New Roman"/>
                      <w:color w:val="auto"/>
                    </w:rPr>
                    <w:t>化粪池</w:t>
                  </w:r>
                </w:p>
              </w:tc>
              <w:tc>
                <w:tcPr>
                  <w:tcW w:w="3230" w:type="pct"/>
                  <w:tcBorders>
                    <w:tl2br w:val="nil"/>
                    <w:tr2bl w:val="nil"/>
                  </w:tcBorders>
                  <w:vAlign w:val="center"/>
                </w:tcPr>
                <w:p>
                  <w:pPr>
                    <w:pStyle w:val="48"/>
                    <w:rPr>
                      <w:rFonts w:cs="Times New Roman"/>
                      <w:color w:val="auto"/>
                    </w:rPr>
                  </w:pPr>
                  <w:r>
                    <w:rPr>
                      <w:rFonts w:cs="Times New Roman"/>
                      <w:color w:val="auto"/>
                    </w:rPr>
                    <w:t>等效黏土防渗层厚度≥1.5m，渗透系数≤1×10</w:t>
                  </w:r>
                  <w:r>
                    <w:rPr>
                      <w:rFonts w:cs="Times New Roman"/>
                      <w:color w:val="auto"/>
                      <w:vertAlign w:val="superscript"/>
                    </w:rPr>
                    <w:t>-7</w:t>
                  </w:r>
                  <w:r>
                    <w:rPr>
                      <w:rFonts w:cs="Times New Roman"/>
                      <w:color w:val="auto"/>
                    </w:rPr>
                    <w:t>cm/s</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 w:hRule="atLeast"/>
              </w:trPr>
              <w:tc>
                <w:tcPr>
                  <w:tcW w:w="807" w:type="pct"/>
                  <w:tcBorders>
                    <w:tl2br w:val="nil"/>
                    <w:tr2bl w:val="nil"/>
                  </w:tcBorders>
                  <w:vAlign w:val="center"/>
                </w:tcPr>
                <w:p>
                  <w:pPr>
                    <w:pStyle w:val="48"/>
                    <w:rPr>
                      <w:rFonts w:cs="Times New Roman"/>
                      <w:color w:val="auto"/>
                    </w:rPr>
                  </w:pPr>
                  <w:r>
                    <w:rPr>
                      <w:rFonts w:cs="Times New Roman"/>
                      <w:color w:val="auto"/>
                    </w:rPr>
                    <w:t>简单防渗区</w:t>
                  </w:r>
                </w:p>
              </w:tc>
              <w:tc>
                <w:tcPr>
                  <w:tcW w:w="962" w:type="pct"/>
                  <w:tcBorders>
                    <w:tl2br w:val="nil"/>
                    <w:tr2bl w:val="nil"/>
                  </w:tcBorders>
                  <w:vAlign w:val="center"/>
                </w:tcPr>
                <w:p>
                  <w:pPr>
                    <w:pStyle w:val="48"/>
                    <w:rPr>
                      <w:rFonts w:cs="Times New Roman"/>
                      <w:color w:val="auto"/>
                    </w:rPr>
                  </w:pPr>
                  <w:r>
                    <w:rPr>
                      <w:rFonts w:cs="Times New Roman"/>
                      <w:color w:val="auto"/>
                    </w:rPr>
                    <w:t>值班室及消防控制室、仓库、消防泵房及发电机房</w:t>
                  </w:r>
                </w:p>
              </w:tc>
              <w:tc>
                <w:tcPr>
                  <w:tcW w:w="3230" w:type="pct"/>
                  <w:tcBorders>
                    <w:tl2br w:val="nil"/>
                    <w:tr2bl w:val="nil"/>
                  </w:tcBorders>
                  <w:vAlign w:val="center"/>
                </w:tcPr>
                <w:p>
                  <w:pPr>
                    <w:pStyle w:val="48"/>
                    <w:rPr>
                      <w:rFonts w:cs="Times New Roman"/>
                      <w:color w:val="auto"/>
                    </w:rPr>
                  </w:pPr>
                  <w:r>
                    <w:rPr>
                      <w:rFonts w:cs="Times New Roman"/>
                      <w:color w:val="auto"/>
                    </w:rPr>
                    <w:t>地面硬化</w:t>
                  </w:r>
                </w:p>
              </w:tc>
            </w:tr>
          </w:tbl>
          <w:p>
            <w:pPr>
              <w:spacing w:line="520" w:lineRule="exact"/>
              <w:ind w:firstLine="480" w:firstLineChars="200"/>
              <w:rPr>
                <w:bCs/>
                <w:color w:val="auto"/>
                <w:kern w:val="0"/>
                <w:sz w:val="24"/>
              </w:rPr>
            </w:pPr>
            <w:r>
              <w:rPr>
                <w:bCs/>
                <w:color w:val="auto"/>
                <w:kern w:val="0"/>
                <w:sz w:val="24"/>
              </w:rPr>
              <w:t>参照《排污单位自行监测技术指南总则》（HJ819-2017），涉重金属、难降解类有机污染物等重点排污单位厂界周边的土壤、地下水每年至少监测一次。本项目为非重点排污单位，亦不涉及重金属、难降解类有机污染物等污染物的排放，因此，本项目不开展土壤、地下水跟踪监测。</w:t>
            </w:r>
          </w:p>
          <w:p>
            <w:pPr>
              <w:spacing w:line="520" w:lineRule="exact"/>
              <w:rPr>
                <w:b/>
                <w:bCs/>
                <w:color w:val="auto"/>
                <w:sz w:val="24"/>
              </w:rPr>
            </w:pPr>
            <w:bookmarkStart w:id="13" w:name="OLE_LINK1"/>
            <w:r>
              <w:rPr>
                <w:b/>
                <w:bCs/>
                <w:color w:val="auto"/>
                <w:sz w:val="24"/>
              </w:rPr>
              <w:t>六、环境风险分析</w:t>
            </w:r>
          </w:p>
          <w:bookmarkEnd w:id="13"/>
          <w:p>
            <w:pPr>
              <w:spacing w:line="520" w:lineRule="exact"/>
              <w:ind w:firstLine="482" w:firstLineChars="200"/>
              <w:rPr>
                <w:b/>
                <w:color w:val="auto"/>
                <w:kern w:val="0"/>
                <w:sz w:val="24"/>
              </w:rPr>
            </w:pPr>
            <w:r>
              <w:rPr>
                <w:b/>
                <w:color w:val="auto"/>
                <w:kern w:val="0"/>
                <w:sz w:val="24"/>
              </w:rPr>
              <w:t>6.1本项目风险物质识别</w:t>
            </w:r>
          </w:p>
          <w:p>
            <w:pPr>
              <w:widowControl/>
              <w:spacing w:line="360" w:lineRule="auto"/>
              <w:ind w:firstLine="480" w:firstLineChars="200"/>
              <w:jc w:val="left"/>
              <w:rPr>
                <w:color w:val="auto"/>
                <w:sz w:val="24"/>
              </w:rPr>
            </w:pPr>
            <w:r>
              <w:rPr>
                <w:color w:val="auto"/>
                <w:kern w:val="0"/>
                <w:sz w:val="24"/>
                <w:lang w:bidi="ar"/>
              </w:rPr>
              <w:t>（1）物质危险性识别</w:t>
            </w:r>
          </w:p>
          <w:p>
            <w:pPr>
              <w:spacing w:line="360" w:lineRule="auto"/>
              <w:ind w:firstLine="480" w:firstLineChars="200"/>
              <w:rPr>
                <w:color w:val="auto"/>
                <w:sz w:val="24"/>
              </w:rPr>
            </w:pPr>
            <w:r>
              <w:rPr>
                <w:rFonts w:hint="eastAsia"/>
                <w:bCs/>
                <w:color w:val="auto"/>
                <w:kern w:val="0"/>
                <w:sz w:val="24"/>
              </w:rPr>
              <w:t>烟花爆竹的火药通常由以下物质中的几种组成：高氯酸钾、硝酸钾、硫黄、铝粉、镁铝粉、硝酸钡、碳酸锶、木炭等组成。根据《建设项目环境风险评价技术导则》（</w:t>
            </w:r>
            <w:r>
              <w:rPr>
                <w:bCs/>
                <w:color w:val="auto"/>
                <w:kern w:val="0"/>
                <w:sz w:val="24"/>
              </w:rPr>
              <w:t>HJ169-2018</w:t>
            </w:r>
            <w:r>
              <w:rPr>
                <w:rFonts w:hint="eastAsia"/>
                <w:bCs/>
                <w:color w:val="auto"/>
                <w:kern w:val="0"/>
                <w:sz w:val="24"/>
              </w:rPr>
              <w:t>）附录</w:t>
            </w:r>
            <w:r>
              <w:rPr>
                <w:bCs/>
                <w:color w:val="auto"/>
                <w:kern w:val="0"/>
                <w:sz w:val="24"/>
              </w:rPr>
              <w:t>B</w:t>
            </w:r>
            <w:r>
              <w:rPr>
                <w:rFonts w:hint="eastAsia"/>
                <w:bCs/>
                <w:color w:val="auto"/>
                <w:kern w:val="0"/>
                <w:sz w:val="24"/>
              </w:rPr>
              <w:t>，本项目仓储物质涉及附录</w:t>
            </w:r>
            <w:r>
              <w:rPr>
                <w:bCs/>
                <w:color w:val="auto"/>
                <w:kern w:val="0"/>
                <w:sz w:val="24"/>
              </w:rPr>
              <w:t>B</w:t>
            </w:r>
            <w:r>
              <w:rPr>
                <w:rFonts w:hint="eastAsia"/>
                <w:bCs/>
                <w:color w:val="auto"/>
                <w:kern w:val="0"/>
                <w:sz w:val="24"/>
              </w:rPr>
              <w:t>中的风险物质主要为硫黄</w:t>
            </w:r>
            <w:r>
              <w:rPr>
                <w:rFonts w:hint="eastAsia"/>
                <w:color w:val="auto"/>
              </w:rPr>
              <w:t>。</w:t>
            </w:r>
            <w:r>
              <w:rPr>
                <w:color w:val="auto"/>
                <w:kern w:val="0"/>
                <w:sz w:val="24"/>
                <w:lang w:bidi="ar"/>
              </w:rPr>
              <w:t>根据《烟花爆竹重大危险源辨识》（AQ4131-2023）本项目仓储物品为烟花爆竹，属于易燃易爆物品，主要环境风险为燃烧或爆炸引起的次生环境污染事件。</w:t>
            </w:r>
          </w:p>
          <w:p>
            <w:pPr>
              <w:widowControl/>
              <w:spacing w:line="360" w:lineRule="auto"/>
              <w:ind w:firstLine="480" w:firstLineChars="200"/>
              <w:jc w:val="left"/>
              <w:rPr>
                <w:color w:val="auto"/>
                <w:sz w:val="24"/>
              </w:rPr>
            </w:pPr>
            <w:r>
              <w:rPr>
                <w:color w:val="auto"/>
                <w:kern w:val="0"/>
                <w:sz w:val="24"/>
                <w:lang w:bidi="ar"/>
              </w:rPr>
              <w:t>（2）仓储场所潜在危险性识别</w:t>
            </w:r>
          </w:p>
          <w:p>
            <w:pPr>
              <w:widowControl/>
              <w:spacing w:line="360" w:lineRule="auto"/>
              <w:ind w:firstLine="480" w:firstLineChars="200"/>
              <w:jc w:val="left"/>
              <w:rPr>
                <w:color w:val="auto"/>
                <w:sz w:val="24"/>
              </w:rPr>
            </w:pPr>
            <w:r>
              <w:rPr>
                <w:color w:val="auto"/>
                <w:kern w:val="0"/>
                <w:sz w:val="24"/>
                <w:lang w:bidi="ar"/>
              </w:rPr>
              <w:t>烟花爆竹成品仓库，潜在发生的危险首先是燃烧，燃烧一定时间后，产生高温，可能形、成爆燃、爆炸。成品仓储场所存药量较大，危险性较大，储存的物品都是</w:t>
            </w:r>
            <w:r>
              <w:rPr>
                <w:rFonts w:hint="eastAsia"/>
                <w:color w:val="auto"/>
                <w:kern w:val="0"/>
                <w:sz w:val="24"/>
                <w:lang w:eastAsia="zh-CN" w:bidi="ar"/>
              </w:rPr>
              <w:t>由</w:t>
            </w:r>
            <w:r>
              <w:rPr>
                <w:color w:val="auto"/>
                <w:kern w:val="0"/>
                <w:sz w:val="24"/>
                <w:lang w:bidi="ar"/>
              </w:rPr>
              <w:t>氧化剂</w:t>
            </w:r>
            <w:r>
              <w:rPr>
                <w:rFonts w:hint="eastAsia"/>
                <w:color w:val="auto"/>
                <w:kern w:val="0"/>
                <w:sz w:val="24"/>
                <w:lang w:bidi="ar"/>
              </w:rPr>
              <w:t>和</w:t>
            </w:r>
            <w:r>
              <w:rPr>
                <w:color w:val="auto"/>
                <w:kern w:val="0"/>
                <w:sz w:val="24"/>
                <w:lang w:bidi="ar"/>
              </w:rPr>
              <w:t>可燃物质等组成对机械能、热能及其他能量引燃引爆值要求降低，遇火源、高温、摩擦、撞击、电火花等，即会发生燃烧甚至爆炸，危害人身安全，污染环境。</w:t>
            </w:r>
          </w:p>
          <w:p>
            <w:pPr>
              <w:widowControl/>
              <w:spacing w:line="360" w:lineRule="auto"/>
              <w:ind w:firstLine="480" w:firstLineChars="200"/>
              <w:jc w:val="left"/>
              <w:rPr>
                <w:color w:val="auto"/>
                <w:sz w:val="24"/>
              </w:rPr>
            </w:pPr>
            <w:r>
              <w:rPr>
                <w:color w:val="auto"/>
                <w:kern w:val="0"/>
                <w:sz w:val="24"/>
                <w:lang w:bidi="ar"/>
              </w:rPr>
              <w:t>（3）运输过程潜在危险性识别</w:t>
            </w:r>
          </w:p>
          <w:p>
            <w:pPr>
              <w:widowControl/>
              <w:spacing w:line="360" w:lineRule="auto"/>
              <w:ind w:firstLine="480" w:firstLineChars="200"/>
              <w:jc w:val="left"/>
              <w:rPr>
                <w:color w:val="auto"/>
                <w:sz w:val="24"/>
              </w:rPr>
            </w:pPr>
            <w:r>
              <w:rPr>
                <w:color w:val="auto"/>
                <w:kern w:val="0"/>
                <w:sz w:val="24"/>
                <w:lang w:bidi="ar"/>
              </w:rPr>
              <w:t xml:space="preserve">项目烟花爆竹主要采用公路运输，装载方式不规范，车辆运输过程中人员操作不规范、违规，可能发生翻车、撞车、坠落、碰撞及摩擦等险情，运输车辆不合格，进入仓库区的机动车没有防火花装置等可能引发火灾、爆炸。 </w:t>
            </w:r>
          </w:p>
          <w:p>
            <w:pPr>
              <w:widowControl/>
              <w:spacing w:line="360" w:lineRule="auto"/>
              <w:ind w:firstLine="480" w:firstLineChars="200"/>
              <w:jc w:val="left"/>
              <w:rPr>
                <w:color w:val="auto"/>
                <w:sz w:val="24"/>
              </w:rPr>
            </w:pPr>
            <w:r>
              <w:rPr>
                <w:color w:val="auto"/>
                <w:kern w:val="0"/>
                <w:sz w:val="24"/>
                <w:lang w:bidi="ar"/>
              </w:rPr>
              <w:t>（4）装卸过程潜在危险性识别</w:t>
            </w:r>
          </w:p>
          <w:p>
            <w:pPr>
              <w:widowControl/>
              <w:spacing w:line="360" w:lineRule="auto"/>
              <w:ind w:firstLine="480" w:firstLineChars="200"/>
              <w:jc w:val="left"/>
              <w:rPr>
                <w:color w:val="auto"/>
                <w:sz w:val="24"/>
              </w:rPr>
            </w:pPr>
            <w:r>
              <w:rPr>
                <w:color w:val="auto"/>
                <w:kern w:val="0"/>
                <w:sz w:val="24"/>
                <w:lang w:bidi="ar"/>
              </w:rPr>
              <w:t>在烟花爆竹装卸过程中，搬运工具不符合要求，如使用铁质工具易产生火花，有引起爆炸的危险；搬运操作违规、野蛮装卸货造成烟花爆竹翻滚、拖拉、踩踏、坠落、撞击，有引燃引爆烟花爆竹的危险。</w:t>
            </w:r>
          </w:p>
          <w:p>
            <w:pPr>
              <w:widowControl/>
              <w:spacing w:line="360" w:lineRule="auto"/>
              <w:ind w:firstLine="482" w:firstLineChars="200"/>
              <w:jc w:val="left"/>
              <w:rPr>
                <w:b/>
                <w:bCs/>
                <w:color w:val="auto"/>
                <w:sz w:val="24"/>
              </w:rPr>
            </w:pPr>
            <w:r>
              <w:rPr>
                <w:b/>
                <w:bCs/>
                <w:color w:val="auto"/>
                <w:kern w:val="0"/>
                <w:sz w:val="24"/>
                <w:lang w:bidi="ar"/>
              </w:rPr>
              <w:t xml:space="preserve">6.2重大危险源识别 </w:t>
            </w:r>
          </w:p>
          <w:p>
            <w:pPr>
              <w:widowControl/>
              <w:spacing w:line="360" w:lineRule="auto"/>
              <w:ind w:firstLine="480" w:firstLineChars="200"/>
              <w:jc w:val="left"/>
              <w:rPr>
                <w:color w:val="auto"/>
                <w:kern w:val="0"/>
                <w:sz w:val="24"/>
                <w:lang w:bidi="ar"/>
              </w:rPr>
            </w:pPr>
            <w:r>
              <w:rPr>
                <w:color w:val="auto"/>
                <w:kern w:val="0"/>
                <w:sz w:val="24"/>
                <w:lang w:bidi="ar"/>
              </w:rPr>
              <w:t>危险物质数量与临界量比值（Q）：</w:t>
            </w:r>
          </w:p>
          <w:p>
            <w:pPr>
              <w:widowControl/>
              <w:spacing w:line="360" w:lineRule="auto"/>
              <w:ind w:firstLine="480" w:firstLineChars="200"/>
              <w:jc w:val="left"/>
              <w:rPr>
                <w:color w:val="auto"/>
                <w:kern w:val="0"/>
                <w:sz w:val="24"/>
                <w:lang w:bidi="ar"/>
              </w:rPr>
            </w:pPr>
            <w:r>
              <w:rPr>
                <w:rFonts w:hint="eastAsia"/>
                <w:bCs/>
                <w:color w:val="auto"/>
                <w:kern w:val="0"/>
                <w:sz w:val="24"/>
              </w:rPr>
              <w:t>根据《建设项目环境风险评价技术导则》（</w:t>
            </w:r>
            <w:r>
              <w:rPr>
                <w:bCs/>
                <w:color w:val="auto"/>
                <w:kern w:val="0"/>
                <w:sz w:val="24"/>
              </w:rPr>
              <w:t>HJ169-2018</w:t>
            </w:r>
            <w:r>
              <w:rPr>
                <w:rFonts w:hint="eastAsia"/>
                <w:bCs/>
                <w:color w:val="auto"/>
                <w:kern w:val="0"/>
                <w:sz w:val="24"/>
              </w:rPr>
              <w:t>）附录</w:t>
            </w:r>
            <w:r>
              <w:rPr>
                <w:bCs/>
                <w:color w:val="auto"/>
                <w:kern w:val="0"/>
                <w:sz w:val="24"/>
              </w:rPr>
              <w:t>B</w:t>
            </w:r>
            <w:r>
              <w:rPr>
                <w:rFonts w:hint="eastAsia"/>
                <w:bCs/>
                <w:color w:val="auto"/>
                <w:kern w:val="0"/>
                <w:sz w:val="24"/>
              </w:rPr>
              <w:t>，结合</w:t>
            </w:r>
            <w:r>
              <w:rPr>
                <w:color w:val="auto"/>
                <w:kern w:val="0"/>
                <w:sz w:val="24"/>
                <w:lang w:bidi="ar"/>
              </w:rPr>
              <w:t>《烟花爆竹重大危险源辨识》（AQ4131-2023）临界量表，本项目环境风险物质最大存在总量与其对应的临界量，计算（Q），计算公式如下：</w:t>
            </w:r>
          </w:p>
          <w:p>
            <w:pPr>
              <w:widowControl/>
              <w:spacing w:line="360" w:lineRule="auto"/>
              <w:ind w:firstLine="480" w:firstLineChars="200"/>
              <w:jc w:val="left"/>
              <w:rPr>
                <w:color w:val="auto"/>
                <w:sz w:val="24"/>
              </w:rPr>
            </w:pPr>
            <w:r>
              <w:rPr>
                <w:color w:val="auto"/>
                <w:position w:val="-28"/>
                <w:sz w:val="24"/>
              </w:rPr>
              <w:pict>
                <v:shape id="Object 15" o:spid="_x0000_s2056" o:spt="75" type="#_x0000_t75" style="position:absolute;left:0pt;margin-left:116.55pt;margin-top:283.4pt;height:32.55pt;width:143.3pt;mso-position-horizontal-relative:page;mso-position-vertical-relative:page;mso-wrap-distance-bottom:0pt;mso-wrap-distance-top:0pt;z-index:251663360;mso-width-relative:page;mso-height-relative:page;" o:ole="t" filled="f" o:preferrelative="t" stroked="f" coordsize="21600,21600">
                  <v:path/>
                  <v:fill on="f" focussize="0,0"/>
                  <v:stroke on="f" joinstyle="miter"/>
                  <v:imagedata r:id="rId13" o:title=""/>
                  <o:lock v:ext="edit" aspectratio="t"/>
                  <w10:wrap type="topAndBottom"/>
                </v:shape>
                <o:OLEObject Type="Embed" ProgID="Equations" ShapeID="Object 15" DrawAspect="Content" ObjectID="_1468075725" r:id="rId12">
                  <o:LockedField>false</o:LockedField>
                </o:OLEObject>
              </w:pict>
            </w:r>
            <w:r>
              <w:rPr>
                <w:color w:val="auto"/>
                <w:sz w:val="24"/>
              </w:rPr>
              <w:t>式中：q1、q2、q3、qn为每种风险物质的存在量，t；</w:t>
            </w:r>
          </w:p>
          <w:p>
            <w:pPr>
              <w:spacing w:line="360" w:lineRule="auto"/>
              <w:ind w:firstLine="480" w:firstLineChars="200"/>
              <w:rPr>
                <w:color w:val="auto"/>
                <w:sz w:val="24"/>
              </w:rPr>
            </w:pPr>
            <w:r>
              <w:rPr>
                <w:color w:val="auto"/>
                <w:sz w:val="24"/>
              </w:rPr>
              <w:t>Q1、Q2、Q3、Qn为每种风险物质的临界量，t；</w:t>
            </w:r>
          </w:p>
          <w:p>
            <w:pPr>
              <w:spacing w:line="360" w:lineRule="auto"/>
              <w:ind w:firstLine="480" w:firstLineChars="200"/>
              <w:rPr>
                <w:color w:val="auto"/>
                <w:sz w:val="24"/>
              </w:rPr>
            </w:pPr>
            <w:r>
              <w:rPr>
                <w:color w:val="auto"/>
                <w:sz w:val="24"/>
              </w:rPr>
              <w:t>当Q＜1时，该项目的环境风险潜势为I。</w:t>
            </w:r>
          </w:p>
          <w:p>
            <w:pPr>
              <w:spacing w:line="360" w:lineRule="auto"/>
              <w:ind w:firstLine="480" w:firstLineChars="200"/>
              <w:rPr>
                <w:color w:val="auto"/>
              </w:rPr>
            </w:pPr>
            <w:r>
              <w:rPr>
                <w:rFonts w:hint="eastAsia"/>
                <w:bCs/>
                <w:color w:val="auto"/>
                <w:kern w:val="0"/>
                <w:sz w:val="24"/>
              </w:rPr>
              <w:t>根据《建设项目环境风险评价技术 导则》（</w:t>
            </w:r>
            <w:r>
              <w:rPr>
                <w:bCs/>
                <w:color w:val="auto"/>
                <w:kern w:val="0"/>
                <w:sz w:val="24"/>
              </w:rPr>
              <w:t>HJ169-2018</w:t>
            </w:r>
            <w:r>
              <w:rPr>
                <w:rFonts w:hint="eastAsia"/>
                <w:bCs/>
                <w:color w:val="auto"/>
                <w:kern w:val="0"/>
                <w:sz w:val="24"/>
              </w:rPr>
              <w:t>）附录</w:t>
            </w:r>
            <w:r>
              <w:rPr>
                <w:bCs/>
                <w:color w:val="auto"/>
                <w:kern w:val="0"/>
                <w:sz w:val="24"/>
              </w:rPr>
              <w:t>B</w:t>
            </w:r>
            <w:r>
              <w:rPr>
                <w:rFonts w:hint="eastAsia"/>
                <w:bCs/>
                <w:color w:val="auto"/>
                <w:kern w:val="0"/>
                <w:sz w:val="24"/>
              </w:rPr>
              <w:t>，项目</w:t>
            </w:r>
            <w:r>
              <w:rPr>
                <w:color w:val="auto"/>
                <w:sz w:val="24"/>
              </w:rPr>
              <w:t>风险物质的临界量</w:t>
            </w:r>
            <w:r>
              <w:rPr>
                <w:rFonts w:hint="eastAsia"/>
                <w:color w:val="auto"/>
                <w:sz w:val="24"/>
              </w:rPr>
              <w:t>见表4-6。</w:t>
            </w:r>
          </w:p>
          <w:p>
            <w:pPr>
              <w:pStyle w:val="52"/>
              <w:rPr>
                <w:color w:val="auto"/>
              </w:rPr>
            </w:pPr>
            <w:r>
              <w:rPr>
                <w:color w:val="auto"/>
              </w:rPr>
              <w:t>表4-</w:t>
            </w:r>
            <w:r>
              <w:rPr>
                <w:rFonts w:hint="eastAsia"/>
                <w:color w:val="auto"/>
              </w:rPr>
              <w:t>6</w:t>
            </w:r>
            <w:r>
              <w:rPr>
                <w:color w:val="auto"/>
              </w:rPr>
              <w:t xml:space="preserve">  项目危险物质储存情况一览表</w:t>
            </w:r>
          </w:p>
          <w:tbl>
            <w:tblPr>
              <w:tblStyle w:val="27"/>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1061"/>
              <w:gridCol w:w="1086"/>
              <w:gridCol w:w="1196"/>
              <w:gridCol w:w="1296"/>
              <w:gridCol w:w="1123"/>
              <w:gridCol w:w="112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051" w:type="dxa"/>
                  <w:tcBorders>
                    <w:tl2br w:val="nil"/>
                    <w:tr2bl w:val="nil"/>
                  </w:tcBorders>
                  <w:vAlign w:val="center"/>
                </w:tcPr>
                <w:p>
                  <w:pPr>
                    <w:pStyle w:val="33"/>
                    <w:adjustRightInd/>
                    <w:snapToGrid/>
                    <w:spacing w:before="24" w:after="24" w:line="300" w:lineRule="exact"/>
                    <w:rPr>
                      <w:rFonts w:ascii="Times New Roman"/>
                      <w:color w:val="auto"/>
                      <w:szCs w:val="21"/>
                    </w:rPr>
                  </w:pPr>
                  <w:r>
                    <w:rPr>
                      <w:rFonts w:hint="eastAsia" w:ascii="Times New Roman"/>
                      <w:color w:val="auto"/>
                      <w:szCs w:val="21"/>
                    </w:rPr>
                    <w:t>储存位置</w:t>
                  </w:r>
                </w:p>
              </w:tc>
              <w:tc>
                <w:tcPr>
                  <w:tcW w:w="1061" w:type="dxa"/>
                  <w:tcBorders>
                    <w:tl2br w:val="nil"/>
                    <w:tr2bl w:val="nil"/>
                  </w:tcBorders>
                  <w:vAlign w:val="center"/>
                </w:tcPr>
                <w:p>
                  <w:pPr>
                    <w:pStyle w:val="33"/>
                    <w:adjustRightInd/>
                    <w:snapToGrid/>
                    <w:spacing w:before="24" w:after="24" w:line="300" w:lineRule="exact"/>
                    <w:rPr>
                      <w:rFonts w:ascii="Times New Roman"/>
                      <w:color w:val="auto"/>
                      <w:szCs w:val="21"/>
                    </w:rPr>
                  </w:pPr>
                  <w:r>
                    <w:rPr>
                      <w:rFonts w:hint="eastAsia" w:ascii="Times New Roman"/>
                      <w:color w:val="auto"/>
                      <w:szCs w:val="21"/>
                    </w:rPr>
                    <w:t>存在形式</w:t>
                  </w:r>
                </w:p>
              </w:tc>
              <w:tc>
                <w:tcPr>
                  <w:tcW w:w="1086" w:type="dxa"/>
                  <w:tcBorders>
                    <w:tl2br w:val="nil"/>
                    <w:tr2bl w:val="nil"/>
                  </w:tcBorders>
                  <w:vAlign w:val="center"/>
                </w:tcPr>
                <w:p>
                  <w:pPr>
                    <w:pStyle w:val="33"/>
                    <w:adjustRightInd/>
                    <w:snapToGrid/>
                    <w:spacing w:before="24" w:after="24" w:line="300" w:lineRule="exact"/>
                    <w:rPr>
                      <w:rFonts w:ascii="Times New Roman"/>
                      <w:color w:val="auto"/>
                      <w:szCs w:val="21"/>
                    </w:rPr>
                  </w:pPr>
                  <w:r>
                    <w:rPr>
                      <w:rFonts w:hint="eastAsia" w:ascii="Times New Roman"/>
                      <w:color w:val="auto"/>
                      <w:szCs w:val="21"/>
                    </w:rPr>
                    <w:t>危险物质名称</w:t>
                  </w:r>
                </w:p>
              </w:tc>
              <w:tc>
                <w:tcPr>
                  <w:tcW w:w="1196" w:type="dxa"/>
                  <w:tcBorders>
                    <w:tl2br w:val="nil"/>
                    <w:tr2bl w:val="nil"/>
                  </w:tcBorders>
                  <w:vAlign w:val="center"/>
                </w:tcPr>
                <w:p>
                  <w:pPr>
                    <w:pStyle w:val="33"/>
                    <w:adjustRightInd/>
                    <w:snapToGrid/>
                    <w:spacing w:before="24" w:after="24" w:line="300" w:lineRule="exact"/>
                    <w:rPr>
                      <w:rFonts w:ascii="Times New Roman"/>
                      <w:color w:val="auto"/>
                      <w:szCs w:val="21"/>
                    </w:rPr>
                  </w:pPr>
                  <w:r>
                    <w:rPr>
                      <w:rFonts w:hint="eastAsia" w:ascii="Times New Roman"/>
                      <w:color w:val="auto"/>
                      <w:szCs w:val="21"/>
                    </w:rPr>
                    <w:t>CAS号</w:t>
                  </w:r>
                </w:p>
              </w:tc>
              <w:tc>
                <w:tcPr>
                  <w:tcW w:w="1296" w:type="dxa"/>
                  <w:tcBorders>
                    <w:tl2br w:val="nil"/>
                    <w:tr2bl w:val="nil"/>
                  </w:tcBorders>
                  <w:vAlign w:val="center"/>
                </w:tcPr>
                <w:p>
                  <w:pPr>
                    <w:pStyle w:val="33"/>
                    <w:adjustRightInd/>
                    <w:snapToGrid/>
                    <w:spacing w:before="24" w:after="24" w:line="300" w:lineRule="exact"/>
                    <w:rPr>
                      <w:rFonts w:ascii="Times New Roman"/>
                      <w:color w:val="auto"/>
                      <w:szCs w:val="21"/>
                    </w:rPr>
                  </w:pPr>
                  <w:r>
                    <w:rPr>
                      <w:rFonts w:hint="eastAsia" w:ascii="Times New Roman"/>
                      <w:color w:val="auto"/>
                      <w:szCs w:val="21"/>
                    </w:rPr>
                    <w:t>最大储存量（t）</w:t>
                  </w:r>
                </w:p>
              </w:tc>
              <w:tc>
                <w:tcPr>
                  <w:tcW w:w="1123" w:type="dxa"/>
                  <w:tcBorders>
                    <w:tl2br w:val="nil"/>
                    <w:tr2bl w:val="nil"/>
                  </w:tcBorders>
                  <w:vAlign w:val="center"/>
                </w:tcPr>
                <w:p>
                  <w:pPr>
                    <w:pStyle w:val="33"/>
                    <w:adjustRightInd/>
                    <w:snapToGrid/>
                    <w:spacing w:before="24" w:after="24" w:line="300" w:lineRule="exact"/>
                    <w:rPr>
                      <w:rFonts w:ascii="Times New Roman"/>
                      <w:color w:val="auto"/>
                      <w:szCs w:val="21"/>
                    </w:rPr>
                  </w:pPr>
                  <w:r>
                    <w:rPr>
                      <w:rFonts w:hint="eastAsia" w:ascii="Times New Roman"/>
                      <w:color w:val="auto"/>
                      <w:szCs w:val="21"/>
                    </w:rPr>
                    <w:t>临界值（t）</w:t>
                  </w:r>
                </w:p>
              </w:tc>
              <w:tc>
                <w:tcPr>
                  <w:tcW w:w="1123" w:type="dxa"/>
                  <w:tcBorders>
                    <w:tl2br w:val="nil"/>
                    <w:tr2bl w:val="nil"/>
                  </w:tcBorders>
                  <w:vAlign w:val="center"/>
                </w:tcPr>
                <w:p>
                  <w:pPr>
                    <w:pStyle w:val="33"/>
                    <w:adjustRightInd/>
                    <w:snapToGrid/>
                    <w:spacing w:before="24" w:after="24" w:line="300" w:lineRule="exact"/>
                    <w:rPr>
                      <w:rFonts w:ascii="Times New Roman"/>
                      <w:color w:val="auto"/>
                      <w:szCs w:val="21"/>
                    </w:rPr>
                  </w:pPr>
                  <w:r>
                    <w:rPr>
                      <w:rFonts w:hint="eastAsia" w:ascii="Times New Roman"/>
                      <w:color w:val="auto"/>
                      <w:szCs w:val="21"/>
                    </w:rPr>
                    <w:t>Q值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51" w:type="dxa"/>
                  <w:tcBorders>
                    <w:tl2br w:val="nil"/>
                    <w:tr2bl w:val="nil"/>
                  </w:tcBorders>
                  <w:vAlign w:val="center"/>
                </w:tcPr>
                <w:p>
                  <w:pPr>
                    <w:pStyle w:val="33"/>
                    <w:adjustRightInd/>
                    <w:snapToGrid/>
                    <w:spacing w:before="24" w:after="24" w:line="300" w:lineRule="exact"/>
                    <w:rPr>
                      <w:rFonts w:ascii="Times New Roman"/>
                      <w:color w:val="auto"/>
                      <w:szCs w:val="21"/>
                    </w:rPr>
                  </w:pPr>
                  <w:r>
                    <w:rPr>
                      <w:rFonts w:hint="eastAsia" w:ascii="Times New Roman"/>
                      <w:color w:val="auto"/>
                      <w:szCs w:val="21"/>
                    </w:rPr>
                    <w:t>仓库</w:t>
                  </w:r>
                </w:p>
              </w:tc>
              <w:tc>
                <w:tcPr>
                  <w:tcW w:w="1061" w:type="dxa"/>
                  <w:tcBorders>
                    <w:tl2br w:val="nil"/>
                    <w:tr2bl w:val="nil"/>
                  </w:tcBorders>
                  <w:vAlign w:val="center"/>
                </w:tcPr>
                <w:p>
                  <w:pPr>
                    <w:pStyle w:val="33"/>
                    <w:adjustRightInd/>
                    <w:snapToGrid/>
                    <w:spacing w:before="24" w:after="24" w:line="300" w:lineRule="exact"/>
                    <w:rPr>
                      <w:rFonts w:ascii="Times New Roman"/>
                      <w:color w:val="auto"/>
                      <w:szCs w:val="21"/>
                    </w:rPr>
                  </w:pPr>
                  <w:r>
                    <w:rPr>
                      <w:rFonts w:hint="eastAsia" w:ascii="Times New Roman"/>
                      <w:color w:val="auto"/>
                      <w:szCs w:val="21"/>
                    </w:rPr>
                    <w:t>烟花爆竹成品内</w:t>
                  </w:r>
                </w:p>
              </w:tc>
              <w:tc>
                <w:tcPr>
                  <w:tcW w:w="1086" w:type="dxa"/>
                  <w:tcBorders>
                    <w:tl2br w:val="nil"/>
                    <w:tr2bl w:val="nil"/>
                  </w:tcBorders>
                  <w:vAlign w:val="center"/>
                </w:tcPr>
                <w:p>
                  <w:pPr>
                    <w:pStyle w:val="33"/>
                    <w:adjustRightInd/>
                    <w:snapToGrid/>
                    <w:spacing w:before="24" w:after="24" w:line="300" w:lineRule="exact"/>
                    <w:rPr>
                      <w:rFonts w:ascii="Times New Roman"/>
                      <w:color w:val="auto"/>
                      <w:szCs w:val="21"/>
                    </w:rPr>
                  </w:pPr>
                  <w:r>
                    <w:rPr>
                      <w:rFonts w:hint="eastAsia" w:ascii="Times New Roman"/>
                      <w:color w:val="auto"/>
                      <w:szCs w:val="21"/>
                    </w:rPr>
                    <w:t>硫黄</w:t>
                  </w:r>
                </w:p>
              </w:tc>
              <w:tc>
                <w:tcPr>
                  <w:tcW w:w="1196" w:type="dxa"/>
                  <w:tcBorders>
                    <w:tl2br w:val="nil"/>
                    <w:tr2bl w:val="nil"/>
                  </w:tcBorders>
                  <w:vAlign w:val="center"/>
                </w:tcPr>
                <w:p>
                  <w:pPr>
                    <w:pStyle w:val="33"/>
                    <w:adjustRightInd/>
                    <w:snapToGrid/>
                    <w:spacing w:before="24" w:after="24" w:line="300" w:lineRule="exact"/>
                    <w:rPr>
                      <w:rFonts w:ascii="Times New Roman"/>
                      <w:color w:val="auto"/>
                      <w:szCs w:val="21"/>
                    </w:rPr>
                  </w:pPr>
                  <w:r>
                    <w:rPr>
                      <w:rFonts w:hint="eastAsia" w:ascii="Times New Roman"/>
                      <w:color w:val="auto"/>
                      <w:szCs w:val="21"/>
                    </w:rPr>
                    <w:t>7664-96-9</w:t>
                  </w:r>
                </w:p>
              </w:tc>
              <w:tc>
                <w:tcPr>
                  <w:tcW w:w="1296" w:type="dxa"/>
                  <w:tcBorders>
                    <w:tl2br w:val="nil"/>
                    <w:tr2bl w:val="nil"/>
                  </w:tcBorders>
                  <w:vAlign w:val="center"/>
                </w:tcPr>
                <w:p>
                  <w:pPr>
                    <w:widowControl/>
                    <w:jc w:val="center"/>
                    <w:textAlignment w:val="center"/>
                    <w:rPr>
                      <w:color w:val="auto"/>
                      <w:szCs w:val="21"/>
                    </w:rPr>
                  </w:pPr>
                  <w:r>
                    <w:rPr>
                      <w:color w:val="auto"/>
                      <w:kern w:val="0"/>
                      <w:szCs w:val="21"/>
                      <w:lang w:bidi="ar"/>
                    </w:rPr>
                    <w:t>3.</w:t>
                  </w:r>
                  <w:r>
                    <w:rPr>
                      <w:rFonts w:hint="eastAsia"/>
                      <w:color w:val="auto"/>
                      <w:kern w:val="0"/>
                      <w:szCs w:val="21"/>
                      <w:lang w:bidi="ar"/>
                    </w:rPr>
                    <w:t>36</w:t>
                  </w:r>
                </w:p>
              </w:tc>
              <w:tc>
                <w:tcPr>
                  <w:tcW w:w="1123" w:type="dxa"/>
                  <w:tcBorders>
                    <w:tl2br w:val="nil"/>
                    <w:tr2bl w:val="nil"/>
                  </w:tcBorders>
                  <w:vAlign w:val="center"/>
                </w:tcPr>
                <w:p>
                  <w:pPr>
                    <w:pStyle w:val="33"/>
                    <w:adjustRightInd/>
                    <w:snapToGrid/>
                    <w:spacing w:before="24" w:after="24" w:line="300" w:lineRule="exact"/>
                    <w:rPr>
                      <w:rFonts w:ascii="Times New Roman"/>
                      <w:color w:val="auto"/>
                      <w:szCs w:val="21"/>
                    </w:rPr>
                  </w:pPr>
                  <w:r>
                    <w:rPr>
                      <w:rFonts w:hint="eastAsia" w:ascii="Times New Roman"/>
                      <w:color w:val="auto"/>
                      <w:szCs w:val="21"/>
                    </w:rPr>
                    <w:t>10</w:t>
                  </w:r>
                </w:p>
              </w:tc>
              <w:tc>
                <w:tcPr>
                  <w:tcW w:w="1123" w:type="dxa"/>
                  <w:tcBorders>
                    <w:tl2br w:val="nil"/>
                    <w:tr2bl w:val="nil"/>
                  </w:tcBorders>
                  <w:vAlign w:val="center"/>
                </w:tcPr>
                <w:p>
                  <w:pPr>
                    <w:pStyle w:val="33"/>
                    <w:adjustRightInd/>
                    <w:snapToGrid/>
                    <w:spacing w:before="24" w:after="24" w:line="300" w:lineRule="exact"/>
                    <w:rPr>
                      <w:rFonts w:ascii="Times New Roman"/>
                      <w:color w:val="auto"/>
                      <w:szCs w:val="21"/>
                    </w:rPr>
                  </w:pPr>
                  <w:r>
                    <w:rPr>
                      <w:rFonts w:hint="eastAsia" w:ascii="Times New Roman"/>
                      <w:color w:val="auto"/>
                      <w:szCs w:val="21"/>
                    </w:rPr>
                    <w:t>0.336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6813" w:type="dxa"/>
                  <w:gridSpan w:val="6"/>
                  <w:tcBorders>
                    <w:tl2br w:val="nil"/>
                    <w:tr2bl w:val="nil"/>
                  </w:tcBorders>
                  <w:vAlign w:val="center"/>
                </w:tcPr>
                <w:p>
                  <w:pPr>
                    <w:pStyle w:val="33"/>
                    <w:adjustRightInd/>
                    <w:snapToGrid/>
                    <w:spacing w:before="24" w:after="24" w:line="300" w:lineRule="exact"/>
                    <w:rPr>
                      <w:rFonts w:ascii="Times New Roman"/>
                      <w:color w:val="auto"/>
                      <w:szCs w:val="21"/>
                    </w:rPr>
                  </w:pPr>
                  <w:r>
                    <w:rPr>
                      <w:rFonts w:hint="eastAsia" w:ascii="Times New Roman"/>
                      <w:color w:val="auto"/>
                      <w:szCs w:val="21"/>
                    </w:rPr>
                    <w:t>合计</w:t>
                  </w:r>
                </w:p>
              </w:tc>
              <w:tc>
                <w:tcPr>
                  <w:tcW w:w="1123" w:type="dxa"/>
                  <w:tcBorders>
                    <w:tl2br w:val="nil"/>
                    <w:tr2bl w:val="nil"/>
                  </w:tcBorders>
                  <w:vAlign w:val="center"/>
                </w:tcPr>
                <w:p>
                  <w:pPr>
                    <w:pStyle w:val="33"/>
                    <w:adjustRightInd/>
                    <w:snapToGrid/>
                    <w:spacing w:before="24" w:after="24" w:line="300" w:lineRule="exact"/>
                    <w:rPr>
                      <w:rFonts w:ascii="Times New Roman"/>
                      <w:color w:val="auto"/>
                      <w:szCs w:val="21"/>
                    </w:rPr>
                  </w:pPr>
                  <w:r>
                    <w:rPr>
                      <w:rFonts w:hint="eastAsia" w:ascii="Times New Roman"/>
                      <w:color w:val="auto"/>
                      <w:szCs w:val="21"/>
                    </w:rPr>
                    <w:t>0.336</w:t>
                  </w:r>
                </w:p>
              </w:tc>
            </w:tr>
          </w:tbl>
          <w:p>
            <w:pPr>
              <w:widowControl/>
              <w:spacing w:line="360" w:lineRule="auto"/>
              <w:ind w:firstLine="480" w:firstLineChars="200"/>
              <w:jc w:val="left"/>
              <w:rPr>
                <w:color w:val="auto"/>
              </w:rPr>
            </w:pPr>
            <w:r>
              <w:rPr>
                <w:color w:val="auto"/>
                <w:kern w:val="0"/>
                <w:sz w:val="24"/>
                <w:lang w:bidi="ar"/>
              </w:rPr>
              <w:t>根据《危险化学品重大危险源辨识》（GB18218-2018）、《烟花爆竹重大危险源辨识》（AQ4131-2023）所列举的爆炸品的临界量见表4-</w:t>
            </w:r>
            <w:r>
              <w:rPr>
                <w:rFonts w:hint="eastAsia"/>
                <w:color w:val="auto"/>
                <w:kern w:val="0"/>
                <w:sz w:val="24"/>
                <w:lang w:bidi="ar"/>
              </w:rPr>
              <w:t>7</w:t>
            </w:r>
            <w:r>
              <w:rPr>
                <w:color w:val="auto"/>
                <w:kern w:val="0"/>
                <w:sz w:val="24"/>
                <w:lang w:bidi="ar"/>
              </w:rPr>
              <w:t>。</w:t>
            </w:r>
          </w:p>
          <w:p>
            <w:pPr>
              <w:pStyle w:val="52"/>
              <w:rPr>
                <w:color w:val="auto"/>
              </w:rPr>
            </w:pPr>
            <w:r>
              <w:rPr>
                <w:rFonts w:hint="eastAsia"/>
                <w:color w:val="auto"/>
              </w:rPr>
              <w:t>表4-7</w:t>
            </w:r>
            <w:r>
              <w:rPr>
                <w:color w:val="auto"/>
              </w:rPr>
              <w:t xml:space="preserve"> 项目危险物质储存情况一览表</w:t>
            </w:r>
          </w:p>
          <w:tbl>
            <w:tblPr>
              <w:tblStyle w:val="27"/>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1503"/>
              <w:gridCol w:w="1793"/>
              <w:gridCol w:w="1554"/>
              <w:gridCol w:w="155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454" w:type="dxa"/>
                  <w:tcBorders>
                    <w:tl2br w:val="nil"/>
                    <w:tr2bl w:val="nil"/>
                  </w:tcBorders>
                  <w:vAlign w:val="center"/>
                </w:tcPr>
                <w:p>
                  <w:pPr>
                    <w:pStyle w:val="33"/>
                    <w:adjustRightInd/>
                    <w:snapToGrid/>
                    <w:spacing w:before="24" w:after="24" w:line="300" w:lineRule="exact"/>
                    <w:rPr>
                      <w:rFonts w:ascii="Times New Roman"/>
                      <w:color w:val="auto"/>
                      <w:szCs w:val="21"/>
                    </w:rPr>
                  </w:pPr>
                  <w:r>
                    <w:rPr>
                      <w:rFonts w:ascii="Times New Roman"/>
                      <w:color w:val="auto"/>
                      <w:szCs w:val="21"/>
                    </w:rPr>
                    <w:t>序号</w:t>
                  </w:r>
                </w:p>
              </w:tc>
              <w:tc>
                <w:tcPr>
                  <w:tcW w:w="1503" w:type="dxa"/>
                  <w:tcBorders>
                    <w:tl2br w:val="nil"/>
                    <w:tr2bl w:val="nil"/>
                  </w:tcBorders>
                  <w:vAlign w:val="center"/>
                </w:tcPr>
                <w:p>
                  <w:pPr>
                    <w:pStyle w:val="33"/>
                    <w:adjustRightInd/>
                    <w:snapToGrid/>
                    <w:spacing w:before="24" w:after="24" w:line="300" w:lineRule="exact"/>
                    <w:rPr>
                      <w:rFonts w:ascii="Times New Roman"/>
                      <w:color w:val="auto"/>
                      <w:szCs w:val="21"/>
                    </w:rPr>
                  </w:pPr>
                  <w:r>
                    <w:rPr>
                      <w:rFonts w:ascii="Times New Roman"/>
                      <w:color w:val="auto"/>
                      <w:szCs w:val="21"/>
                    </w:rPr>
                    <w:t>危险物质名称</w:t>
                  </w:r>
                </w:p>
              </w:tc>
              <w:tc>
                <w:tcPr>
                  <w:tcW w:w="1793" w:type="dxa"/>
                  <w:tcBorders>
                    <w:tl2br w:val="nil"/>
                    <w:tr2bl w:val="nil"/>
                  </w:tcBorders>
                  <w:vAlign w:val="center"/>
                </w:tcPr>
                <w:p>
                  <w:pPr>
                    <w:pStyle w:val="33"/>
                    <w:adjustRightInd/>
                    <w:snapToGrid/>
                    <w:spacing w:before="24" w:after="24" w:line="300" w:lineRule="exact"/>
                    <w:rPr>
                      <w:rFonts w:ascii="Times New Roman"/>
                      <w:color w:val="auto"/>
                      <w:szCs w:val="21"/>
                    </w:rPr>
                  </w:pPr>
                  <w:r>
                    <w:rPr>
                      <w:rFonts w:ascii="Times New Roman"/>
                      <w:color w:val="auto"/>
                      <w:szCs w:val="21"/>
                    </w:rPr>
                    <w:t>最大储存量（t）</w:t>
                  </w:r>
                </w:p>
              </w:tc>
              <w:tc>
                <w:tcPr>
                  <w:tcW w:w="1554" w:type="dxa"/>
                  <w:tcBorders>
                    <w:tl2br w:val="nil"/>
                    <w:tr2bl w:val="nil"/>
                  </w:tcBorders>
                  <w:vAlign w:val="center"/>
                </w:tcPr>
                <w:p>
                  <w:pPr>
                    <w:pStyle w:val="33"/>
                    <w:adjustRightInd/>
                    <w:snapToGrid/>
                    <w:spacing w:before="24" w:after="24" w:line="300" w:lineRule="exact"/>
                    <w:rPr>
                      <w:rFonts w:ascii="Times New Roman"/>
                      <w:color w:val="auto"/>
                      <w:szCs w:val="21"/>
                    </w:rPr>
                  </w:pPr>
                  <w:r>
                    <w:rPr>
                      <w:rFonts w:ascii="Times New Roman"/>
                      <w:color w:val="auto"/>
                      <w:szCs w:val="21"/>
                    </w:rPr>
                    <w:t>临界值（t）</w:t>
                  </w:r>
                </w:p>
              </w:tc>
              <w:tc>
                <w:tcPr>
                  <w:tcW w:w="1554" w:type="dxa"/>
                  <w:tcBorders>
                    <w:tl2br w:val="nil"/>
                    <w:tr2bl w:val="nil"/>
                  </w:tcBorders>
                  <w:vAlign w:val="center"/>
                </w:tcPr>
                <w:p>
                  <w:pPr>
                    <w:pStyle w:val="33"/>
                    <w:adjustRightInd/>
                    <w:snapToGrid/>
                    <w:spacing w:before="24" w:after="24" w:line="300" w:lineRule="exact"/>
                    <w:rPr>
                      <w:rFonts w:ascii="Times New Roman"/>
                      <w:color w:val="auto"/>
                      <w:szCs w:val="21"/>
                    </w:rPr>
                  </w:pPr>
                  <w:r>
                    <w:rPr>
                      <w:rFonts w:ascii="Times New Roman"/>
                      <w:color w:val="auto"/>
                      <w:szCs w:val="21"/>
                    </w:rPr>
                    <w:t>Q值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454" w:type="dxa"/>
                  <w:tcBorders>
                    <w:tl2br w:val="nil"/>
                    <w:tr2bl w:val="nil"/>
                  </w:tcBorders>
                  <w:vAlign w:val="center"/>
                </w:tcPr>
                <w:p>
                  <w:pPr>
                    <w:pStyle w:val="33"/>
                    <w:adjustRightInd/>
                    <w:snapToGrid/>
                    <w:spacing w:before="24" w:after="24" w:line="300" w:lineRule="exact"/>
                    <w:rPr>
                      <w:rFonts w:ascii="Times New Roman"/>
                      <w:color w:val="auto"/>
                      <w:szCs w:val="21"/>
                    </w:rPr>
                  </w:pPr>
                  <w:r>
                    <w:rPr>
                      <w:rFonts w:ascii="Times New Roman"/>
                      <w:color w:val="auto"/>
                      <w:szCs w:val="21"/>
                    </w:rPr>
                    <w:t>1</w:t>
                  </w:r>
                </w:p>
              </w:tc>
              <w:tc>
                <w:tcPr>
                  <w:tcW w:w="1503" w:type="dxa"/>
                  <w:tcBorders>
                    <w:tl2br w:val="nil"/>
                    <w:tr2bl w:val="nil"/>
                  </w:tcBorders>
                  <w:vAlign w:val="center"/>
                </w:tcPr>
                <w:p>
                  <w:pPr>
                    <w:pStyle w:val="33"/>
                    <w:adjustRightInd/>
                    <w:snapToGrid/>
                    <w:spacing w:before="24" w:after="24" w:line="300" w:lineRule="exact"/>
                    <w:rPr>
                      <w:rFonts w:ascii="Times New Roman"/>
                      <w:color w:val="auto"/>
                      <w:szCs w:val="21"/>
                    </w:rPr>
                  </w:pPr>
                  <w:r>
                    <w:rPr>
                      <w:rFonts w:ascii="Times New Roman"/>
                      <w:color w:val="auto"/>
                      <w:szCs w:val="21"/>
                    </w:rPr>
                    <w:t>爆炸品</w:t>
                  </w:r>
                </w:p>
              </w:tc>
              <w:tc>
                <w:tcPr>
                  <w:tcW w:w="1793" w:type="dxa"/>
                  <w:tcBorders>
                    <w:tl2br w:val="nil"/>
                    <w:tr2bl w:val="nil"/>
                  </w:tcBorders>
                  <w:vAlign w:val="center"/>
                </w:tcPr>
                <w:p>
                  <w:pPr>
                    <w:pStyle w:val="33"/>
                    <w:adjustRightInd/>
                    <w:snapToGrid/>
                    <w:spacing w:before="24" w:after="24" w:line="300" w:lineRule="exact"/>
                    <w:rPr>
                      <w:rFonts w:ascii="Times New Roman"/>
                      <w:color w:val="auto"/>
                      <w:szCs w:val="21"/>
                    </w:rPr>
                  </w:pPr>
                  <w:r>
                    <w:rPr>
                      <w:rFonts w:ascii="Times New Roman"/>
                      <w:color w:val="auto"/>
                      <w:szCs w:val="21"/>
                    </w:rPr>
                    <w:t>20</w:t>
                  </w:r>
                </w:p>
              </w:tc>
              <w:tc>
                <w:tcPr>
                  <w:tcW w:w="1554" w:type="dxa"/>
                  <w:tcBorders>
                    <w:tl2br w:val="nil"/>
                    <w:tr2bl w:val="nil"/>
                  </w:tcBorders>
                  <w:vAlign w:val="center"/>
                </w:tcPr>
                <w:p>
                  <w:pPr>
                    <w:pStyle w:val="33"/>
                    <w:adjustRightInd/>
                    <w:snapToGrid/>
                    <w:spacing w:before="24" w:after="24" w:line="300" w:lineRule="exact"/>
                    <w:rPr>
                      <w:rFonts w:ascii="Times New Roman"/>
                      <w:color w:val="auto"/>
                      <w:szCs w:val="21"/>
                    </w:rPr>
                  </w:pPr>
                  <w:r>
                    <w:rPr>
                      <w:rFonts w:ascii="Times New Roman"/>
                      <w:color w:val="auto"/>
                      <w:szCs w:val="21"/>
                    </w:rPr>
                    <w:t>50</w:t>
                  </w:r>
                </w:p>
              </w:tc>
              <w:tc>
                <w:tcPr>
                  <w:tcW w:w="1554" w:type="dxa"/>
                  <w:tcBorders>
                    <w:tl2br w:val="nil"/>
                    <w:tr2bl w:val="nil"/>
                  </w:tcBorders>
                  <w:vAlign w:val="center"/>
                </w:tcPr>
                <w:p>
                  <w:pPr>
                    <w:pStyle w:val="33"/>
                    <w:adjustRightInd/>
                    <w:snapToGrid/>
                    <w:spacing w:before="24" w:after="24" w:line="300" w:lineRule="exact"/>
                    <w:rPr>
                      <w:rFonts w:ascii="Times New Roman"/>
                      <w:color w:val="auto"/>
                      <w:szCs w:val="21"/>
                    </w:rPr>
                  </w:pPr>
                  <w:r>
                    <w:rPr>
                      <w:rFonts w:ascii="Times New Roman"/>
                      <w:color w:val="auto"/>
                      <w:szCs w:val="21"/>
                    </w:rPr>
                    <w:t>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6304" w:type="dxa"/>
                  <w:gridSpan w:val="4"/>
                  <w:tcBorders>
                    <w:tl2br w:val="nil"/>
                    <w:tr2bl w:val="nil"/>
                  </w:tcBorders>
                  <w:vAlign w:val="center"/>
                </w:tcPr>
                <w:p>
                  <w:pPr>
                    <w:pStyle w:val="33"/>
                    <w:adjustRightInd/>
                    <w:snapToGrid/>
                    <w:spacing w:before="24" w:after="24" w:line="300" w:lineRule="exact"/>
                    <w:rPr>
                      <w:rFonts w:ascii="Times New Roman"/>
                      <w:color w:val="auto"/>
                      <w:szCs w:val="21"/>
                    </w:rPr>
                  </w:pPr>
                  <w:r>
                    <w:rPr>
                      <w:rFonts w:ascii="Times New Roman"/>
                      <w:color w:val="auto"/>
                      <w:szCs w:val="21"/>
                    </w:rPr>
                    <w:t>Q</w:t>
                  </w:r>
                </w:p>
              </w:tc>
              <w:tc>
                <w:tcPr>
                  <w:tcW w:w="1554" w:type="dxa"/>
                  <w:tcBorders>
                    <w:tl2br w:val="nil"/>
                    <w:tr2bl w:val="nil"/>
                  </w:tcBorders>
                  <w:vAlign w:val="center"/>
                </w:tcPr>
                <w:p>
                  <w:pPr>
                    <w:pStyle w:val="33"/>
                    <w:adjustRightInd/>
                    <w:snapToGrid/>
                    <w:spacing w:before="24" w:after="24" w:line="300" w:lineRule="exact"/>
                    <w:rPr>
                      <w:rFonts w:ascii="Times New Roman"/>
                      <w:color w:val="auto"/>
                      <w:szCs w:val="21"/>
                    </w:rPr>
                  </w:pPr>
                  <w:r>
                    <w:rPr>
                      <w:rFonts w:ascii="Times New Roman"/>
                      <w:color w:val="auto"/>
                      <w:szCs w:val="21"/>
                    </w:rPr>
                    <w:t>0.4</w:t>
                  </w:r>
                </w:p>
              </w:tc>
            </w:tr>
          </w:tbl>
          <w:p>
            <w:pPr>
              <w:widowControl/>
              <w:spacing w:line="360" w:lineRule="auto"/>
              <w:ind w:firstLine="480" w:firstLineChars="200"/>
              <w:jc w:val="left"/>
              <w:rPr>
                <w:color w:val="auto"/>
              </w:rPr>
            </w:pPr>
            <w:r>
              <w:rPr>
                <w:rFonts w:hint="eastAsia"/>
                <w:color w:val="auto"/>
                <w:kern w:val="0"/>
                <w:sz w:val="24"/>
                <w:lang w:bidi="ar"/>
              </w:rPr>
              <w:t>根据表4-6和4-7，</w:t>
            </w:r>
            <w:r>
              <w:rPr>
                <w:color w:val="auto"/>
                <w:kern w:val="0"/>
                <w:sz w:val="24"/>
                <w:lang w:bidi="ar"/>
              </w:rPr>
              <w:t>本项目环境风险物质最大存在总量与临界量比值为 Q=0.4，Q＜1。根据环境风险评价等级分级表，本项目环境风险评价等级详见表 4-</w:t>
            </w:r>
            <w:r>
              <w:rPr>
                <w:rFonts w:hint="eastAsia"/>
                <w:color w:val="auto"/>
                <w:kern w:val="0"/>
                <w:sz w:val="24"/>
                <w:lang w:bidi="ar"/>
              </w:rPr>
              <w:t>8</w:t>
            </w:r>
            <w:r>
              <w:rPr>
                <w:color w:val="auto"/>
                <w:kern w:val="0"/>
                <w:sz w:val="24"/>
                <w:lang w:bidi="ar"/>
              </w:rPr>
              <w:t>。</w:t>
            </w:r>
          </w:p>
          <w:p>
            <w:pPr>
              <w:pStyle w:val="52"/>
              <w:rPr>
                <w:color w:val="auto"/>
              </w:rPr>
            </w:pPr>
            <w:r>
              <w:rPr>
                <w:color w:val="auto"/>
              </w:rPr>
              <w:t>表4-</w:t>
            </w:r>
            <w:r>
              <w:rPr>
                <w:rFonts w:hint="eastAsia"/>
                <w:color w:val="auto"/>
              </w:rPr>
              <w:t>8</w:t>
            </w:r>
            <w:r>
              <w:rPr>
                <w:color w:val="auto"/>
              </w:rPr>
              <w:t xml:space="preserve"> 评价工作等级划分</w:t>
            </w:r>
          </w:p>
          <w:tbl>
            <w:tblPr>
              <w:tblStyle w:val="27"/>
              <w:tblW w:w="5000"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1588"/>
              <w:gridCol w:w="1591"/>
              <w:gridCol w:w="1589"/>
              <w:gridCol w:w="159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9" w:type="pct"/>
                  <w:tcBorders>
                    <w:tl2br w:val="nil"/>
                    <w:tr2bl w:val="nil"/>
                  </w:tcBorders>
                </w:tcPr>
                <w:p>
                  <w:pPr>
                    <w:spacing w:line="300" w:lineRule="exact"/>
                    <w:jc w:val="center"/>
                    <w:rPr>
                      <w:color w:val="auto"/>
                      <w:kern w:val="0"/>
                      <w:szCs w:val="21"/>
                    </w:rPr>
                  </w:pPr>
                  <w:r>
                    <w:rPr>
                      <w:color w:val="auto"/>
                      <w:kern w:val="0"/>
                      <w:szCs w:val="21"/>
                    </w:rPr>
                    <w:t>环境风险潜势</w:t>
                  </w:r>
                </w:p>
              </w:tc>
              <w:tc>
                <w:tcPr>
                  <w:tcW w:w="999" w:type="pct"/>
                  <w:tcBorders>
                    <w:tl2br w:val="nil"/>
                    <w:tr2bl w:val="nil"/>
                  </w:tcBorders>
                </w:tcPr>
                <w:p>
                  <w:pPr>
                    <w:spacing w:line="300" w:lineRule="exact"/>
                    <w:jc w:val="center"/>
                    <w:rPr>
                      <w:color w:val="auto"/>
                      <w:kern w:val="0"/>
                      <w:szCs w:val="21"/>
                    </w:rPr>
                  </w:pPr>
                  <w:r>
                    <w:rPr>
                      <w:color w:val="auto"/>
                      <w:kern w:val="0"/>
                      <w:szCs w:val="21"/>
                    </w:rPr>
                    <w:t>Ⅳ、</w:t>
                  </w:r>
                  <w:r>
                    <w:rPr>
                      <w:rFonts w:hint="eastAsia"/>
                      <w:color w:val="auto"/>
                      <w:kern w:val="0"/>
                      <w:szCs w:val="21"/>
                    </w:rPr>
                    <w:t>IV</w:t>
                  </w:r>
                  <w:r>
                    <w:rPr>
                      <w:color w:val="auto"/>
                      <w:kern w:val="0"/>
                      <w:szCs w:val="21"/>
                      <w:vertAlign w:val="superscript"/>
                    </w:rPr>
                    <w:t>+</w:t>
                  </w:r>
                </w:p>
              </w:tc>
              <w:tc>
                <w:tcPr>
                  <w:tcW w:w="1001" w:type="pct"/>
                  <w:tcBorders>
                    <w:tl2br w:val="nil"/>
                    <w:tr2bl w:val="nil"/>
                  </w:tcBorders>
                </w:tcPr>
                <w:p>
                  <w:pPr>
                    <w:spacing w:line="300" w:lineRule="exact"/>
                    <w:jc w:val="center"/>
                    <w:rPr>
                      <w:color w:val="auto"/>
                      <w:kern w:val="0"/>
                      <w:szCs w:val="21"/>
                    </w:rPr>
                  </w:pPr>
                  <w:r>
                    <w:rPr>
                      <w:color w:val="auto"/>
                      <w:kern w:val="0"/>
                      <w:szCs w:val="21"/>
                    </w:rPr>
                    <w:t>Ⅲ</w:t>
                  </w:r>
                </w:p>
              </w:tc>
              <w:tc>
                <w:tcPr>
                  <w:tcW w:w="1000" w:type="pct"/>
                  <w:tcBorders>
                    <w:tl2br w:val="nil"/>
                    <w:tr2bl w:val="nil"/>
                  </w:tcBorders>
                </w:tcPr>
                <w:p>
                  <w:pPr>
                    <w:spacing w:line="300" w:lineRule="exact"/>
                    <w:jc w:val="center"/>
                    <w:rPr>
                      <w:color w:val="auto"/>
                      <w:kern w:val="0"/>
                      <w:szCs w:val="21"/>
                    </w:rPr>
                  </w:pPr>
                  <w:r>
                    <w:rPr>
                      <w:color w:val="auto"/>
                      <w:kern w:val="0"/>
                      <w:szCs w:val="21"/>
                    </w:rPr>
                    <w:t>II</w:t>
                  </w:r>
                </w:p>
              </w:tc>
              <w:tc>
                <w:tcPr>
                  <w:tcW w:w="1001" w:type="pct"/>
                  <w:tcBorders>
                    <w:tl2br w:val="nil"/>
                    <w:tr2bl w:val="nil"/>
                  </w:tcBorders>
                </w:tcPr>
                <w:p>
                  <w:pPr>
                    <w:spacing w:line="300" w:lineRule="exact"/>
                    <w:jc w:val="center"/>
                    <w:rPr>
                      <w:color w:val="auto"/>
                      <w:kern w:val="0"/>
                      <w:szCs w:val="21"/>
                    </w:rPr>
                  </w:pPr>
                  <w:r>
                    <w:rPr>
                      <w:color w:val="auto"/>
                      <w:kern w:val="0"/>
                      <w:szCs w:val="21"/>
                    </w:rPr>
                    <w:t>I</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9" w:type="pct"/>
                  <w:tcBorders>
                    <w:tl2br w:val="nil"/>
                    <w:tr2bl w:val="nil"/>
                  </w:tcBorders>
                </w:tcPr>
                <w:p>
                  <w:pPr>
                    <w:spacing w:line="300" w:lineRule="exact"/>
                    <w:jc w:val="center"/>
                    <w:rPr>
                      <w:color w:val="auto"/>
                      <w:kern w:val="0"/>
                      <w:szCs w:val="21"/>
                    </w:rPr>
                  </w:pPr>
                  <w:r>
                    <w:rPr>
                      <w:color w:val="auto"/>
                      <w:kern w:val="0"/>
                      <w:szCs w:val="21"/>
                    </w:rPr>
                    <w:t>评价工作等级</w:t>
                  </w:r>
                </w:p>
              </w:tc>
              <w:tc>
                <w:tcPr>
                  <w:tcW w:w="999" w:type="pct"/>
                  <w:tcBorders>
                    <w:tl2br w:val="nil"/>
                    <w:tr2bl w:val="nil"/>
                  </w:tcBorders>
                </w:tcPr>
                <w:p>
                  <w:pPr>
                    <w:spacing w:line="300" w:lineRule="exact"/>
                    <w:jc w:val="center"/>
                    <w:rPr>
                      <w:color w:val="auto"/>
                      <w:kern w:val="0"/>
                      <w:szCs w:val="21"/>
                    </w:rPr>
                  </w:pPr>
                  <w:r>
                    <w:rPr>
                      <w:color w:val="auto"/>
                      <w:kern w:val="0"/>
                      <w:szCs w:val="21"/>
                    </w:rPr>
                    <w:t>一</w:t>
                  </w:r>
                </w:p>
              </w:tc>
              <w:tc>
                <w:tcPr>
                  <w:tcW w:w="1001" w:type="pct"/>
                  <w:tcBorders>
                    <w:tl2br w:val="nil"/>
                    <w:tr2bl w:val="nil"/>
                  </w:tcBorders>
                </w:tcPr>
                <w:p>
                  <w:pPr>
                    <w:spacing w:line="300" w:lineRule="exact"/>
                    <w:jc w:val="center"/>
                    <w:rPr>
                      <w:color w:val="auto"/>
                      <w:kern w:val="0"/>
                      <w:szCs w:val="21"/>
                    </w:rPr>
                  </w:pPr>
                  <w:r>
                    <w:rPr>
                      <w:color w:val="auto"/>
                      <w:kern w:val="0"/>
                      <w:szCs w:val="21"/>
                    </w:rPr>
                    <w:t>二</w:t>
                  </w:r>
                </w:p>
              </w:tc>
              <w:tc>
                <w:tcPr>
                  <w:tcW w:w="1000" w:type="pct"/>
                  <w:tcBorders>
                    <w:tl2br w:val="nil"/>
                    <w:tr2bl w:val="nil"/>
                  </w:tcBorders>
                </w:tcPr>
                <w:p>
                  <w:pPr>
                    <w:spacing w:line="300" w:lineRule="exact"/>
                    <w:jc w:val="center"/>
                    <w:rPr>
                      <w:color w:val="auto"/>
                      <w:kern w:val="0"/>
                      <w:szCs w:val="21"/>
                    </w:rPr>
                  </w:pPr>
                  <w:r>
                    <w:rPr>
                      <w:color w:val="auto"/>
                      <w:kern w:val="0"/>
                      <w:szCs w:val="21"/>
                    </w:rPr>
                    <w:t>三</w:t>
                  </w:r>
                </w:p>
              </w:tc>
              <w:tc>
                <w:tcPr>
                  <w:tcW w:w="1001" w:type="pct"/>
                  <w:tcBorders>
                    <w:tl2br w:val="nil"/>
                    <w:tr2bl w:val="nil"/>
                  </w:tcBorders>
                </w:tcPr>
                <w:p>
                  <w:pPr>
                    <w:spacing w:line="300" w:lineRule="exact"/>
                    <w:jc w:val="center"/>
                    <w:rPr>
                      <w:color w:val="auto"/>
                      <w:kern w:val="0"/>
                      <w:szCs w:val="21"/>
                    </w:rPr>
                  </w:pPr>
                  <w:r>
                    <w:rPr>
                      <w:color w:val="auto"/>
                      <w:kern w:val="0"/>
                      <w:szCs w:val="21"/>
                    </w:rPr>
                    <w:t>简单分析*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tl2br w:val="nil"/>
                    <w:tr2bl w:val="nil"/>
                  </w:tcBorders>
                </w:tcPr>
                <w:p>
                  <w:pPr>
                    <w:spacing w:line="300" w:lineRule="exact"/>
                    <w:jc w:val="center"/>
                    <w:rPr>
                      <w:color w:val="auto"/>
                      <w:kern w:val="0"/>
                      <w:szCs w:val="21"/>
                    </w:rPr>
                  </w:pPr>
                  <w:r>
                    <w:rPr>
                      <w:color w:val="auto"/>
                      <w:kern w:val="0"/>
                      <w:szCs w:val="21"/>
                    </w:rPr>
                    <w:t>*是相对于详细评价工作内容而言，在描述危险物质、环境影响途径、环境危害后果、风险防范措施等方面给出定性的说明。</w:t>
                  </w:r>
                </w:p>
              </w:tc>
            </w:tr>
          </w:tbl>
          <w:p>
            <w:pPr>
              <w:spacing w:line="360" w:lineRule="auto"/>
              <w:ind w:firstLine="480" w:firstLineChars="200"/>
              <w:rPr>
                <w:color w:val="auto"/>
                <w:sz w:val="24"/>
              </w:rPr>
            </w:pPr>
            <w:r>
              <w:rPr>
                <w:color w:val="auto"/>
                <w:sz w:val="24"/>
              </w:rPr>
              <w:t>本项目风险潜势为I，故本项目需进行简单分析。</w:t>
            </w:r>
          </w:p>
          <w:p>
            <w:pPr>
              <w:pStyle w:val="47"/>
              <w:ind w:firstLine="482"/>
              <w:rPr>
                <w:b/>
                <w:bCs/>
                <w:color w:val="auto"/>
                <w:lang w:bidi="ar"/>
              </w:rPr>
            </w:pPr>
            <w:bookmarkStart w:id="14" w:name="_Hlk216708750"/>
            <w:r>
              <w:rPr>
                <w:b/>
                <w:bCs/>
                <w:color w:val="auto"/>
                <w:lang w:bidi="ar"/>
              </w:rPr>
              <w:t>6.3</w:t>
            </w:r>
            <w:r>
              <w:rPr>
                <w:rFonts w:hint="eastAsia"/>
                <w:b/>
                <w:bCs/>
                <w:color w:val="auto"/>
                <w:lang w:bidi="ar"/>
              </w:rPr>
              <w:t>火灾爆炸对周边环境的影响</w:t>
            </w:r>
          </w:p>
          <w:bookmarkEnd w:id="14"/>
          <w:p>
            <w:pPr>
              <w:pStyle w:val="47"/>
              <w:ind w:firstLine="480"/>
              <w:rPr>
                <w:color w:val="auto"/>
                <w:lang w:bidi="ar"/>
              </w:rPr>
            </w:pPr>
            <w:r>
              <w:rPr>
                <w:rFonts w:hint="eastAsia"/>
                <w:color w:val="auto"/>
                <w:lang w:bidi="ar"/>
              </w:rPr>
              <w:t>本次风险评价源项计算按最不利情况考虑，即按本项目库区烟花爆竹仓库最大存药量为20</w:t>
            </w:r>
            <w:r>
              <w:rPr>
                <w:color w:val="auto"/>
                <w:lang w:bidi="ar"/>
              </w:rPr>
              <w:t>t</w:t>
            </w:r>
            <w:r>
              <w:rPr>
                <w:rFonts w:hint="eastAsia"/>
                <w:color w:val="auto"/>
                <w:lang w:bidi="ar"/>
              </w:rPr>
              <w:t>（</w:t>
            </w:r>
            <w:r>
              <w:rPr>
                <w:rFonts w:hint="eastAsia" w:ascii="宋体" w:hAnsi="宋体"/>
                <w:color w:val="auto"/>
              </w:rPr>
              <w:t>主要化学组分高氯酸钾、硫磺、铝粉、硝酸盐等）</w:t>
            </w:r>
            <w:r>
              <w:rPr>
                <w:rFonts w:hint="eastAsia"/>
                <w:color w:val="auto"/>
                <w:lang w:bidi="ar"/>
              </w:rPr>
              <w:t>，均发生爆炸事故时可能对周围环境造成的影响。烟花爆竹爆炸瞬时产生的有毒有害气体主要为</w:t>
            </w:r>
            <w:r>
              <w:rPr>
                <w:color w:val="auto"/>
                <w:lang w:bidi="ar"/>
              </w:rPr>
              <w:t>CO</w:t>
            </w:r>
            <w:r>
              <w:rPr>
                <w:rFonts w:hint="eastAsia"/>
                <w:color w:val="auto"/>
                <w:lang w:bidi="ar"/>
              </w:rPr>
              <w:t>、</w:t>
            </w:r>
            <w:r>
              <w:rPr>
                <w:color w:val="auto"/>
                <w:lang w:bidi="ar"/>
              </w:rPr>
              <w:t>SO</w:t>
            </w:r>
            <w:r>
              <w:rPr>
                <w:color w:val="auto"/>
                <w:vertAlign w:val="subscript"/>
                <w:lang w:bidi="ar"/>
              </w:rPr>
              <w:t>2</w:t>
            </w:r>
            <w:r>
              <w:rPr>
                <w:rFonts w:hint="eastAsia"/>
                <w:color w:val="auto"/>
                <w:lang w:bidi="ar"/>
              </w:rPr>
              <w:t>、</w:t>
            </w:r>
            <w:r>
              <w:rPr>
                <w:color w:val="auto"/>
                <w:lang w:bidi="ar"/>
              </w:rPr>
              <w:t>NOx</w:t>
            </w:r>
            <w:r>
              <w:rPr>
                <w:rFonts w:hint="eastAsia"/>
                <w:color w:val="auto"/>
                <w:lang w:bidi="ar"/>
              </w:rPr>
              <w:t>。火药爆炸瞬时会释放出大量有毒的</w:t>
            </w:r>
            <w:r>
              <w:rPr>
                <w:color w:val="auto"/>
                <w:lang w:bidi="ar"/>
              </w:rPr>
              <w:t xml:space="preserve"> CO</w:t>
            </w:r>
            <w:r>
              <w:rPr>
                <w:rFonts w:hint="eastAsia"/>
                <w:color w:val="auto"/>
                <w:lang w:bidi="ar"/>
              </w:rPr>
              <w:t>、</w:t>
            </w:r>
            <w:r>
              <w:rPr>
                <w:color w:val="auto"/>
                <w:lang w:bidi="ar"/>
              </w:rPr>
              <w:t>SO</w:t>
            </w:r>
            <w:r>
              <w:rPr>
                <w:color w:val="auto"/>
                <w:vertAlign w:val="subscript"/>
                <w:lang w:bidi="ar"/>
              </w:rPr>
              <w:t>2</w:t>
            </w:r>
            <w:r>
              <w:rPr>
                <w:rFonts w:hint="eastAsia"/>
                <w:color w:val="auto"/>
                <w:lang w:bidi="ar"/>
              </w:rPr>
              <w:t>、</w:t>
            </w:r>
            <w:r>
              <w:rPr>
                <w:color w:val="auto"/>
                <w:lang w:bidi="ar"/>
              </w:rPr>
              <w:t xml:space="preserve">NOx </w:t>
            </w:r>
            <w:r>
              <w:rPr>
                <w:rFonts w:hint="eastAsia"/>
                <w:color w:val="auto"/>
                <w:lang w:bidi="ar"/>
              </w:rPr>
              <w:t>等气体，其中一般情况下，</w:t>
            </w:r>
            <w:r>
              <w:rPr>
                <w:color w:val="auto"/>
                <w:lang w:bidi="ar"/>
              </w:rPr>
              <w:t>CO</w:t>
            </w:r>
            <w:r>
              <w:rPr>
                <w:rFonts w:hint="eastAsia"/>
                <w:color w:val="auto"/>
                <w:lang w:bidi="ar"/>
              </w:rPr>
              <w:t>产生率为</w:t>
            </w:r>
            <w:r>
              <w:rPr>
                <w:color w:val="auto"/>
                <w:lang w:bidi="ar"/>
              </w:rPr>
              <w:t>100L/kg</w:t>
            </w:r>
            <w:r>
              <w:rPr>
                <w:rFonts w:hint="eastAsia"/>
                <w:color w:val="auto"/>
                <w:lang w:bidi="ar"/>
              </w:rPr>
              <w:t>火药，</w:t>
            </w:r>
            <w:r>
              <w:rPr>
                <w:color w:val="auto"/>
                <w:lang w:bidi="ar"/>
              </w:rPr>
              <w:t>SO</w:t>
            </w:r>
            <w:r>
              <w:rPr>
                <w:color w:val="auto"/>
                <w:vertAlign w:val="subscript"/>
                <w:lang w:bidi="ar"/>
              </w:rPr>
              <w:t>2</w:t>
            </w:r>
            <w:r>
              <w:rPr>
                <w:rFonts w:hint="eastAsia"/>
                <w:color w:val="auto"/>
                <w:lang w:bidi="ar"/>
              </w:rPr>
              <w:t>产生率为</w:t>
            </w:r>
            <w:r>
              <w:rPr>
                <w:color w:val="auto"/>
                <w:lang w:bidi="ar"/>
              </w:rPr>
              <w:t>38L/kg</w:t>
            </w:r>
            <w:r>
              <w:rPr>
                <w:rFonts w:hint="eastAsia"/>
                <w:color w:val="auto"/>
                <w:lang w:bidi="ar"/>
              </w:rPr>
              <w:t>火药，</w:t>
            </w:r>
            <w:r>
              <w:rPr>
                <w:color w:val="auto"/>
                <w:lang w:bidi="ar"/>
              </w:rPr>
              <w:t>NOx</w:t>
            </w:r>
            <w:r>
              <w:rPr>
                <w:rFonts w:hint="eastAsia"/>
                <w:color w:val="auto"/>
                <w:lang w:bidi="ar"/>
              </w:rPr>
              <w:t>产生率为</w:t>
            </w:r>
            <w:r>
              <w:rPr>
                <w:color w:val="auto"/>
                <w:lang w:bidi="ar"/>
              </w:rPr>
              <w:t>1.1L/kg</w:t>
            </w:r>
            <w:r>
              <w:rPr>
                <w:rFonts w:hint="eastAsia"/>
                <w:color w:val="auto"/>
                <w:lang w:bidi="ar"/>
              </w:rPr>
              <w:t>火药，标况下</w:t>
            </w:r>
            <w:r>
              <w:rPr>
                <w:color w:val="auto"/>
                <w:lang w:bidi="ar"/>
              </w:rPr>
              <w:t>CO</w:t>
            </w:r>
            <w:r>
              <w:rPr>
                <w:rFonts w:hint="eastAsia"/>
                <w:color w:val="auto"/>
                <w:lang w:bidi="ar"/>
              </w:rPr>
              <w:t>、</w:t>
            </w:r>
            <w:r>
              <w:rPr>
                <w:color w:val="auto"/>
                <w:lang w:bidi="ar"/>
              </w:rPr>
              <w:t>SO</w:t>
            </w:r>
            <w:r>
              <w:rPr>
                <w:color w:val="auto"/>
                <w:vertAlign w:val="subscript"/>
                <w:lang w:bidi="ar"/>
              </w:rPr>
              <w:t>2</w:t>
            </w:r>
            <w:r>
              <w:rPr>
                <w:rFonts w:hint="eastAsia"/>
                <w:color w:val="auto"/>
                <w:lang w:bidi="ar"/>
              </w:rPr>
              <w:t>、</w:t>
            </w:r>
            <w:r>
              <w:rPr>
                <w:color w:val="auto"/>
                <w:lang w:bidi="ar"/>
              </w:rPr>
              <w:t>NOx</w:t>
            </w:r>
            <w:r>
              <w:rPr>
                <w:rFonts w:hint="eastAsia"/>
                <w:color w:val="auto"/>
                <w:lang w:bidi="ar"/>
              </w:rPr>
              <w:t>的密度分别为</w:t>
            </w:r>
            <w:r>
              <w:rPr>
                <w:color w:val="auto"/>
                <w:lang w:bidi="ar"/>
              </w:rPr>
              <w:t>1.25g/L</w:t>
            </w:r>
            <w:r>
              <w:rPr>
                <w:rFonts w:hint="eastAsia"/>
                <w:color w:val="auto"/>
                <w:lang w:bidi="ar"/>
              </w:rPr>
              <w:t>、</w:t>
            </w:r>
            <w:r>
              <w:rPr>
                <w:color w:val="auto"/>
                <w:lang w:bidi="ar"/>
              </w:rPr>
              <w:t>2.86g/L</w:t>
            </w:r>
            <w:r>
              <w:rPr>
                <w:rFonts w:hint="eastAsia"/>
                <w:color w:val="auto"/>
                <w:lang w:bidi="ar"/>
              </w:rPr>
              <w:t>、</w:t>
            </w:r>
            <w:r>
              <w:rPr>
                <w:color w:val="auto"/>
                <w:lang w:bidi="ar"/>
              </w:rPr>
              <w:t>2.05g/L</w:t>
            </w:r>
            <w:r>
              <w:rPr>
                <w:rFonts w:hint="eastAsia"/>
                <w:color w:val="auto"/>
                <w:lang w:bidi="ar"/>
              </w:rPr>
              <w:t>。本项目烟花爆竹仓库储存的物质为烟花爆竹成品不是裸药，因此当火灾爆炸事故发生时，不会瞬间完成，假定库区内烟花爆竹（按设计最大限药量计算，2</w:t>
            </w:r>
            <w:r>
              <w:rPr>
                <w:color w:val="auto"/>
                <w:lang w:bidi="ar"/>
              </w:rPr>
              <w:t>0t</w:t>
            </w:r>
            <w:r>
              <w:rPr>
                <w:rFonts w:hint="eastAsia"/>
                <w:color w:val="auto"/>
                <w:lang w:bidi="ar"/>
              </w:rPr>
              <w:t>）</w:t>
            </w:r>
            <w:r>
              <w:rPr>
                <w:color w:val="auto"/>
                <w:lang w:bidi="ar"/>
              </w:rPr>
              <w:t xml:space="preserve">30min </w:t>
            </w:r>
            <w:r>
              <w:rPr>
                <w:rFonts w:hint="eastAsia"/>
                <w:color w:val="auto"/>
                <w:lang w:bidi="ar"/>
              </w:rPr>
              <w:t>内全部爆炸。则爆炸后</w:t>
            </w:r>
            <w:r>
              <w:rPr>
                <w:color w:val="auto"/>
                <w:lang w:bidi="ar"/>
              </w:rPr>
              <w:t>CO</w:t>
            </w:r>
            <w:r>
              <w:rPr>
                <w:rFonts w:hint="eastAsia"/>
                <w:color w:val="auto"/>
                <w:lang w:bidi="ar"/>
              </w:rPr>
              <w:t>产生量为2.5</w:t>
            </w:r>
            <w:r>
              <w:rPr>
                <w:color w:val="auto"/>
                <w:lang w:bidi="ar"/>
              </w:rPr>
              <w:t>t</w:t>
            </w:r>
            <w:r>
              <w:rPr>
                <w:rFonts w:hint="eastAsia"/>
                <w:color w:val="auto"/>
                <w:lang w:bidi="ar"/>
              </w:rPr>
              <w:t>，产生速率为1.4</w:t>
            </w:r>
            <w:r>
              <w:rPr>
                <w:color w:val="auto"/>
                <w:lang w:bidi="ar"/>
              </w:rPr>
              <w:t>kg/s</w:t>
            </w:r>
            <w:r>
              <w:rPr>
                <w:rFonts w:hint="eastAsia"/>
                <w:color w:val="auto"/>
                <w:lang w:bidi="ar"/>
              </w:rPr>
              <w:t>，</w:t>
            </w:r>
            <w:r>
              <w:rPr>
                <w:color w:val="auto"/>
                <w:lang w:bidi="ar"/>
              </w:rPr>
              <w:t>SO</w:t>
            </w:r>
            <w:r>
              <w:rPr>
                <w:color w:val="auto"/>
                <w:vertAlign w:val="subscript"/>
                <w:lang w:bidi="ar"/>
              </w:rPr>
              <w:t>2</w:t>
            </w:r>
            <w:r>
              <w:rPr>
                <w:rFonts w:hint="eastAsia"/>
                <w:color w:val="auto"/>
                <w:lang w:bidi="ar"/>
              </w:rPr>
              <w:t>产生量为2.17</w:t>
            </w:r>
            <w:r>
              <w:rPr>
                <w:color w:val="auto"/>
                <w:lang w:bidi="ar"/>
              </w:rPr>
              <w:t>t</w:t>
            </w:r>
            <w:r>
              <w:rPr>
                <w:rFonts w:hint="eastAsia"/>
                <w:color w:val="auto"/>
                <w:lang w:bidi="ar"/>
              </w:rPr>
              <w:t>，产生速率为1.2</w:t>
            </w:r>
            <w:r>
              <w:rPr>
                <w:color w:val="auto"/>
                <w:lang w:bidi="ar"/>
              </w:rPr>
              <w:t>kg/s</w:t>
            </w:r>
            <w:r>
              <w:rPr>
                <w:rFonts w:hint="eastAsia"/>
                <w:color w:val="auto"/>
                <w:lang w:bidi="ar"/>
              </w:rPr>
              <w:t>，</w:t>
            </w:r>
            <w:r>
              <w:rPr>
                <w:color w:val="auto"/>
                <w:lang w:bidi="ar"/>
              </w:rPr>
              <w:t>NOx</w:t>
            </w:r>
            <w:r>
              <w:rPr>
                <w:rFonts w:hint="eastAsia"/>
                <w:color w:val="auto"/>
                <w:lang w:bidi="ar"/>
              </w:rPr>
              <w:t>产生量为</w:t>
            </w:r>
            <w:r>
              <w:rPr>
                <w:color w:val="auto"/>
                <w:lang w:bidi="ar"/>
              </w:rPr>
              <w:t>0.0</w:t>
            </w:r>
            <w:r>
              <w:rPr>
                <w:rFonts w:hint="eastAsia"/>
                <w:color w:val="auto"/>
                <w:lang w:bidi="ar"/>
              </w:rPr>
              <w:t>45</w:t>
            </w:r>
            <w:r>
              <w:rPr>
                <w:color w:val="auto"/>
                <w:lang w:bidi="ar"/>
              </w:rPr>
              <w:t>t</w:t>
            </w:r>
            <w:r>
              <w:rPr>
                <w:rFonts w:hint="eastAsia"/>
                <w:color w:val="auto"/>
                <w:lang w:bidi="ar"/>
              </w:rPr>
              <w:t>，产生速率为</w:t>
            </w:r>
            <w:r>
              <w:rPr>
                <w:color w:val="auto"/>
                <w:lang w:bidi="ar"/>
              </w:rPr>
              <w:t>0.0</w:t>
            </w:r>
            <w:r>
              <w:rPr>
                <w:rFonts w:hint="eastAsia"/>
                <w:color w:val="auto"/>
                <w:lang w:bidi="ar"/>
              </w:rPr>
              <w:t>25</w:t>
            </w:r>
            <w:r>
              <w:rPr>
                <w:color w:val="auto"/>
                <w:lang w:bidi="ar"/>
              </w:rPr>
              <w:t>kg/s</w:t>
            </w:r>
            <w:r>
              <w:rPr>
                <w:rFonts w:hint="eastAsia"/>
                <w:color w:val="auto"/>
                <w:lang w:bidi="ar"/>
              </w:rPr>
              <w:t>。一旦企业发生火灾爆炸等事故，可能会造成短时间内企业周边区域有毒有害气体排放超标，对周边区域大气环境造成影响。</w:t>
            </w:r>
          </w:p>
          <w:p>
            <w:pPr>
              <w:pStyle w:val="47"/>
              <w:ind w:firstLine="480"/>
              <w:rPr>
                <w:color w:val="auto"/>
                <w:lang w:bidi="ar"/>
              </w:rPr>
            </w:pPr>
            <w:r>
              <w:rPr>
                <w:rFonts w:hint="eastAsia"/>
                <w:color w:val="auto"/>
                <w:lang w:bidi="ar"/>
              </w:rPr>
              <w:t>因此项目建设单位必须建立健全风险事故防范措施，坚决杜绝风险事故发生。同时制定全面的风险事故应急预案，联合县政府有关消防、气象、环境监测及安全部门建立有效的风险报警及疏散机制，并加强风险监测，当风险发生时对当日下风向超标范围内的居民及有关人员应立即进行疏散、安置，上风向超标范围内相关人员也应立即进行疏散，同时环境监测部门强化监测力度，待影响区域污染物浓度达标后方可解除疏散。</w:t>
            </w:r>
          </w:p>
          <w:p>
            <w:pPr>
              <w:pStyle w:val="47"/>
              <w:ind w:firstLine="480"/>
              <w:rPr>
                <w:color w:val="auto"/>
                <w:lang w:bidi="ar"/>
              </w:rPr>
            </w:pPr>
            <w:r>
              <w:rPr>
                <w:rFonts w:hint="eastAsia"/>
                <w:color w:val="auto"/>
                <w:lang w:bidi="ar"/>
              </w:rPr>
              <w:t>项目区值班室位于仓库南侧约</w:t>
            </w:r>
            <w:r>
              <w:rPr>
                <w:color w:val="auto"/>
                <w:lang w:bidi="ar"/>
              </w:rPr>
              <w:t>40m</w:t>
            </w:r>
            <w:r>
              <w:rPr>
                <w:rFonts w:hint="eastAsia"/>
                <w:color w:val="auto"/>
                <w:lang w:bidi="ar"/>
              </w:rPr>
              <w:t>处，企业全厂摄像头覆盖，共有2名值班人员对项目区进行全天监控，一旦发生燃爆事故可及时发现并予以处理，防止连锁事故发生。</w:t>
            </w:r>
          </w:p>
          <w:p>
            <w:pPr>
              <w:widowControl/>
              <w:spacing w:line="360" w:lineRule="auto"/>
              <w:ind w:firstLine="482" w:firstLineChars="200"/>
              <w:jc w:val="left"/>
              <w:rPr>
                <w:b/>
                <w:bCs/>
                <w:color w:val="auto"/>
                <w:sz w:val="24"/>
              </w:rPr>
            </w:pPr>
            <w:r>
              <w:rPr>
                <w:b/>
                <w:bCs/>
                <w:color w:val="auto"/>
                <w:kern w:val="0"/>
                <w:sz w:val="24"/>
                <w:lang w:bidi="ar"/>
              </w:rPr>
              <w:t>6.</w:t>
            </w:r>
            <w:r>
              <w:rPr>
                <w:rFonts w:hint="eastAsia"/>
                <w:b/>
                <w:bCs/>
                <w:color w:val="auto"/>
                <w:kern w:val="0"/>
                <w:sz w:val="24"/>
                <w:lang w:bidi="ar"/>
              </w:rPr>
              <w:t>4</w:t>
            </w:r>
            <w:r>
              <w:rPr>
                <w:b/>
                <w:bCs/>
                <w:color w:val="auto"/>
                <w:kern w:val="0"/>
                <w:sz w:val="24"/>
                <w:lang w:bidi="ar"/>
              </w:rPr>
              <w:t>风险防范措施</w:t>
            </w:r>
          </w:p>
          <w:p>
            <w:pPr>
              <w:widowControl/>
              <w:spacing w:line="360" w:lineRule="auto"/>
              <w:ind w:firstLine="480" w:firstLineChars="200"/>
              <w:jc w:val="left"/>
              <w:rPr>
                <w:color w:val="auto"/>
                <w:sz w:val="24"/>
              </w:rPr>
            </w:pPr>
            <w:r>
              <w:rPr>
                <w:color w:val="auto"/>
                <w:kern w:val="0"/>
                <w:sz w:val="24"/>
                <w:lang w:bidi="ar"/>
              </w:rPr>
              <w:t>为使环境风险减小到最低限度，必须加强劳动安全卫生管理，制定完备、有效的安全防范措施，尽可能降低项目环境风险事故发生的概率。</w:t>
            </w:r>
          </w:p>
          <w:p>
            <w:pPr>
              <w:widowControl/>
              <w:numPr>
                <w:ilvl w:val="0"/>
                <w:numId w:val="12"/>
              </w:numPr>
              <w:spacing w:line="360" w:lineRule="auto"/>
              <w:ind w:firstLine="480" w:firstLineChars="200"/>
              <w:jc w:val="left"/>
              <w:rPr>
                <w:color w:val="auto"/>
                <w:kern w:val="0"/>
                <w:sz w:val="24"/>
                <w:lang w:bidi="ar"/>
              </w:rPr>
            </w:pPr>
            <w:r>
              <w:rPr>
                <w:color w:val="auto"/>
                <w:kern w:val="0"/>
                <w:sz w:val="24"/>
                <w:lang w:bidi="ar"/>
              </w:rPr>
              <w:t>选址、总图布置及建筑安全防范措施</w:t>
            </w:r>
          </w:p>
          <w:p>
            <w:pPr>
              <w:widowControl/>
              <w:spacing w:line="360" w:lineRule="auto"/>
              <w:ind w:firstLine="480" w:firstLineChars="200"/>
              <w:jc w:val="left"/>
              <w:rPr>
                <w:color w:val="auto"/>
                <w:sz w:val="24"/>
              </w:rPr>
            </w:pPr>
            <w:r>
              <w:rPr>
                <w:color w:val="auto"/>
                <w:kern w:val="0"/>
                <w:sz w:val="24"/>
                <w:lang w:bidi="ar"/>
              </w:rPr>
              <w:t>根据《烟花爆竹工程设计安全标准》（GB50161-2022），库区各烟花爆竹仓库与附近保护目标的距离、库与库区敏感目标值班室、</w:t>
            </w:r>
            <w:r>
              <w:rPr>
                <w:rFonts w:hint="eastAsia"/>
                <w:color w:val="auto"/>
                <w:kern w:val="0"/>
                <w:sz w:val="24"/>
                <w:lang w:bidi="ar"/>
              </w:rPr>
              <w:t>仓库</w:t>
            </w:r>
            <w:r>
              <w:rPr>
                <w:color w:val="auto"/>
                <w:kern w:val="0"/>
                <w:sz w:val="24"/>
                <w:lang w:bidi="ar"/>
              </w:rPr>
              <w:t>与</w:t>
            </w:r>
            <w:r>
              <w:rPr>
                <w:rFonts w:hint="eastAsia"/>
                <w:color w:val="auto"/>
                <w:kern w:val="0"/>
                <w:sz w:val="24"/>
                <w:lang w:bidi="ar"/>
              </w:rPr>
              <w:t>仓</w:t>
            </w:r>
            <w:r>
              <w:rPr>
                <w:color w:val="auto"/>
                <w:kern w:val="0"/>
                <w:sz w:val="24"/>
                <w:lang w:bidi="ar"/>
              </w:rPr>
              <w:t>库之间的安全距离均满足规范的相关要求。</w:t>
            </w:r>
          </w:p>
          <w:p>
            <w:pPr>
              <w:widowControl/>
              <w:spacing w:line="360" w:lineRule="auto"/>
              <w:ind w:firstLine="480" w:firstLineChars="200"/>
              <w:jc w:val="left"/>
              <w:rPr>
                <w:color w:val="auto"/>
                <w:sz w:val="24"/>
              </w:rPr>
            </w:pPr>
            <w:r>
              <w:rPr>
                <w:color w:val="auto"/>
                <w:kern w:val="0"/>
                <w:sz w:val="24"/>
                <w:lang w:bidi="ar"/>
              </w:rPr>
              <w:t>2）储存过程安全防护措施</w:t>
            </w:r>
          </w:p>
          <w:p>
            <w:pPr>
              <w:widowControl/>
              <w:spacing w:line="360" w:lineRule="auto"/>
              <w:ind w:firstLine="480" w:firstLineChars="200"/>
              <w:jc w:val="left"/>
              <w:rPr>
                <w:color w:val="auto"/>
                <w:sz w:val="24"/>
              </w:rPr>
            </w:pPr>
            <w:r>
              <w:rPr>
                <w:color w:val="auto"/>
                <w:kern w:val="0"/>
                <w:sz w:val="24"/>
                <w:lang w:bidi="ar"/>
              </w:rPr>
              <w:t>①</w:t>
            </w:r>
            <w:r>
              <w:rPr>
                <w:rFonts w:hint="eastAsia"/>
                <w:color w:val="auto"/>
                <w:sz w:val="24"/>
              </w:rPr>
              <w:t>仓库</w:t>
            </w:r>
            <w:r>
              <w:rPr>
                <w:color w:val="auto"/>
                <w:kern w:val="0"/>
                <w:sz w:val="24"/>
                <w:lang w:bidi="ar"/>
              </w:rPr>
              <w:t>建设过程中应严格参照《烟花爆竹工程设计安全标准》（GB50161-2022）、《建筑设计防火规范》（GB5006-2014）、《建筑物防雷设计规范》（GB50057-94）等国家规范进行设计。</w:t>
            </w:r>
          </w:p>
          <w:p>
            <w:pPr>
              <w:widowControl/>
              <w:spacing w:line="360" w:lineRule="auto"/>
              <w:ind w:firstLine="480" w:firstLineChars="200"/>
              <w:jc w:val="left"/>
              <w:rPr>
                <w:color w:val="auto"/>
                <w:sz w:val="24"/>
              </w:rPr>
            </w:pPr>
            <w:r>
              <w:rPr>
                <w:color w:val="auto"/>
                <w:kern w:val="0"/>
                <w:sz w:val="24"/>
                <w:lang w:bidi="ar"/>
              </w:rPr>
              <w:t>②烟花爆竹的储存应遵守现行国家标准《烟花爆竹劳动安全技术规程》的规定，并应分类分级专库存放。烟花爆竹堆垛间应留有检查、清点、装运的通道。仓库储存烟花爆竹要做到名称不错，数量准确，规格不串，确实做到无差错，无丢失，无损失，无霉烂，账、物相符。对性质互有抵触的烟花爆竹，要严格实行分库隔离存放，严格收发登记制度，</w:t>
            </w:r>
            <w:r>
              <w:rPr>
                <w:rFonts w:hint="eastAsia"/>
                <w:color w:val="auto"/>
                <w:sz w:val="24"/>
              </w:rPr>
              <w:t>仓库</w:t>
            </w:r>
            <w:r>
              <w:rPr>
                <w:color w:val="auto"/>
                <w:kern w:val="0"/>
                <w:sz w:val="24"/>
                <w:lang w:bidi="ar"/>
              </w:rPr>
              <w:t>要实行“双门、双锁、双人”管理。</w:t>
            </w:r>
          </w:p>
          <w:p>
            <w:pPr>
              <w:widowControl/>
              <w:spacing w:line="360" w:lineRule="auto"/>
              <w:ind w:firstLine="480" w:firstLineChars="200"/>
              <w:jc w:val="left"/>
              <w:rPr>
                <w:color w:val="auto"/>
                <w:sz w:val="24"/>
              </w:rPr>
            </w:pPr>
            <w:r>
              <w:rPr>
                <w:color w:val="auto"/>
                <w:kern w:val="0"/>
                <w:sz w:val="24"/>
                <w:lang w:bidi="ar"/>
              </w:rPr>
              <w:t>③烟花爆竹的储存应遵守《烟花爆竹工程设计安全标准》（GB50161-2022）的相关规定，如危险品堆垛间应留有检查清点装运的通道，堆垛之间的距离不宜小于0.7m，堆垛距内墙壁距离不宜小于0.45m，搬运通道的宽度不宜小于1.5m，成箱产品高度不宜超过2.5m等。</w:t>
            </w:r>
          </w:p>
          <w:p>
            <w:pPr>
              <w:widowControl/>
              <w:spacing w:line="360" w:lineRule="auto"/>
              <w:ind w:firstLine="480" w:firstLineChars="200"/>
              <w:jc w:val="left"/>
              <w:rPr>
                <w:color w:val="auto"/>
                <w:sz w:val="24"/>
              </w:rPr>
            </w:pPr>
            <w:r>
              <w:rPr>
                <w:color w:val="auto"/>
                <w:kern w:val="0"/>
                <w:sz w:val="24"/>
                <w:lang w:bidi="ar"/>
              </w:rPr>
              <w:t>④烟花爆竹在库储存，要坚持：“永续盘点”，做到“五查”，“一及时”。即收货前要查库存，发货后查库存，忙时坚持查库存，月底全面查库存，发现问题及时处理。在库存期间，要根据其性质、要求，妥善保管，存放期超过规定时，要进行倒垛，确保物资质量。</w:t>
            </w:r>
          </w:p>
          <w:p>
            <w:pPr>
              <w:widowControl/>
              <w:spacing w:line="360" w:lineRule="auto"/>
              <w:ind w:firstLine="480" w:firstLineChars="200"/>
              <w:jc w:val="left"/>
              <w:rPr>
                <w:color w:val="auto"/>
                <w:sz w:val="24"/>
              </w:rPr>
            </w:pPr>
            <w:r>
              <w:rPr>
                <w:color w:val="auto"/>
                <w:kern w:val="0"/>
                <w:sz w:val="24"/>
                <w:lang w:bidi="ar"/>
              </w:rPr>
              <w:t>⑤仓库在保管好烟花爆竹的同时，还要搞好库容卫生，做到库内无积尘、库区无垃圾杂草、库区内办公值班室与</w:t>
            </w:r>
            <w:r>
              <w:rPr>
                <w:rFonts w:hint="eastAsia"/>
                <w:color w:val="auto"/>
                <w:sz w:val="24"/>
              </w:rPr>
              <w:t>仓库</w:t>
            </w:r>
            <w:r>
              <w:rPr>
                <w:color w:val="auto"/>
                <w:kern w:val="0"/>
                <w:sz w:val="24"/>
                <w:lang w:bidi="ar"/>
              </w:rPr>
              <w:t>分开，并整洁有序，清洁卫生。</w:t>
            </w:r>
          </w:p>
          <w:p>
            <w:pPr>
              <w:widowControl/>
              <w:spacing w:line="360" w:lineRule="auto"/>
              <w:ind w:firstLine="480" w:firstLineChars="200"/>
              <w:jc w:val="left"/>
              <w:rPr>
                <w:color w:val="auto"/>
                <w:sz w:val="24"/>
              </w:rPr>
            </w:pPr>
            <w:r>
              <w:rPr>
                <w:color w:val="auto"/>
                <w:kern w:val="0"/>
                <w:sz w:val="24"/>
                <w:lang w:bidi="ar"/>
              </w:rPr>
              <w:t>⑥</w:t>
            </w:r>
            <w:r>
              <w:rPr>
                <w:rFonts w:hint="eastAsia"/>
                <w:color w:val="auto"/>
                <w:sz w:val="24"/>
              </w:rPr>
              <w:t>仓库</w:t>
            </w:r>
            <w:r>
              <w:rPr>
                <w:color w:val="auto"/>
                <w:kern w:val="0"/>
                <w:sz w:val="24"/>
                <w:lang w:bidi="ar"/>
              </w:rPr>
              <w:t>设置禁烟禁火等安全警示标志及安全标志和应急疏散标志。应牢固、醒目耐久并标示编号、允许存放产品名称、安全存量、危险等级等项目。</w:t>
            </w:r>
          </w:p>
          <w:p>
            <w:pPr>
              <w:widowControl/>
              <w:spacing w:line="360" w:lineRule="auto"/>
              <w:ind w:firstLine="480" w:firstLineChars="200"/>
              <w:jc w:val="left"/>
              <w:rPr>
                <w:color w:val="auto"/>
                <w:sz w:val="24"/>
              </w:rPr>
            </w:pPr>
            <w:r>
              <w:rPr>
                <w:color w:val="auto"/>
                <w:kern w:val="0"/>
                <w:sz w:val="24"/>
                <w:lang w:bidi="ar"/>
              </w:rPr>
              <w:t>⑦提高认识、完善制度、严格检查建设单位领导应该提高对突发性事故的警觉和认识，做到警钟长鸣。建立安全管理科，并由领导直接、全权负责。对安全和环保应建立严格的防范措施，制定严格的管理规章制度，列出潜在危险的过程、设备等清单，严格执行设备检验和报废制度。</w:t>
            </w:r>
          </w:p>
          <w:p>
            <w:pPr>
              <w:widowControl/>
              <w:spacing w:line="360" w:lineRule="auto"/>
              <w:ind w:firstLine="480" w:firstLineChars="200"/>
              <w:jc w:val="left"/>
              <w:rPr>
                <w:color w:val="auto"/>
                <w:sz w:val="24"/>
              </w:rPr>
            </w:pPr>
            <w:r>
              <w:rPr>
                <w:color w:val="auto"/>
                <w:kern w:val="0"/>
                <w:sz w:val="24"/>
                <w:lang w:bidi="ar"/>
              </w:rPr>
              <w:t>⑧提高事故应急处理的能力和设置保险措施，定期进行安全环保宣传教育及紧急事故模拟演习，提高事故应变能力。</w:t>
            </w:r>
          </w:p>
          <w:p>
            <w:pPr>
              <w:widowControl/>
              <w:spacing w:line="360" w:lineRule="auto"/>
              <w:ind w:firstLine="480" w:firstLineChars="200"/>
              <w:jc w:val="left"/>
              <w:rPr>
                <w:color w:val="auto"/>
                <w:sz w:val="24"/>
              </w:rPr>
            </w:pPr>
            <w:r>
              <w:rPr>
                <w:color w:val="auto"/>
                <w:kern w:val="0"/>
                <w:sz w:val="24"/>
                <w:lang w:bidi="ar"/>
              </w:rPr>
              <w:t>⑨一旦发生事故，应及时收集消防废水，并将该废水接入消防水池</w:t>
            </w:r>
            <w:r>
              <w:rPr>
                <w:rFonts w:hint="eastAsia"/>
                <w:color w:val="auto"/>
                <w:kern w:val="0"/>
                <w:sz w:val="24"/>
                <w:lang w:bidi="ar"/>
              </w:rPr>
              <w:t>（</w:t>
            </w:r>
            <w:r>
              <w:rPr>
                <w:rFonts w:hint="eastAsia"/>
                <w:color w:val="auto"/>
                <w:sz w:val="24"/>
              </w:rPr>
              <w:t>消防水池在事故状态下用于收集事故废水</w:t>
            </w:r>
            <w:r>
              <w:rPr>
                <w:rFonts w:hint="eastAsia"/>
                <w:color w:val="auto"/>
                <w:kern w:val="0"/>
                <w:sz w:val="24"/>
                <w:lang w:bidi="ar"/>
              </w:rPr>
              <w:t>）</w:t>
            </w:r>
            <w:r>
              <w:rPr>
                <w:color w:val="auto"/>
                <w:kern w:val="0"/>
                <w:sz w:val="24"/>
                <w:lang w:bidi="ar"/>
              </w:rPr>
              <w:t>，收集后的消防废水暂时储存后采用罐车运送至尉犁县城镇污水处理厂处理。</w:t>
            </w:r>
          </w:p>
          <w:p>
            <w:pPr>
              <w:widowControl/>
              <w:spacing w:line="360" w:lineRule="auto"/>
              <w:ind w:firstLine="480" w:firstLineChars="200"/>
              <w:jc w:val="left"/>
              <w:rPr>
                <w:color w:val="auto"/>
                <w:sz w:val="24"/>
              </w:rPr>
            </w:pPr>
            <w:r>
              <w:rPr>
                <w:color w:val="auto"/>
                <w:kern w:val="0"/>
                <w:sz w:val="24"/>
                <w:lang w:bidi="ar"/>
              </w:rPr>
              <w:t>4、管理要求</w:t>
            </w:r>
          </w:p>
          <w:p>
            <w:pPr>
              <w:widowControl/>
              <w:spacing w:line="360" w:lineRule="auto"/>
              <w:ind w:firstLine="480" w:firstLineChars="200"/>
              <w:jc w:val="left"/>
              <w:rPr>
                <w:color w:val="auto"/>
                <w:sz w:val="24"/>
              </w:rPr>
            </w:pPr>
            <w:r>
              <w:rPr>
                <w:color w:val="auto"/>
                <w:kern w:val="0"/>
                <w:sz w:val="24"/>
                <w:lang w:bidi="ar"/>
              </w:rPr>
              <w:t>1）烟花爆竹危险品堆垛间留有检查、清点、装运的通道。堆垛之间的距离不宜小于0.7m；运输通道的宽度不宜小于1.5m。</w:t>
            </w:r>
          </w:p>
          <w:p>
            <w:pPr>
              <w:widowControl/>
              <w:spacing w:line="360" w:lineRule="auto"/>
              <w:ind w:firstLine="480" w:firstLineChars="200"/>
              <w:jc w:val="left"/>
              <w:rPr>
                <w:color w:val="auto"/>
                <w:sz w:val="24"/>
              </w:rPr>
            </w:pPr>
            <w:r>
              <w:rPr>
                <w:color w:val="auto"/>
                <w:kern w:val="0"/>
                <w:sz w:val="24"/>
                <w:lang w:bidi="ar"/>
              </w:rPr>
              <w:t>2）设置有机动车装卸点，装卸作业在2.5m以外进行。</w:t>
            </w:r>
          </w:p>
          <w:p>
            <w:pPr>
              <w:widowControl/>
              <w:spacing w:line="360" w:lineRule="auto"/>
              <w:ind w:firstLine="480" w:firstLineChars="200"/>
              <w:jc w:val="left"/>
              <w:rPr>
                <w:color w:val="auto"/>
                <w:sz w:val="24"/>
              </w:rPr>
            </w:pPr>
            <w:r>
              <w:rPr>
                <w:color w:val="auto"/>
                <w:kern w:val="0"/>
                <w:sz w:val="24"/>
                <w:lang w:bidi="ar"/>
              </w:rPr>
              <w:t>3）库区内汽车运输危险品的主干道纵坡不大于6%；用手推车运输危险品的道路纵坡不大于2%。</w:t>
            </w:r>
          </w:p>
          <w:p>
            <w:pPr>
              <w:widowControl/>
              <w:spacing w:line="360" w:lineRule="auto"/>
              <w:ind w:firstLine="480" w:firstLineChars="200"/>
              <w:jc w:val="left"/>
              <w:rPr>
                <w:color w:val="auto"/>
                <w:sz w:val="24"/>
              </w:rPr>
            </w:pPr>
            <w:r>
              <w:rPr>
                <w:color w:val="auto"/>
                <w:kern w:val="0"/>
                <w:sz w:val="24"/>
                <w:lang w:bidi="ar"/>
              </w:rPr>
              <w:t>4）要求企业成立安全管理机构，制定安全管理制度、安全操作规程等。</w:t>
            </w:r>
          </w:p>
          <w:p>
            <w:pPr>
              <w:widowControl/>
              <w:spacing w:line="360" w:lineRule="auto"/>
              <w:ind w:firstLine="480" w:firstLineChars="200"/>
              <w:jc w:val="left"/>
              <w:rPr>
                <w:color w:val="auto"/>
                <w:sz w:val="24"/>
              </w:rPr>
            </w:pPr>
            <w:r>
              <w:rPr>
                <w:color w:val="auto"/>
                <w:kern w:val="0"/>
                <w:sz w:val="24"/>
                <w:lang w:bidi="ar"/>
              </w:rPr>
              <w:t>5）对从业人员进行安全知识教育培训。</w:t>
            </w:r>
          </w:p>
          <w:p>
            <w:pPr>
              <w:widowControl/>
              <w:spacing w:line="360" w:lineRule="auto"/>
              <w:ind w:firstLine="480" w:firstLineChars="200"/>
              <w:jc w:val="left"/>
              <w:rPr>
                <w:color w:val="auto"/>
                <w:sz w:val="24"/>
              </w:rPr>
            </w:pPr>
            <w:r>
              <w:rPr>
                <w:color w:val="auto"/>
                <w:kern w:val="0"/>
                <w:sz w:val="24"/>
                <w:lang w:bidi="ar"/>
              </w:rPr>
              <w:t>6）警示标识、在库区设置进入库区必须关闭手机、机动车进入必须安装阻火器、严禁在库区内检修车辆、机动车装卸货时必须熄火等安全标语、标识牌。</w:t>
            </w:r>
          </w:p>
          <w:p>
            <w:pPr>
              <w:widowControl/>
              <w:spacing w:line="360" w:lineRule="auto"/>
              <w:ind w:firstLine="480" w:firstLineChars="200"/>
              <w:jc w:val="left"/>
              <w:rPr>
                <w:color w:val="auto"/>
                <w:sz w:val="24"/>
              </w:rPr>
            </w:pPr>
            <w:r>
              <w:rPr>
                <w:color w:val="auto"/>
                <w:kern w:val="0"/>
                <w:sz w:val="24"/>
                <w:lang w:bidi="ar"/>
              </w:rPr>
              <w:t>7）</w:t>
            </w:r>
            <w:r>
              <w:rPr>
                <w:rFonts w:hint="eastAsia"/>
                <w:color w:val="auto"/>
                <w:sz w:val="24"/>
              </w:rPr>
              <w:t>仓库</w:t>
            </w:r>
            <w:r>
              <w:rPr>
                <w:color w:val="auto"/>
                <w:kern w:val="0"/>
                <w:sz w:val="24"/>
                <w:lang w:bidi="ar"/>
              </w:rPr>
              <w:t>设置防雷、防静电设施，要求检测合格。</w:t>
            </w:r>
          </w:p>
          <w:p>
            <w:pPr>
              <w:widowControl/>
              <w:spacing w:line="360" w:lineRule="auto"/>
              <w:ind w:firstLine="480" w:firstLineChars="200"/>
              <w:jc w:val="left"/>
              <w:rPr>
                <w:color w:val="auto"/>
                <w:sz w:val="24"/>
              </w:rPr>
            </w:pPr>
            <w:r>
              <w:rPr>
                <w:color w:val="auto"/>
                <w:kern w:val="0"/>
                <w:sz w:val="24"/>
                <w:lang w:bidi="ar"/>
              </w:rPr>
              <w:t>8）要求安装有关消防安全设施。</w:t>
            </w:r>
          </w:p>
          <w:p>
            <w:pPr>
              <w:widowControl/>
              <w:spacing w:line="360" w:lineRule="auto"/>
              <w:ind w:firstLine="480" w:firstLineChars="200"/>
              <w:jc w:val="left"/>
              <w:rPr>
                <w:color w:val="auto"/>
                <w:sz w:val="24"/>
              </w:rPr>
            </w:pPr>
            <w:r>
              <w:rPr>
                <w:color w:val="auto"/>
                <w:kern w:val="0"/>
                <w:sz w:val="24"/>
                <w:lang w:bidi="ar"/>
              </w:rPr>
              <w:t>9）库区内安装可视监控探头，监控器主机设在值班室。</w:t>
            </w:r>
          </w:p>
          <w:p>
            <w:pPr>
              <w:widowControl/>
              <w:spacing w:line="360" w:lineRule="auto"/>
              <w:ind w:firstLine="480" w:firstLineChars="200"/>
              <w:jc w:val="left"/>
              <w:rPr>
                <w:color w:val="auto"/>
                <w:sz w:val="24"/>
              </w:rPr>
            </w:pPr>
            <w:r>
              <w:rPr>
                <w:color w:val="auto"/>
                <w:kern w:val="0"/>
                <w:sz w:val="24"/>
                <w:lang w:bidi="ar"/>
              </w:rPr>
              <w:t>10）各岗位人员和维护巡检人员按规定穿戴符合安全要求的劳动保护用品进入作业现场，作业现场设置了安全标识。</w:t>
            </w:r>
          </w:p>
          <w:p>
            <w:pPr>
              <w:widowControl/>
              <w:spacing w:line="360" w:lineRule="auto"/>
              <w:ind w:firstLine="480" w:firstLineChars="200"/>
              <w:jc w:val="left"/>
              <w:rPr>
                <w:color w:val="auto"/>
                <w:kern w:val="0"/>
                <w:sz w:val="24"/>
                <w:lang w:bidi="ar"/>
              </w:rPr>
            </w:pPr>
            <w:r>
              <w:rPr>
                <w:color w:val="auto"/>
                <w:kern w:val="0"/>
                <w:sz w:val="24"/>
                <w:lang w:bidi="ar"/>
              </w:rPr>
              <w:t>11）严格执行安全评价内容。</w:t>
            </w:r>
          </w:p>
          <w:p>
            <w:pPr>
              <w:pStyle w:val="12"/>
              <w:spacing w:before="0" w:after="0" w:line="360" w:lineRule="auto"/>
              <w:ind w:right="0" w:firstLine="480" w:firstLineChars="200"/>
              <w:rPr>
                <w:color w:val="auto"/>
                <w:sz w:val="24"/>
                <w:szCs w:val="24"/>
                <w:lang w:bidi="ar"/>
              </w:rPr>
            </w:pPr>
            <w:r>
              <w:rPr>
                <w:rFonts w:hint="eastAsia"/>
                <w:color w:val="auto"/>
                <w:sz w:val="24"/>
                <w:szCs w:val="24"/>
                <w:lang w:bidi="ar"/>
              </w:rPr>
              <w:t>12）企业需配备相应的</w:t>
            </w:r>
            <w:r>
              <w:rPr>
                <w:color w:val="auto"/>
                <w:sz w:val="24"/>
                <w:szCs w:val="24"/>
                <w:lang w:bidi="ar"/>
              </w:rPr>
              <w:t>应急物资</w:t>
            </w:r>
            <w:r>
              <w:rPr>
                <w:rFonts w:hint="eastAsia"/>
                <w:color w:val="auto"/>
                <w:sz w:val="24"/>
                <w:szCs w:val="24"/>
                <w:lang w:bidi="ar"/>
              </w:rPr>
              <w:t>，主要物资为本项目</w:t>
            </w:r>
            <w:r>
              <w:rPr>
                <w:color w:val="auto"/>
                <w:sz w:val="24"/>
                <w:szCs w:val="24"/>
                <w:lang w:bidi="ar"/>
              </w:rPr>
              <w:t>表2-6主要消防设施一览表</w:t>
            </w:r>
            <w:r>
              <w:rPr>
                <w:rFonts w:hint="eastAsia"/>
                <w:color w:val="auto"/>
                <w:sz w:val="24"/>
                <w:szCs w:val="24"/>
                <w:lang w:bidi="ar"/>
              </w:rPr>
              <w:t>所列内容。</w:t>
            </w:r>
          </w:p>
          <w:p>
            <w:pPr>
              <w:spacing w:line="360" w:lineRule="auto"/>
              <w:ind w:firstLine="482" w:firstLineChars="200"/>
              <w:rPr>
                <w:b/>
                <w:color w:val="auto"/>
                <w:kern w:val="0"/>
                <w:sz w:val="24"/>
              </w:rPr>
            </w:pPr>
            <w:r>
              <w:rPr>
                <w:b/>
                <w:color w:val="auto"/>
                <w:kern w:val="0"/>
                <w:sz w:val="24"/>
              </w:rPr>
              <w:t>6.</w:t>
            </w:r>
            <w:r>
              <w:rPr>
                <w:rFonts w:hint="eastAsia"/>
                <w:b/>
                <w:color w:val="auto"/>
                <w:kern w:val="0"/>
                <w:sz w:val="24"/>
              </w:rPr>
              <w:t>5</w:t>
            </w:r>
            <w:r>
              <w:rPr>
                <w:b/>
                <w:color w:val="auto"/>
                <w:kern w:val="0"/>
                <w:sz w:val="24"/>
              </w:rPr>
              <w:t>应急预案内容</w:t>
            </w:r>
          </w:p>
          <w:p>
            <w:pPr>
              <w:spacing w:line="360" w:lineRule="auto"/>
              <w:ind w:firstLine="480" w:firstLineChars="200"/>
              <w:rPr>
                <w:rFonts w:hint="eastAsia" w:ascii="宋体" w:hAnsi="宋体"/>
                <w:color w:val="auto"/>
                <w:sz w:val="24"/>
              </w:rPr>
            </w:pPr>
            <w:bookmarkStart w:id="15" w:name="_Hlk216708055"/>
            <w:r>
              <w:rPr>
                <w:rFonts w:hint="eastAsia" w:ascii="宋体" w:hAnsi="宋体"/>
                <w:color w:val="auto"/>
                <w:sz w:val="24"/>
              </w:rPr>
              <w:t>企业需在投产前编制完成针对性强、可操作的《尉犁县祥立烟花爆竹销售有限公司突发环境事件应急预案》并报当地生态环境主管部门备案，未完成备案前不得通过竣工环境保护验收。</w:t>
            </w:r>
            <w:bookmarkEnd w:id="15"/>
            <w:r>
              <w:rPr>
                <w:rFonts w:hint="eastAsia" w:ascii="宋体" w:hAnsi="宋体"/>
                <w:color w:val="auto"/>
                <w:sz w:val="24"/>
              </w:rPr>
              <w:t>应急预案应重点明确火灾、爆炸等事故状态下的人员疏散、污染监测（大气、消防废水）、应急物资调配（如吸附材料、围堰物资）以及与环境、应急、公安等部门的联动机制等。</w:t>
            </w:r>
          </w:p>
          <w:p>
            <w:pPr>
              <w:spacing w:line="360" w:lineRule="auto"/>
              <w:ind w:firstLine="480" w:firstLineChars="200"/>
              <w:rPr>
                <w:rFonts w:hint="eastAsia" w:ascii="宋体" w:hAnsi="宋体"/>
                <w:color w:val="auto"/>
                <w:sz w:val="24"/>
              </w:rPr>
            </w:pPr>
            <w:r>
              <w:rPr>
                <w:rFonts w:ascii="宋体" w:hAnsi="宋体"/>
                <w:color w:val="auto"/>
                <w:sz w:val="24"/>
              </w:rPr>
              <w:t>项目应急预案主要内容见表4-</w:t>
            </w:r>
            <w:r>
              <w:rPr>
                <w:rFonts w:hint="eastAsia" w:ascii="宋体" w:hAnsi="宋体"/>
                <w:color w:val="auto"/>
                <w:sz w:val="24"/>
              </w:rPr>
              <w:t>9</w:t>
            </w:r>
            <w:r>
              <w:rPr>
                <w:rFonts w:ascii="宋体" w:hAnsi="宋体"/>
                <w:color w:val="auto"/>
                <w:sz w:val="24"/>
              </w:rPr>
              <w:t>。</w:t>
            </w:r>
          </w:p>
          <w:p>
            <w:pPr>
              <w:pStyle w:val="52"/>
              <w:rPr>
                <w:color w:val="auto"/>
              </w:rPr>
            </w:pPr>
            <w:r>
              <w:rPr>
                <w:color w:val="auto"/>
              </w:rPr>
              <w:t>表4-</w:t>
            </w:r>
            <w:r>
              <w:rPr>
                <w:rFonts w:hint="eastAsia"/>
                <w:color w:val="auto"/>
              </w:rPr>
              <w:t>9</w:t>
            </w:r>
            <w:r>
              <w:rPr>
                <w:color w:val="auto"/>
              </w:rPr>
              <w:t xml:space="preserve">  应急预案内容</w:t>
            </w:r>
          </w:p>
          <w:tbl>
            <w:tblPr>
              <w:tblStyle w:val="26"/>
              <w:tblW w:w="0" w:type="auto"/>
              <w:tblInd w:w="1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81"/>
              <w:gridCol w:w="1789"/>
              <w:gridCol w:w="633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1" w:type="dxa"/>
                  <w:tcBorders>
                    <w:tl2br w:val="nil"/>
                    <w:tr2bl w:val="nil"/>
                  </w:tcBorders>
                  <w:vAlign w:val="center"/>
                </w:tcPr>
                <w:p>
                  <w:pPr>
                    <w:spacing w:line="300" w:lineRule="exact"/>
                    <w:jc w:val="center"/>
                    <w:rPr>
                      <w:color w:val="auto"/>
                    </w:rPr>
                  </w:pPr>
                  <w:r>
                    <w:rPr>
                      <w:color w:val="auto"/>
                    </w:rPr>
                    <w:t>序号</w:t>
                  </w:r>
                </w:p>
              </w:tc>
              <w:tc>
                <w:tcPr>
                  <w:tcW w:w="1789" w:type="dxa"/>
                  <w:tcBorders>
                    <w:tl2br w:val="nil"/>
                    <w:tr2bl w:val="nil"/>
                  </w:tcBorders>
                  <w:vAlign w:val="center"/>
                </w:tcPr>
                <w:p>
                  <w:pPr>
                    <w:spacing w:line="300" w:lineRule="exact"/>
                    <w:jc w:val="center"/>
                    <w:rPr>
                      <w:color w:val="auto"/>
                    </w:rPr>
                  </w:pPr>
                  <w:r>
                    <w:rPr>
                      <w:color w:val="auto"/>
                    </w:rPr>
                    <w:t>项目</w:t>
                  </w:r>
                </w:p>
              </w:tc>
              <w:tc>
                <w:tcPr>
                  <w:tcW w:w="6338" w:type="dxa"/>
                  <w:tcBorders>
                    <w:tl2br w:val="nil"/>
                    <w:tr2bl w:val="nil"/>
                  </w:tcBorders>
                  <w:vAlign w:val="center"/>
                </w:tcPr>
                <w:p>
                  <w:pPr>
                    <w:spacing w:line="300" w:lineRule="exact"/>
                    <w:jc w:val="center"/>
                    <w:rPr>
                      <w:color w:val="auto"/>
                    </w:rPr>
                  </w:pPr>
                  <w:r>
                    <w:rPr>
                      <w:color w:val="auto"/>
                    </w:rPr>
                    <w:t>内容及要求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1" w:type="dxa"/>
                  <w:tcBorders>
                    <w:tl2br w:val="nil"/>
                    <w:tr2bl w:val="nil"/>
                  </w:tcBorders>
                  <w:vAlign w:val="center"/>
                </w:tcPr>
                <w:p>
                  <w:pPr>
                    <w:spacing w:line="300" w:lineRule="exact"/>
                    <w:jc w:val="center"/>
                    <w:rPr>
                      <w:color w:val="auto"/>
                    </w:rPr>
                  </w:pPr>
                  <w:r>
                    <w:rPr>
                      <w:color w:val="auto"/>
                    </w:rPr>
                    <w:t>1</w:t>
                  </w:r>
                </w:p>
              </w:tc>
              <w:tc>
                <w:tcPr>
                  <w:tcW w:w="1789" w:type="dxa"/>
                  <w:tcBorders>
                    <w:tl2br w:val="nil"/>
                    <w:tr2bl w:val="nil"/>
                  </w:tcBorders>
                  <w:vAlign w:val="center"/>
                </w:tcPr>
                <w:p>
                  <w:pPr>
                    <w:spacing w:line="300" w:lineRule="exact"/>
                    <w:jc w:val="center"/>
                    <w:rPr>
                      <w:color w:val="auto"/>
                    </w:rPr>
                  </w:pPr>
                  <w:r>
                    <w:rPr>
                      <w:color w:val="auto"/>
                    </w:rPr>
                    <w:t>应急计划区</w:t>
                  </w:r>
                </w:p>
              </w:tc>
              <w:tc>
                <w:tcPr>
                  <w:tcW w:w="6338" w:type="dxa"/>
                  <w:tcBorders>
                    <w:tl2br w:val="nil"/>
                    <w:tr2bl w:val="nil"/>
                  </w:tcBorders>
                  <w:vAlign w:val="center"/>
                </w:tcPr>
                <w:p>
                  <w:pPr>
                    <w:spacing w:line="300" w:lineRule="exact"/>
                    <w:jc w:val="center"/>
                    <w:rPr>
                      <w:color w:val="auto"/>
                    </w:rPr>
                  </w:pPr>
                  <w:r>
                    <w:rPr>
                      <w:color w:val="auto"/>
                    </w:rPr>
                    <w:t>危险源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1" w:type="dxa"/>
                  <w:tcBorders>
                    <w:tl2br w:val="nil"/>
                    <w:tr2bl w:val="nil"/>
                  </w:tcBorders>
                  <w:vAlign w:val="center"/>
                </w:tcPr>
                <w:p>
                  <w:pPr>
                    <w:spacing w:line="300" w:lineRule="exact"/>
                    <w:jc w:val="center"/>
                    <w:rPr>
                      <w:color w:val="auto"/>
                    </w:rPr>
                  </w:pPr>
                  <w:r>
                    <w:rPr>
                      <w:color w:val="auto"/>
                    </w:rPr>
                    <w:t>2</w:t>
                  </w:r>
                </w:p>
              </w:tc>
              <w:tc>
                <w:tcPr>
                  <w:tcW w:w="1789" w:type="dxa"/>
                  <w:tcBorders>
                    <w:tl2br w:val="nil"/>
                    <w:tr2bl w:val="nil"/>
                  </w:tcBorders>
                  <w:vAlign w:val="center"/>
                </w:tcPr>
                <w:p>
                  <w:pPr>
                    <w:spacing w:line="300" w:lineRule="exact"/>
                    <w:jc w:val="center"/>
                    <w:rPr>
                      <w:color w:val="auto"/>
                    </w:rPr>
                  </w:pPr>
                  <w:r>
                    <w:rPr>
                      <w:color w:val="auto"/>
                    </w:rPr>
                    <w:t>应急组织机构、人员</w:t>
                  </w:r>
                </w:p>
              </w:tc>
              <w:tc>
                <w:tcPr>
                  <w:tcW w:w="6338" w:type="dxa"/>
                  <w:tcBorders>
                    <w:tl2br w:val="nil"/>
                    <w:tr2bl w:val="nil"/>
                  </w:tcBorders>
                  <w:vAlign w:val="center"/>
                </w:tcPr>
                <w:p>
                  <w:pPr>
                    <w:spacing w:line="300" w:lineRule="exact"/>
                    <w:jc w:val="center"/>
                    <w:rPr>
                      <w:color w:val="auto"/>
                    </w:rPr>
                  </w:pPr>
                  <w:r>
                    <w:rPr>
                      <w:color w:val="auto"/>
                    </w:rPr>
                    <w:t>实施三级应急组织机构，各级别主要负责人为应急计划、协调第一人，应急人员必须为培训上岗熟练工；区域应急组织结构由当地政府、相关行业专家、卫生安全相关单位组成，并由当地政府进行统一调度。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481" w:type="dxa"/>
                  <w:tcBorders>
                    <w:tl2br w:val="nil"/>
                    <w:tr2bl w:val="nil"/>
                  </w:tcBorders>
                  <w:vAlign w:val="center"/>
                </w:tcPr>
                <w:p>
                  <w:pPr>
                    <w:spacing w:line="300" w:lineRule="exact"/>
                    <w:jc w:val="center"/>
                    <w:rPr>
                      <w:color w:val="auto"/>
                    </w:rPr>
                  </w:pPr>
                  <w:r>
                    <w:rPr>
                      <w:color w:val="auto"/>
                    </w:rPr>
                    <w:t>3</w:t>
                  </w:r>
                </w:p>
              </w:tc>
              <w:tc>
                <w:tcPr>
                  <w:tcW w:w="1789" w:type="dxa"/>
                  <w:tcBorders>
                    <w:tl2br w:val="nil"/>
                    <w:tr2bl w:val="nil"/>
                  </w:tcBorders>
                  <w:vAlign w:val="center"/>
                </w:tcPr>
                <w:p>
                  <w:pPr>
                    <w:spacing w:line="300" w:lineRule="exact"/>
                    <w:jc w:val="center"/>
                    <w:rPr>
                      <w:color w:val="auto"/>
                    </w:rPr>
                  </w:pPr>
                  <w:r>
                    <w:rPr>
                      <w:color w:val="auto"/>
                    </w:rPr>
                    <w:t>预案分级响应条件</w:t>
                  </w:r>
                </w:p>
              </w:tc>
              <w:tc>
                <w:tcPr>
                  <w:tcW w:w="6338" w:type="dxa"/>
                  <w:tcBorders>
                    <w:tl2br w:val="nil"/>
                    <w:tr2bl w:val="nil"/>
                  </w:tcBorders>
                  <w:vAlign w:val="center"/>
                </w:tcPr>
                <w:p>
                  <w:pPr>
                    <w:spacing w:line="300" w:lineRule="exact"/>
                    <w:jc w:val="center"/>
                    <w:rPr>
                      <w:color w:val="auto"/>
                    </w:rPr>
                  </w:pPr>
                  <w:r>
                    <w:rPr>
                      <w:color w:val="auto"/>
                    </w:rPr>
                    <w:t>根据事故的严重程度制定相应级别的应急预案，以及适合相应情况的处理措施。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1" w:type="dxa"/>
                  <w:tcBorders>
                    <w:tl2br w:val="nil"/>
                    <w:tr2bl w:val="nil"/>
                  </w:tcBorders>
                  <w:vAlign w:val="center"/>
                </w:tcPr>
                <w:p>
                  <w:pPr>
                    <w:spacing w:line="300" w:lineRule="exact"/>
                    <w:jc w:val="center"/>
                    <w:rPr>
                      <w:color w:val="auto"/>
                    </w:rPr>
                  </w:pPr>
                  <w:r>
                    <w:rPr>
                      <w:color w:val="auto"/>
                    </w:rPr>
                    <w:t>4</w:t>
                  </w:r>
                </w:p>
              </w:tc>
              <w:tc>
                <w:tcPr>
                  <w:tcW w:w="1789" w:type="dxa"/>
                  <w:tcBorders>
                    <w:tl2br w:val="nil"/>
                    <w:tr2bl w:val="nil"/>
                  </w:tcBorders>
                  <w:vAlign w:val="center"/>
                </w:tcPr>
                <w:p>
                  <w:pPr>
                    <w:spacing w:line="300" w:lineRule="exact"/>
                    <w:jc w:val="center"/>
                    <w:rPr>
                      <w:color w:val="auto"/>
                    </w:rPr>
                  </w:pPr>
                  <w:r>
                    <w:rPr>
                      <w:color w:val="auto"/>
                    </w:rPr>
                    <w:t>应急救援保障</w:t>
                  </w:r>
                </w:p>
              </w:tc>
              <w:tc>
                <w:tcPr>
                  <w:tcW w:w="6338" w:type="dxa"/>
                  <w:tcBorders>
                    <w:tl2br w:val="nil"/>
                    <w:tr2bl w:val="nil"/>
                  </w:tcBorders>
                  <w:vAlign w:val="center"/>
                </w:tcPr>
                <w:p>
                  <w:pPr>
                    <w:spacing w:line="300" w:lineRule="exact"/>
                    <w:jc w:val="center"/>
                    <w:rPr>
                      <w:color w:val="auto"/>
                    </w:rPr>
                  </w:pPr>
                  <w:r>
                    <w:rPr>
                      <w:color w:val="auto"/>
                    </w:rPr>
                    <w:t>应急设施，设备与器材等。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481" w:type="dxa"/>
                  <w:tcBorders>
                    <w:tl2br w:val="nil"/>
                    <w:tr2bl w:val="nil"/>
                  </w:tcBorders>
                  <w:vAlign w:val="center"/>
                </w:tcPr>
                <w:p>
                  <w:pPr>
                    <w:spacing w:line="300" w:lineRule="exact"/>
                    <w:jc w:val="center"/>
                    <w:rPr>
                      <w:color w:val="auto"/>
                    </w:rPr>
                  </w:pPr>
                  <w:r>
                    <w:rPr>
                      <w:color w:val="auto"/>
                    </w:rPr>
                    <w:t>5</w:t>
                  </w:r>
                </w:p>
              </w:tc>
              <w:tc>
                <w:tcPr>
                  <w:tcW w:w="1789" w:type="dxa"/>
                  <w:tcBorders>
                    <w:tl2br w:val="nil"/>
                    <w:tr2bl w:val="nil"/>
                  </w:tcBorders>
                  <w:vAlign w:val="center"/>
                </w:tcPr>
                <w:p>
                  <w:pPr>
                    <w:spacing w:line="300" w:lineRule="exact"/>
                    <w:jc w:val="center"/>
                    <w:rPr>
                      <w:color w:val="auto"/>
                    </w:rPr>
                  </w:pPr>
                  <w:r>
                    <w:rPr>
                      <w:color w:val="auto"/>
                    </w:rPr>
                    <w:t>报警、通讯联络方式</w:t>
                  </w:r>
                </w:p>
              </w:tc>
              <w:tc>
                <w:tcPr>
                  <w:tcW w:w="6338" w:type="dxa"/>
                  <w:tcBorders>
                    <w:tl2br w:val="nil"/>
                    <w:tr2bl w:val="nil"/>
                  </w:tcBorders>
                  <w:vAlign w:val="center"/>
                </w:tcPr>
                <w:p>
                  <w:pPr>
                    <w:spacing w:line="300" w:lineRule="exact"/>
                    <w:jc w:val="center"/>
                    <w:rPr>
                      <w:color w:val="auto"/>
                    </w:rPr>
                  </w:pPr>
                  <w:r>
                    <w:rPr>
                      <w:color w:val="auto"/>
                    </w:rPr>
                    <w:t>逐一细化应急状态下各主要负责单位的报警通讯方式、地点、电话号码以及相关配套的交通保障、管制、消防联络方法，涉及跨区域的还应与相关区域环境保护部门和上级环保部门保持联系，及时通报事故处理情况，以获得区域性支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1" w:type="dxa"/>
                  <w:tcBorders>
                    <w:tl2br w:val="nil"/>
                    <w:tr2bl w:val="nil"/>
                  </w:tcBorders>
                  <w:vAlign w:val="center"/>
                </w:tcPr>
                <w:p>
                  <w:pPr>
                    <w:spacing w:line="300" w:lineRule="exact"/>
                    <w:jc w:val="center"/>
                    <w:rPr>
                      <w:color w:val="auto"/>
                    </w:rPr>
                  </w:pPr>
                  <w:r>
                    <w:rPr>
                      <w:color w:val="auto"/>
                    </w:rPr>
                    <w:t>6</w:t>
                  </w:r>
                </w:p>
              </w:tc>
              <w:tc>
                <w:tcPr>
                  <w:tcW w:w="1789" w:type="dxa"/>
                  <w:tcBorders>
                    <w:tl2br w:val="nil"/>
                    <w:tr2bl w:val="nil"/>
                  </w:tcBorders>
                  <w:vAlign w:val="center"/>
                </w:tcPr>
                <w:p>
                  <w:pPr>
                    <w:spacing w:line="300" w:lineRule="exact"/>
                    <w:jc w:val="center"/>
                    <w:rPr>
                      <w:color w:val="auto"/>
                    </w:rPr>
                  </w:pPr>
                  <w:r>
                    <w:rPr>
                      <w:color w:val="auto"/>
                    </w:rPr>
                    <w:t>应急环境监测、抢险、救援及控制措施</w:t>
                  </w:r>
                </w:p>
              </w:tc>
              <w:tc>
                <w:tcPr>
                  <w:tcW w:w="6338" w:type="dxa"/>
                  <w:tcBorders>
                    <w:tl2br w:val="nil"/>
                    <w:tr2bl w:val="nil"/>
                  </w:tcBorders>
                  <w:vAlign w:val="center"/>
                </w:tcPr>
                <w:p>
                  <w:pPr>
                    <w:spacing w:line="300" w:lineRule="exact"/>
                    <w:jc w:val="center"/>
                    <w:rPr>
                      <w:color w:val="auto"/>
                    </w:rPr>
                  </w:pPr>
                  <w:r>
                    <w:rPr>
                      <w:color w:val="auto"/>
                    </w:rPr>
                    <w:t>由专业队伍负责对事故现场进行侦查监测，对事故性质、参数与后果进行评估，为指挥部门提供决策依据。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1" w:type="dxa"/>
                  <w:tcBorders>
                    <w:tl2br w:val="nil"/>
                    <w:tr2bl w:val="nil"/>
                  </w:tcBorders>
                  <w:vAlign w:val="center"/>
                </w:tcPr>
                <w:p>
                  <w:pPr>
                    <w:spacing w:line="300" w:lineRule="exact"/>
                    <w:jc w:val="center"/>
                    <w:rPr>
                      <w:color w:val="auto"/>
                    </w:rPr>
                  </w:pPr>
                  <w:r>
                    <w:rPr>
                      <w:color w:val="auto"/>
                    </w:rPr>
                    <w:t>7</w:t>
                  </w:r>
                </w:p>
              </w:tc>
              <w:tc>
                <w:tcPr>
                  <w:tcW w:w="1789" w:type="dxa"/>
                  <w:tcBorders>
                    <w:tl2br w:val="nil"/>
                    <w:tr2bl w:val="nil"/>
                  </w:tcBorders>
                  <w:vAlign w:val="center"/>
                </w:tcPr>
                <w:p>
                  <w:pPr>
                    <w:spacing w:line="300" w:lineRule="exact"/>
                    <w:jc w:val="center"/>
                    <w:rPr>
                      <w:color w:val="auto"/>
                    </w:rPr>
                  </w:pPr>
                  <w:r>
                    <w:rPr>
                      <w:color w:val="auto"/>
                    </w:rPr>
                    <w:t>应急监测、防护措施、清除泄漏措施和器材</w:t>
                  </w:r>
                </w:p>
              </w:tc>
              <w:tc>
                <w:tcPr>
                  <w:tcW w:w="6338" w:type="dxa"/>
                  <w:tcBorders>
                    <w:tl2br w:val="nil"/>
                    <w:tr2bl w:val="nil"/>
                  </w:tcBorders>
                  <w:vAlign w:val="center"/>
                </w:tcPr>
                <w:p>
                  <w:pPr>
                    <w:spacing w:line="300" w:lineRule="exact"/>
                    <w:jc w:val="center"/>
                    <w:rPr>
                      <w:color w:val="auto"/>
                    </w:rPr>
                  </w:pPr>
                  <w:r>
                    <w:rPr>
                      <w:color w:val="auto"/>
                    </w:rPr>
                    <w:t>事故现场、邻近区域、控制防火区域，控制和清除污染措施及相应设备的数量、使用方法、使用人员。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1" w:type="dxa"/>
                  <w:tcBorders>
                    <w:tl2br w:val="nil"/>
                    <w:tr2bl w:val="nil"/>
                  </w:tcBorders>
                  <w:vAlign w:val="center"/>
                </w:tcPr>
                <w:p>
                  <w:pPr>
                    <w:spacing w:line="300" w:lineRule="exact"/>
                    <w:jc w:val="center"/>
                    <w:rPr>
                      <w:color w:val="auto"/>
                    </w:rPr>
                  </w:pPr>
                  <w:r>
                    <w:rPr>
                      <w:color w:val="auto"/>
                    </w:rPr>
                    <w:t>8</w:t>
                  </w:r>
                </w:p>
              </w:tc>
              <w:tc>
                <w:tcPr>
                  <w:tcW w:w="1789" w:type="dxa"/>
                  <w:tcBorders>
                    <w:tl2br w:val="nil"/>
                    <w:tr2bl w:val="nil"/>
                  </w:tcBorders>
                  <w:vAlign w:val="center"/>
                </w:tcPr>
                <w:p>
                  <w:pPr>
                    <w:spacing w:line="300" w:lineRule="exact"/>
                    <w:jc w:val="center"/>
                    <w:rPr>
                      <w:color w:val="auto"/>
                    </w:rPr>
                  </w:pPr>
                  <w:r>
                    <w:rPr>
                      <w:color w:val="auto"/>
                    </w:rPr>
                    <w:t>人员紧急撤离、疏散，应急剂量控制、撤离组织计划</w:t>
                  </w:r>
                </w:p>
              </w:tc>
              <w:tc>
                <w:tcPr>
                  <w:tcW w:w="6338" w:type="dxa"/>
                  <w:tcBorders>
                    <w:tl2br w:val="nil"/>
                    <w:tr2bl w:val="nil"/>
                  </w:tcBorders>
                  <w:vAlign w:val="center"/>
                </w:tcPr>
                <w:p>
                  <w:pPr>
                    <w:spacing w:line="300" w:lineRule="exact"/>
                    <w:jc w:val="center"/>
                    <w:rPr>
                      <w:color w:val="auto"/>
                    </w:rPr>
                  </w:pPr>
                  <w:r>
                    <w:rPr>
                      <w:color w:val="auto"/>
                    </w:rPr>
                    <w:t>事故现场、邻近区域、受事故影响的区域人员及公众对毒物应急剂量控制规定，撤离组织计划及救护，医疗救护与公众健康。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1" w:type="dxa"/>
                  <w:tcBorders>
                    <w:tl2br w:val="nil"/>
                    <w:tr2bl w:val="nil"/>
                  </w:tcBorders>
                  <w:vAlign w:val="center"/>
                </w:tcPr>
                <w:p>
                  <w:pPr>
                    <w:spacing w:line="300" w:lineRule="exact"/>
                    <w:jc w:val="center"/>
                    <w:rPr>
                      <w:color w:val="auto"/>
                    </w:rPr>
                  </w:pPr>
                  <w:r>
                    <w:rPr>
                      <w:color w:val="auto"/>
                    </w:rPr>
                    <w:t>9</w:t>
                  </w:r>
                </w:p>
              </w:tc>
              <w:tc>
                <w:tcPr>
                  <w:tcW w:w="1789" w:type="dxa"/>
                  <w:tcBorders>
                    <w:tl2br w:val="nil"/>
                    <w:tr2bl w:val="nil"/>
                  </w:tcBorders>
                  <w:vAlign w:val="center"/>
                </w:tcPr>
                <w:p>
                  <w:pPr>
                    <w:spacing w:line="300" w:lineRule="exact"/>
                    <w:jc w:val="center"/>
                    <w:rPr>
                      <w:color w:val="auto"/>
                    </w:rPr>
                  </w:pPr>
                  <w:r>
                    <w:rPr>
                      <w:color w:val="auto"/>
                    </w:rPr>
                    <w:t>事故应急救援关闭程序与恢复措施</w:t>
                  </w:r>
                </w:p>
              </w:tc>
              <w:tc>
                <w:tcPr>
                  <w:tcW w:w="6338" w:type="dxa"/>
                  <w:tcBorders>
                    <w:tl2br w:val="nil"/>
                    <w:tr2bl w:val="nil"/>
                  </w:tcBorders>
                  <w:vAlign w:val="center"/>
                </w:tcPr>
                <w:p>
                  <w:pPr>
                    <w:spacing w:line="300" w:lineRule="exact"/>
                    <w:jc w:val="center"/>
                    <w:rPr>
                      <w:color w:val="auto"/>
                    </w:rPr>
                  </w:pPr>
                  <w:r>
                    <w:rPr>
                      <w:color w:val="auto"/>
                    </w:rPr>
                    <w:t>规定应急状态终止程序；</w:t>
                  </w:r>
                </w:p>
                <w:p>
                  <w:pPr>
                    <w:spacing w:line="300" w:lineRule="exact"/>
                    <w:jc w:val="center"/>
                    <w:rPr>
                      <w:color w:val="auto"/>
                    </w:rPr>
                  </w:pPr>
                  <w:r>
                    <w:rPr>
                      <w:color w:val="auto"/>
                    </w:rPr>
                    <w:t>事故现场后处理；</w:t>
                  </w:r>
                </w:p>
                <w:p>
                  <w:pPr>
                    <w:spacing w:line="300" w:lineRule="exact"/>
                    <w:jc w:val="center"/>
                    <w:rPr>
                      <w:color w:val="auto"/>
                    </w:rPr>
                  </w:pPr>
                  <w:r>
                    <w:rPr>
                      <w:color w:val="auto"/>
                    </w:rPr>
                    <w:t>邻近区域解除事故警戒及善后恢复措施；</w:t>
                  </w:r>
                </w:p>
                <w:p>
                  <w:pPr>
                    <w:spacing w:line="300" w:lineRule="exact"/>
                    <w:jc w:val="center"/>
                    <w:rPr>
                      <w:color w:val="auto"/>
                    </w:rPr>
                  </w:pPr>
                  <w:r>
                    <w:rPr>
                      <w:color w:val="auto"/>
                    </w:rPr>
                    <w:t>制定有关的环境恢复措施；</w:t>
                  </w:r>
                </w:p>
                <w:p>
                  <w:pPr>
                    <w:spacing w:line="300" w:lineRule="exact"/>
                    <w:jc w:val="center"/>
                    <w:rPr>
                      <w:color w:val="auto"/>
                    </w:rPr>
                  </w:pPr>
                  <w:r>
                    <w:rPr>
                      <w:color w:val="auto"/>
                    </w:rPr>
                    <w:t>组织专业人员对事故后的环境变化进行监测；</w:t>
                  </w:r>
                </w:p>
                <w:p>
                  <w:pPr>
                    <w:spacing w:line="300" w:lineRule="exact"/>
                    <w:jc w:val="center"/>
                    <w:rPr>
                      <w:color w:val="auto"/>
                    </w:rPr>
                  </w:pPr>
                  <w:r>
                    <w:rPr>
                      <w:color w:val="auto"/>
                    </w:rPr>
                    <w:t>对事故应急措施的环境可行性进行后影响评价。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1" w:type="dxa"/>
                  <w:tcBorders>
                    <w:tl2br w:val="nil"/>
                    <w:tr2bl w:val="nil"/>
                  </w:tcBorders>
                  <w:vAlign w:val="center"/>
                </w:tcPr>
                <w:p>
                  <w:pPr>
                    <w:spacing w:line="300" w:lineRule="exact"/>
                    <w:jc w:val="center"/>
                    <w:rPr>
                      <w:color w:val="auto"/>
                    </w:rPr>
                  </w:pPr>
                  <w:r>
                    <w:rPr>
                      <w:color w:val="auto"/>
                    </w:rPr>
                    <w:t>10</w:t>
                  </w:r>
                </w:p>
              </w:tc>
              <w:tc>
                <w:tcPr>
                  <w:tcW w:w="1789" w:type="dxa"/>
                  <w:tcBorders>
                    <w:tl2br w:val="nil"/>
                    <w:tr2bl w:val="nil"/>
                  </w:tcBorders>
                  <w:vAlign w:val="center"/>
                </w:tcPr>
                <w:p>
                  <w:pPr>
                    <w:spacing w:line="300" w:lineRule="exact"/>
                    <w:jc w:val="center"/>
                    <w:rPr>
                      <w:color w:val="auto"/>
                    </w:rPr>
                  </w:pPr>
                  <w:r>
                    <w:rPr>
                      <w:color w:val="auto"/>
                    </w:rPr>
                    <w:t>应急培训计划</w:t>
                  </w:r>
                </w:p>
              </w:tc>
              <w:tc>
                <w:tcPr>
                  <w:tcW w:w="6338" w:type="dxa"/>
                  <w:tcBorders>
                    <w:tl2br w:val="nil"/>
                    <w:tr2bl w:val="nil"/>
                  </w:tcBorders>
                  <w:vAlign w:val="center"/>
                </w:tcPr>
                <w:p>
                  <w:pPr>
                    <w:spacing w:line="300" w:lineRule="exact"/>
                    <w:jc w:val="center"/>
                    <w:rPr>
                      <w:color w:val="auto"/>
                    </w:rPr>
                  </w:pPr>
                  <w:r>
                    <w:rPr>
                      <w:color w:val="auto"/>
                    </w:rPr>
                    <w:t>应急计划制定后，平时安排人员培训与演练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481" w:type="dxa"/>
                  <w:tcBorders>
                    <w:tl2br w:val="nil"/>
                    <w:tr2bl w:val="nil"/>
                  </w:tcBorders>
                  <w:vAlign w:val="center"/>
                </w:tcPr>
                <w:p>
                  <w:pPr>
                    <w:spacing w:line="300" w:lineRule="exact"/>
                    <w:jc w:val="center"/>
                    <w:rPr>
                      <w:color w:val="auto"/>
                    </w:rPr>
                  </w:pPr>
                  <w:r>
                    <w:rPr>
                      <w:color w:val="auto"/>
                    </w:rPr>
                    <w:t>11</w:t>
                  </w:r>
                </w:p>
              </w:tc>
              <w:tc>
                <w:tcPr>
                  <w:tcW w:w="1789" w:type="dxa"/>
                  <w:tcBorders>
                    <w:tl2br w:val="nil"/>
                    <w:tr2bl w:val="nil"/>
                  </w:tcBorders>
                  <w:vAlign w:val="center"/>
                </w:tcPr>
                <w:p>
                  <w:pPr>
                    <w:spacing w:line="300" w:lineRule="exact"/>
                    <w:jc w:val="center"/>
                    <w:rPr>
                      <w:color w:val="auto"/>
                    </w:rPr>
                  </w:pPr>
                  <w:r>
                    <w:rPr>
                      <w:color w:val="auto"/>
                    </w:rPr>
                    <w:t>公众教育和信息</w:t>
                  </w:r>
                </w:p>
              </w:tc>
              <w:tc>
                <w:tcPr>
                  <w:tcW w:w="6338" w:type="dxa"/>
                  <w:tcBorders>
                    <w:tl2br w:val="nil"/>
                    <w:tr2bl w:val="nil"/>
                  </w:tcBorders>
                  <w:vAlign w:val="center"/>
                </w:tcPr>
                <w:p>
                  <w:pPr>
                    <w:spacing w:line="300" w:lineRule="exact"/>
                    <w:jc w:val="center"/>
                    <w:rPr>
                      <w:color w:val="auto"/>
                    </w:rPr>
                  </w:pPr>
                  <w:r>
                    <w:rPr>
                      <w:color w:val="auto"/>
                    </w:rPr>
                    <w:t>对项目邻近地区开展公众教育、培训和发布有关信息</w:t>
                  </w:r>
                </w:p>
              </w:tc>
            </w:tr>
          </w:tbl>
          <w:p>
            <w:pPr>
              <w:spacing w:line="520" w:lineRule="exact"/>
              <w:ind w:firstLine="482" w:firstLineChars="200"/>
              <w:rPr>
                <w:b/>
                <w:bCs/>
                <w:color w:val="auto"/>
                <w:sz w:val="24"/>
              </w:rPr>
            </w:pPr>
            <w:r>
              <w:rPr>
                <w:b/>
                <w:bCs/>
                <w:color w:val="auto"/>
                <w:sz w:val="24"/>
              </w:rPr>
              <w:t>6.</w:t>
            </w:r>
            <w:r>
              <w:rPr>
                <w:rFonts w:hint="eastAsia"/>
                <w:b/>
                <w:bCs/>
                <w:color w:val="auto"/>
                <w:sz w:val="24"/>
              </w:rPr>
              <w:t>6</w:t>
            </w:r>
            <w:r>
              <w:rPr>
                <w:b/>
                <w:bCs/>
                <w:color w:val="auto"/>
                <w:sz w:val="24"/>
              </w:rPr>
              <w:t>环境风险评价结论</w:t>
            </w:r>
          </w:p>
          <w:p>
            <w:pPr>
              <w:spacing w:line="520" w:lineRule="exact"/>
              <w:ind w:firstLine="480" w:firstLineChars="200"/>
              <w:rPr>
                <w:bCs/>
                <w:color w:val="auto"/>
                <w:kern w:val="0"/>
                <w:sz w:val="24"/>
              </w:rPr>
            </w:pPr>
            <w:r>
              <w:rPr>
                <w:bCs/>
                <w:color w:val="auto"/>
                <w:kern w:val="0"/>
                <w:sz w:val="24"/>
              </w:rPr>
              <w:t>本项目在严格按照本评价要求落实各项风险防范措施、完善突发环境应急预案以及明确应急组织结构及人员的基础上，可以使得工程建设的环境风险降低，在发生风险事故时的影响范围及影响程度可以得到控制，对环境的影响在可承受范围内，环境风险在可控范围内，综上所述，本项目出现的环境风险是在可接受的水平，采取的环境风险防范措施和风险事故应急预案有效可行，从环境风险防范的角度认为项目可行。</w:t>
            </w:r>
          </w:p>
          <w:p>
            <w:pPr>
              <w:pStyle w:val="52"/>
              <w:rPr>
                <w:color w:val="auto"/>
              </w:rPr>
            </w:pPr>
            <w:r>
              <w:rPr>
                <w:color w:val="auto"/>
              </w:rPr>
              <w:t>表</w:t>
            </w:r>
            <w:r>
              <w:rPr>
                <w:rFonts w:hint="eastAsia"/>
                <w:color w:val="auto"/>
              </w:rPr>
              <w:t>4</w:t>
            </w:r>
            <w:r>
              <w:rPr>
                <w:color w:val="auto"/>
              </w:rPr>
              <w:t>-</w:t>
            </w:r>
            <w:r>
              <w:rPr>
                <w:rFonts w:hint="eastAsia"/>
                <w:color w:val="auto"/>
              </w:rPr>
              <w:t>10</w:t>
            </w:r>
            <w:r>
              <w:rPr>
                <w:color w:val="auto"/>
              </w:rPr>
              <w:t>建设项目环境风险评价简单分析表</w:t>
            </w:r>
          </w:p>
          <w:tbl>
            <w:tblPr>
              <w:tblStyle w:val="27"/>
              <w:tblW w:w="777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988"/>
              <w:gridCol w:w="943"/>
              <w:gridCol w:w="931"/>
              <w:gridCol w:w="1089"/>
              <w:gridCol w:w="221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11" w:type="dxa"/>
                  <w:tcBorders>
                    <w:tl2br w:val="nil"/>
                    <w:tr2bl w:val="nil"/>
                  </w:tcBorders>
                  <w:vAlign w:val="center"/>
                </w:tcPr>
                <w:p>
                  <w:pPr>
                    <w:pStyle w:val="37"/>
                    <w:jc w:val="center"/>
                    <w:rPr>
                      <w:rFonts w:ascii="Times New Roman" w:hAnsi="Times New Roman" w:cs="Times New Roman"/>
                      <w:color w:val="auto"/>
                      <w:sz w:val="21"/>
                      <w:szCs w:val="21"/>
                    </w:rPr>
                  </w:pPr>
                  <w:r>
                    <w:rPr>
                      <w:rFonts w:ascii="Times New Roman" w:hAnsi="Times New Roman" w:cs="Times New Roman"/>
                      <w:color w:val="auto"/>
                      <w:sz w:val="21"/>
                      <w:szCs w:val="21"/>
                    </w:rPr>
                    <w:t>建设项目名称</w:t>
                  </w:r>
                </w:p>
              </w:tc>
              <w:tc>
                <w:tcPr>
                  <w:tcW w:w="6168" w:type="dxa"/>
                  <w:gridSpan w:val="5"/>
                  <w:tcBorders>
                    <w:tl2br w:val="nil"/>
                    <w:tr2bl w:val="nil"/>
                  </w:tcBorders>
                  <w:vAlign w:val="center"/>
                </w:tcPr>
                <w:p>
                  <w:pPr>
                    <w:pStyle w:val="37"/>
                    <w:jc w:val="center"/>
                    <w:rPr>
                      <w:rFonts w:ascii="Times New Roman" w:hAnsi="Times New Roman" w:cs="Times New Roman"/>
                      <w:color w:val="auto"/>
                      <w:sz w:val="21"/>
                      <w:szCs w:val="21"/>
                    </w:rPr>
                  </w:pPr>
                  <w:r>
                    <w:rPr>
                      <w:rFonts w:ascii="Times New Roman" w:hAnsi="Times New Roman" w:cs="Times New Roman"/>
                      <w:color w:val="auto"/>
                      <w:sz w:val="21"/>
                      <w:szCs w:val="21"/>
                    </w:rPr>
                    <w:t>尉犁县祥立烟花爆竹销售有限公司烟花爆竹库房建设项目</w:t>
                  </w:r>
                  <w:r>
                    <w:rPr>
                      <w:rFonts w:hint="eastAsia" w:ascii="Times New Roman" w:hAnsi="Times New Roman" w:cs="Times New Roman"/>
                      <w:color w:val="auto"/>
                      <w:sz w:val="21"/>
                      <w:szCs w:val="21"/>
                    </w:rPr>
                    <w:t xml:space="preserve">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611" w:type="dxa"/>
                  <w:tcBorders>
                    <w:tl2br w:val="nil"/>
                    <w:tr2bl w:val="nil"/>
                  </w:tcBorders>
                  <w:vAlign w:val="center"/>
                </w:tcPr>
                <w:p>
                  <w:pPr>
                    <w:pStyle w:val="37"/>
                    <w:jc w:val="center"/>
                    <w:rPr>
                      <w:rFonts w:ascii="Times New Roman" w:hAnsi="Times New Roman" w:cs="Times New Roman"/>
                      <w:color w:val="auto"/>
                      <w:sz w:val="21"/>
                      <w:szCs w:val="21"/>
                    </w:rPr>
                  </w:pPr>
                  <w:r>
                    <w:rPr>
                      <w:rFonts w:ascii="Times New Roman" w:hAnsi="Times New Roman" w:cs="Times New Roman"/>
                      <w:color w:val="auto"/>
                      <w:sz w:val="21"/>
                      <w:szCs w:val="21"/>
                    </w:rPr>
                    <w:t>建设地点</w:t>
                  </w:r>
                </w:p>
              </w:tc>
              <w:tc>
                <w:tcPr>
                  <w:tcW w:w="988" w:type="dxa"/>
                  <w:tcBorders>
                    <w:tl2br w:val="nil"/>
                    <w:tr2bl w:val="nil"/>
                  </w:tcBorders>
                  <w:vAlign w:val="center"/>
                </w:tcPr>
                <w:p>
                  <w:pPr>
                    <w:pStyle w:val="37"/>
                    <w:jc w:val="center"/>
                    <w:rPr>
                      <w:rFonts w:ascii="Times New Roman" w:hAnsi="Times New Roman" w:cs="Times New Roman"/>
                      <w:color w:val="auto"/>
                      <w:sz w:val="21"/>
                      <w:szCs w:val="21"/>
                    </w:rPr>
                  </w:pPr>
                  <w:r>
                    <w:rPr>
                      <w:rFonts w:ascii="Times New Roman" w:hAnsi="Times New Roman" w:cs="Times New Roman"/>
                      <w:color w:val="auto"/>
                      <w:sz w:val="21"/>
                      <w:szCs w:val="21"/>
                    </w:rPr>
                    <w:t>新疆</w:t>
                  </w:r>
                </w:p>
              </w:tc>
              <w:tc>
                <w:tcPr>
                  <w:tcW w:w="943" w:type="dxa"/>
                  <w:tcBorders>
                    <w:tl2br w:val="nil"/>
                    <w:tr2bl w:val="nil"/>
                  </w:tcBorders>
                  <w:vAlign w:val="center"/>
                </w:tcPr>
                <w:p>
                  <w:pPr>
                    <w:pStyle w:val="37"/>
                    <w:jc w:val="center"/>
                    <w:rPr>
                      <w:rFonts w:ascii="Times New Roman" w:hAnsi="Times New Roman" w:cs="Times New Roman"/>
                      <w:color w:val="auto"/>
                      <w:sz w:val="21"/>
                      <w:szCs w:val="21"/>
                    </w:rPr>
                  </w:pPr>
                  <w:r>
                    <w:rPr>
                      <w:rFonts w:ascii="Times New Roman" w:hAnsi="Times New Roman" w:cs="Times New Roman"/>
                      <w:color w:val="auto"/>
                      <w:sz w:val="21"/>
                      <w:szCs w:val="21"/>
                    </w:rPr>
                    <w:t>巴州</w:t>
                  </w:r>
                </w:p>
              </w:tc>
              <w:tc>
                <w:tcPr>
                  <w:tcW w:w="931" w:type="dxa"/>
                  <w:tcBorders>
                    <w:tl2br w:val="nil"/>
                    <w:tr2bl w:val="nil"/>
                  </w:tcBorders>
                  <w:vAlign w:val="center"/>
                </w:tcPr>
                <w:p>
                  <w:pPr>
                    <w:pStyle w:val="37"/>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尉犁</w:t>
                  </w:r>
                  <w:r>
                    <w:rPr>
                      <w:rFonts w:ascii="Times New Roman" w:hAnsi="Times New Roman" w:cs="Times New Roman"/>
                      <w:color w:val="auto"/>
                      <w:sz w:val="21"/>
                      <w:szCs w:val="21"/>
                    </w:rPr>
                    <w:t>县</w:t>
                  </w:r>
                </w:p>
              </w:tc>
              <w:tc>
                <w:tcPr>
                  <w:tcW w:w="3306" w:type="dxa"/>
                  <w:gridSpan w:val="2"/>
                  <w:tcBorders>
                    <w:tl2br w:val="nil"/>
                    <w:tr2bl w:val="nil"/>
                  </w:tcBorders>
                  <w:vAlign w:val="center"/>
                </w:tcPr>
                <w:p>
                  <w:pPr>
                    <w:pStyle w:val="37"/>
                    <w:jc w:val="center"/>
                    <w:rPr>
                      <w:rFonts w:ascii="Times New Roman" w:hAnsi="Times New Roman" w:cs="Times New Roman"/>
                      <w:color w:val="auto"/>
                      <w:sz w:val="21"/>
                      <w:szCs w:val="21"/>
                    </w:rPr>
                  </w:pPr>
                  <w:r>
                    <w:rPr>
                      <w:rFonts w:ascii="Times New Roman" w:hAnsi="Times New Roman" w:cs="Times New Roman"/>
                      <w:color w:val="auto"/>
                      <w:sz w:val="21"/>
                      <w:szCs w:val="21"/>
                    </w:rPr>
                    <w:t>尉犁县尉东园区以南0.8km处西侧</w:t>
                  </w:r>
                  <w:r>
                    <w:rPr>
                      <w:rFonts w:hint="eastAsia" w:ascii="Times New Roman" w:hAnsi="Times New Roman" w:cs="Times New Roman"/>
                      <w:color w:val="auto"/>
                      <w:sz w:val="21"/>
                      <w:szCs w:val="21"/>
                    </w:rPr>
                    <w:t xml:space="preserve">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611" w:type="dxa"/>
                  <w:tcBorders>
                    <w:tl2br w:val="nil"/>
                    <w:tr2bl w:val="nil"/>
                  </w:tcBorders>
                  <w:vAlign w:val="center"/>
                </w:tcPr>
                <w:p>
                  <w:pPr>
                    <w:pStyle w:val="37"/>
                    <w:jc w:val="center"/>
                    <w:rPr>
                      <w:rFonts w:ascii="Times New Roman" w:hAnsi="Times New Roman" w:cs="Times New Roman"/>
                      <w:color w:val="auto"/>
                      <w:sz w:val="21"/>
                      <w:szCs w:val="21"/>
                    </w:rPr>
                  </w:pPr>
                  <w:r>
                    <w:rPr>
                      <w:rFonts w:ascii="Times New Roman" w:hAnsi="Times New Roman" w:cs="Times New Roman"/>
                      <w:color w:val="auto"/>
                      <w:sz w:val="21"/>
                      <w:szCs w:val="21"/>
                    </w:rPr>
                    <w:t>地理坐标</w:t>
                  </w:r>
                </w:p>
              </w:tc>
              <w:tc>
                <w:tcPr>
                  <w:tcW w:w="988" w:type="dxa"/>
                  <w:tcBorders>
                    <w:tl2br w:val="nil"/>
                    <w:tr2bl w:val="nil"/>
                  </w:tcBorders>
                  <w:vAlign w:val="center"/>
                </w:tcPr>
                <w:p>
                  <w:pPr>
                    <w:pStyle w:val="37"/>
                    <w:jc w:val="center"/>
                    <w:rPr>
                      <w:rFonts w:ascii="Times New Roman" w:hAnsi="Times New Roman" w:cs="Times New Roman"/>
                      <w:color w:val="auto"/>
                      <w:sz w:val="21"/>
                      <w:szCs w:val="21"/>
                    </w:rPr>
                  </w:pPr>
                  <w:r>
                    <w:rPr>
                      <w:rFonts w:ascii="Times New Roman" w:hAnsi="Times New Roman" w:cs="Times New Roman"/>
                      <w:color w:val="auto"/>
                      <w:sz w:val="21"/>
                      <w:szCs w:val="21"/>
                    </w:rPr>
                    <w:t>经度</w:t>
                  </w:r>
                </w:p>
              </w:tc>
              <w:tc>
                <w:tcPr>
                  <w:tcW w:w="1874" w:type="dxa"/>
                  <w:gridSpan w:val="2"/>
                  <w:tcBorders>
                    <w:tl2br w:val="nil"/>
                    <w:tr2bl w:val="nil"/>
                  </w:tcBorders>
                  <w:vAlign w:val="center"/>
                </w:tcPr>
                <w:p>
                  <w:pPr>
                    <w:pStyle w:val="37"/>
                    <w:jc w:val="center"/>
                    <w:rPr>
                      <w:rFonts w:ascii="Times New Roman" w:hAnsi="Times New Roman" w:cs="Times New Roman"/>
                      <w:color w:val="auto"/>
                      <w:sz w:val="21"/>
                      <w:szCs w:val="21"/>
                    </w:rPr>
                  </w:pPr>
                  <w:r>
                    <w:rPr>
                      <w:rFonts w:ascii="Times New Roman" w:hAnsi="Times New Roman" w:cs="Times New Roman"/>
                      <w:color w:val="auto"/>
                      <w:sz w:val="21"/>
                      <w:szCs w:val="21"/>
                    </w:rPr>
                    <w:t>86度29分23.200秒</w:t>
                  </w:r>
                </w:p>
              </w:tc>
              <w:tc>
                <w:tcPr>
                  <w:tcW w:w="1089" w:type="dxa"/>
                  <w:tcBorders>
                    <w:tl2br w:val="nil"/>
                    <w:tr2bl w:val="nil"/>
                  </w:tcBorders>
                  <w:vAlign w:val="center"/>
                </w:tcPr>
                <w:p>
                  <w:pPr>
                    <w:pStyle w:val="37"/>
                    <w:jc w:val="center"/>
                    <w:rPr>
                      <w:rFonts w:ascii="Times New Roman" w:hAnsi="Times New Roman" w:cs="Times New Roman"/>
                      <w:color w:val="auto"/>
                      <w:sz w:val="21"/>
                      <w:szCs w:val="21"/>
                    </w:rPr>
                  </w:pPr>
                  <w:r>
                    <w:rPr>
                      <w:rFonts w:ascii="Times New Roman" w:hAnsi="Times New Roman" w:cs="Times New Roman"/>
                      <w:color w:val="auto"/>
                      <w:sz w:val="21"/>
                      <w:szCs w:val="21"/>
                    </w:rPr>
                    <w:t>纬度</w:t>
                  </w:r>
                </w:p>
              </w:tc>
              <w:tc>
                <w:tcPr>
                  <w:tcW w:w="2217" w:type="dxa"/>
                  <w:tcBorders>
                    <w:tl2br w:val="nil"/>
                    <w:tr2bl w:val="nil"/>
                  </w:tcBorders>
                  <w:vAlign w:val="center"/>
                </w:tcPr>
                <w:p>
                  <w:pPr>
                    <w:pStyle w:val="37"/>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41度17分25.727秒 </w:t>
                  </w:r>
                  <w:r>
                    <w:rPr>
                      <w:rFonts w:hint="eastAsia" w:ascii="Times New Roman" w:hAnsi="Times New Roman" w:cs="Times New Roman"/>
                      <w:color w:val="auto"/>
                      <w:sz w:val="21"/>
                      <w:szCs w:val="21"/>
                    </w:rPr>
                    <w:t xml:space="preserve">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649" w:hRule="atLeast"/>
                <w:jc w:val="center"/>
              </w:trPr>
              <w:tc>
                <w:tcPr>
                  <w:tcW w:w="1611" w:type="dxa"/>
                  <w:tcBorders>
                    <w:tl2br w:val="nil"/>
                    <w:tr2bl w:val="nil"/>
                  </w:tcBorders>
                  <w:vAlign w:val="center"/>
                </w:tcPr>
                <w:p>
                  <w:pPr>
                    <w:pStyle w:val="37"/>
                    <w:jc w:val="center"/>
                    <w:rPr>
                      <w:rFonts w:ascii="Times New Roman" w:hAnsi="Times New Roman" w:cs="Times New Roman"/>
                      <w:color w:val="auto"/>
                      <w:sz w:val="21"/>
                      <w:szCs w:val="21"/>
                    </w:rPr>
                  </w:pPr>
                  <w:r>
                    <w:rPr>
                      <w:rFonts w:ascii="Times New Roman" w:hAnsi="Times New Roman" w:cs="Times New Roman"/>
                      <w:color w:val="auto"/>
                      <w:sz w:val="21"/>
                      <w:szCs w:val="21"/>
                    </w:rPr>
                    <w:t>主要危险物质及分布</w:t>
                  </w:r>
                </w:p>
              </w:tc>
              <w:tc>
                <w:tcPr>
                  <w:tcW w:w="6168" w:type="dxa"/>
                  <w:gridSpan w:val="5"/>
                  <w:tcBorders>
                    <w:tl2br w:val="nil"/>
                    <w:tr2bl w:val="nil"/>
                  </w:tcBorders>
                  <w:vAlign w:val="center"/>
                </w:tcPr>
                <w:p>
                  <w:pPr>
                    <w:pStyle w:val="37"/>
                    <w:numPr>
                      <w:ilvl w:val="0"/>
                      <w:numId w:val="13"/>
                    </w:numPr>
                    <w:jc w:val="left"/>
                    <w:rPr>
                      <w:rFonts w:ascii="Times New Roman" w:hAnsi="Times New Roman" w:cs="Times New Roman"/>
                      <w:color w:val="auto"/>
                      <w:sz w:val="21"/>
                      <w:szCs w:val="21"/>
                    </w:rPr>
                  </w:pPr>
                  <w:r>
                    <w:rPr>
                      <w:rFonts w:ascii="Times New Roman" w:hAnsi="Times New Roman" w:cs="Times New Roman"/>
                      <w:color w:val="auto"/>
                      <w:sz w:val="21"/>
                      <w:szCs w:val="21"/>
                    </w:rPr>
                    <w:t>危险物质：</w:t>
                  </w:r>
                  <w:r>
                    <w:rPr>
                      <w:rFonts w:hint="eastAsia" w:ascii="Times New Roman" w:hAnsi="Times New Roman" w:cs="Times New Roman"/>
                      <w:color w:val="auto"/>
                      <w:sz w:val="21"/>
                      <w:szCs w:val="21"/>
                      <w:lang w:bidi="zh-CN"/>
                    </w:rPr>
                    <w:t>烟花爆竹</w:t>
                  </w:r>
                  <w:r>
                    <w:rPr>
                      <w:rFonts w:ascii="Times New Roman" w:hAnsi="Times New Roman" w:cs="Times New Roman"/>
                      <w:color w:val="auto"/>
                      <w:sz w:val="21"/>
                      <w:szCs w:val="21"/>
                    </w:rPr>
                    <w:t>。</w:t>
                  </w:r>
                </w:p>
                <w:p>
                  <w:pPr>
                    <w:pStyle w:val="37"/>
                    <w:numPr>
                      <w:ilvl w:val="0"/>
                      <w:numId w:val="13"/>
                    </w:numPr>
                    <w:jc w:val="left"/>
                    <w:rPr>
                      <w:rFonts w:ascii="Times New Roman" w:hAnsi="Times New Roman" w:cs="Times New Roman"/>
                      <w:color w:val="auto"/>
                      <w:sz w:val="21"/>
                      <w:szCs w:val="21"/>
                    </w:rPr>
                  </w:pPr>
                  <w:r>
                    <w:rPr>
                      <w:rFonts w:ascii="Times New Roman" w:hAnsi="Times New Roman" w:cs="Times New Roman"/>
                      <w:color w:val="auto"/>
                      <w:sz w:val="21"/>
                      <w:szCs w:val="21"/>
                    </w:rPr>
                    <w:t>分布：</w:t>
                  </w:r>
                  <w:r>
                    <w:rPr>
                      <w:rFonts w:hint="eastAsia" w:ascii="Times New Roman" w:hAnsi="Times New Roman" w:cs="Times New Roman"/>
                      <w:color w:val="auto"/>
                      <w:sz w:val="21"/>
                      <w:szCs w:val="21"/>
                    </w:rPr>
                    <w:t>1#、2#仓库</w:t>
                  </w:r>
                  <w:r>
                    <w:rPr>
                      <w:rFonts w:ascii="Times New Roman" w:hAnsi="Times New Roman" w:cs="Times New Roman"/>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287" w:hRule="atLeast"/>
                <w:jc w:val="center"/>
              </w:trPr>
              <w:tc>
                <w:tcPr>
                  <w:tcW w:w="1611" w:type="dxa"/>
                  <w:tcBorders>
                    <w:tl2br w:val="nil"/>
                    <w:tr2bl w:val="nil"/>
                  </w:tcBorders>
                  <w:vAlign w:val="center"/>
                </w:tcPr>
                <w:p>
                  <w:pPr>
                    <w:pStyle w:val="37"/>
                    <w:jc w:val="center"/>
                    <w:rPr>
                      <w:rFonts w:ascii="Times New Roman" w:hAnsi="Times New Roman" w:cs="Times New Roman"/>
                      <w:color w:val="auto"/>
                      <w:sz w:val="21"/>
                      <w:szCs w:val="21"/>
                    </w:rPr>
                  </w:pPr>
                  <w:r>
                    <w:rPr>
                      <w:rFonts w:ascii="Times New Roman" w:hAnsi="Times New Roman" w:cs="Times New Roman"/>
                      <w:color w:val="auto"/>
                      <w:sz w:val="21"/>
                      <w:szCs w:val="21"/>
                    </w:rPr>
                    <w:t>环境影响途径及危害后果（大气、地表水、地下水等）</w:t>
                  </w:r>
                </w:p>
              </w:tc>
              <w:tc>
                <w:tcPr>
                  <w:tcW w:w="6168" w:type="dxa"/>
                  <w:gridSpan w:val="5"/>
                  <w:tcBorders>
                    <w:tl2br w:val="nil"/>
                    <w:tr2bl w:val="nil"/>
                  </w:tcBorders>
                  <w:vAlign w:val="center"/>
                </w:tcPr>
                <w:p>
                  <w:pPr>
                    <w:widowControl/>
                    <w:jc w:val="left"/>
                    <w:rPr>
                      <w:color w:val="auto"/>
                      <w:szCs w:val="21"/>
                    </w:rPr>
                  </w:pPr>
                  <w:r>
                    <w:rPr>
                      <w:color w:val="auto"/>
                      <w:szCs w:val="21"/>
                    </w:rPr>
                    <w:t>（1）环境影响途径：</w:t>
                  </w:r>
                  <w:r>
                    <w:rPr>
                      <w:rFonts w:hint="eastAsia"/>
                      <w:color w:val="auto"/>
                      <w:szCs w:val="21"/>
                    </w:rPr>
                    <w:t>烟花爆竹</w:t>
                  </w:r>
                  <w:r>
                    <w:rPr>
                      <w:color w:val="auto"/>
                      <w:szCs w:val="21"/>
                    </w:rPr>
                    <w:t>遇火源、高温、摩擦、撞击、电火花等发生燃烧甚至爆炸，危害人身安全，</w:t>
                  </w:r>
                  <w:r>
                    <w:rPr>
                      <w:rFonts w:hint="eastAsia"/>
                      <w:color w:val="auto"/>
                      <w:szCs w:val="21"/>
                    </w:rPr>
                    <w:t>影响周边大气、地下水、土壤环境</w:t>
                  </w:r>
                  <w:r>
                    <w:rPr>
                      <w:color w:val="auto"/>
                      <w:szCs w:val="21"/>
                    </w:rPr>
                    <w:t>。</w:t>
                  </w:r>
                </w:p>
                <w:p>
                  <w:pPr>
                    <w:widowControl/>
                    <w:jc w:val="left"/>
                    <w:rPr>
                      <w:color w:val="auto"/>
                      <w:szCs w:val="21"/>
                    </w:rPr>
                  </w:pPr>
                  <w:r>
                    <w:rPr>
                      <w:color w:val="auto"/>
                      <w:szCs w:val="21"/>
                    </w:rPr>
                    <w:t>（2）环境危害后果：</w:t>
                  </w:r>
                  <w:r>
                    <w:rPr>
                      <w:rFonts w:hint="eastAsia"/>
                      <w:color w:val="auto"/>
                      <w:szCs w:val="21"/>
                    </w:rPr>
                    <w:t>烟花爆竹</w:t>
                  </w:r>
                  <w:r>
                    <w:rPr>
                      <w:color w:val="auto"/>
                      <w:szCs w:val="21"/>
                    </w:rPr>
                    <w:t>爆炸燃烧时会产生二氧化硫、一氧化氮、二氧化氮等气体</w:t>
                  </w:r>
                  <w:r>
                    <w:rPr>
                      <w:rFonts w:hint="eastAsia"/>
                      <w:color w:val="auto"/>
                      <w:szCs w:val="21"/>
                    </w:rPr>
                    <w:t>，污染周边大气环境；</w:t>
                  </w:r>
                  <w:r>
                    <w:rPr>
                      <w:color w:val="auto"/>
                      <w:szCs w:val="21"/>
                    </w:rPr>
                    <w:t>烟花爆竹中的硝酸盐、砷等有害物质，会随爆炸残留物沉降在仓库周边土壤中。硝酸盐具有腐蚀性，会破坏土壤的酸碱平衡</w:t>
                  </w:r>
                  <w:r>
                    <w:rPr>
                      <w:rFonts w:hint="eastAsia"/>
                      <w:color w:val="auto"/>
                      <w:szCs w:val="21"/>
                    </w:rPr>
                    <w:t>；</w:t>
                  </w:r>
                  <w:r>
                    <w:rPr>
                      <w:color w:val="auto"/>
                      <w:szCs w:val="21"/>
                    </w:rPr>
                    <w:t>爆炸后的残留物会在雨水冲刷下，渗入地下</w:t>
                  </w:r>
                  <w:r>
                    <w:rPr>
                      <w:rFonts w:hint="eastAsia"/>
                      <w:color w:val="auto"/>
                      <w:szCs w:val="21"/>
                    </w:rPr>
                    <w:t>水，污染周边地下水环境。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611" w:type="dxa"/>
                  <w:tcBorders>
                    <w:tl2br w:val="nil"/>
                    <w:tr2bl w:val="nil"/>
                  </w:tcBorders>
                  <w:vAlign w:val="center"/>
                </w:tcPr>
                <w:p>
                  <w:pPr>
                    <w:pStyle w:val="37"/>
                    <w:jc w:val="center"/>
                    <w:rPr>
                      <w:rFonts w:ascii="Times New Roman" w:hAnsi="Times New Roman" w:cs="Times New Roman"/>
                      <w:color w:val="auto"/>
                      <w:sz w:val="21"/>
                      <w:szCs w:val="21"/>
                    </w:rPr>
                  </w:pPr>
                  <w:r>
                    <w:rPr>
                      <w:rFonts w:ascii="Times New Roman" w:hAnsi="Times New Roman" w:cs="Times New Roman"/>
                      <w:color w:val="auto"/>
                      <w:sz w:val="21"/>
                      <w:szCs w:val="21"/>
                    </w:rPr>
                    <w:t>环境风险防范措施要求</w:t>
                  </w:r>
                </w:p>
              </w:tc>
              <w:tc>
                <w:tcPr>
                  <w:tcW w:w="6168" w:type="dxa"/>
                  <w:gridSpan w:val="5"/>
                  <w:tcBorders>
                    <w:tl2br w:val="nil"/>
                    <w:tr2bl w:val="nil"/>
                  </w:tcBorders>
                  <w:vAlign w:val="center"/>
                </w:tcPr>
                <w:p>
                  <w:pPr>
                    <w:widowControl/>
                    <w:jc w:val="left"/>
                    <w:rPr>
                      <w:color w:val="auto"/>
                      <w:szCs w:val="21"/>
                    </w:rPr>
                  </w:pPr>
                  <w:r>
                    <w:rPr>
                      <w:rFonts w:hint="eastAsia"/>
                      <w:color w:val="auto"/>
                      <w:szCs w:val="21"/>
                    </w:rPr>
                    <w:t>（1）配备应急物资库，储备足量的应急吸附材料、防护用品（防毒面具、防化服、手套等）及应急运输车辆，确保应急物资完好可用。</w:t>
                  </w:r>
                </w:p>
                <w:p>
                  <w:pPr>
                    <w:widowControl/>
                    <w:jc w:val="left"/>
                    <w:rPr>
                      <w:color w:val="auto"/>
                      <w:szCs w:val="21"/>
                    </w:rPr>
                  </w:pPr>
                  <w:r>
                    <w:rPr>
                      <w:rFonts w:hint="eastAsia"/>
                      <w:color w:val="auto"/>
                      <w:szCs w:val="21"/>
                    </w:rPr>
                    <w:t>（2）</w:t>
                  </w:r>
                  <w:r>
                    <w:rPr>
                      <w:color w:val="auto"/>
                      <w:szCs w:val="21"/>
                    </w:rPr>
                    <w:t>若发生爆炸事故，立即启动应急预案，组织人员疏散，切断电源、火源，防止次生火灾；爆炸产生的残留物、消防废水需全部收集至</w:t>
                  </w:r>
                  <w:r>
                    <w:rPr>
                      <w:rFonts w:hint="eastAsia"/>
                      <w:color w:val="auto"/>
                      <w:szCs w:val="21"/>
                    </w:rPr>
                    <w:t>消防水池中</w:t>
                  </w:r>
                  <w:r>
                    <w:rPr>
                      <w:color w:val="auto"/>
                      <w:szCs w:val="21"/>
                    </w:rPr>
                    <w:t>，严禁流入周边土壤或水体</w:t>
                  </w:r>
                  <w:r>
                    <w:rPr>
                      <w:rFonts w:hint="eastAsia"/>
                      <w:color w:val="auto"/>
                      <w:szCs w:val="21"/>
                    </w:rPr>
                    <w:t>。</w:t>
                  </w:r>
                </w:p>
                <w:p>
                  <w:pPr>
                    <w:widowControl/>
                    <w:jc w:val="left"/>
                    <w:rPr>
                      <w:color w:val="auto"/>
                    </w:rPr>
                  </w:pPr>
                  <w:r>
                    <w:rPr>
                      <w:rFonts w:hint="eastAsia"/>
                      <w:color w:val="auto"/>
                      <w:szCs w:val="21"/>
                    </w:rPr>
                    <w:t>（3）</w:t>
                  </w:r>
                  <w:r>
                    <w:rPr>
                      <w:color w:val="auto"/>
                      <w:szCs w:val="21"/>
                    </w:rPr>
                    <w:t>编制</w:t>
                  </w:r>
                  <w:r>
                    <w:rPr>
                      <w:rFonts w:hint="eastAsia"/>
                      <w:color w:val="auto"/>
                      <w:szCs w:val="21"/>
                    </w:rPr>
                    <w:t>企业</w:t>
                  </w:r>
                  <w:r>
                    <w:rPr>
                      <w:color w:val="auto"/>
                      <w:szCs w:val="21"/>
                    </w:rPr>
                    <w:t>突发环境事件应急预案，明确爆炸、泄漏、火灾等突发环境事件的应急响应流程、处置措施、责任分工，报当地生态环境局、应急管理局备案，并定期（每半年至少 1 次）组织应急演练，演练内容包括泄漏收集、火灾扑救、</w:t>
                  </w:r>
                  <w:r>
                    <w:rPr>
                      <w:rFonts w:hint="eastAsia"/>
                      <w:color w:val="auto"/>
                      <w:szCs w:val="21"/>
                    </w:rPr>
                    <w:t>消防</w:t>
                  </w:r>
                  <w:r>
                    <w:rPr>
                      <w:color w:val="auto"/>
                      <w:szCs w:val="21"/>
                    </w:rPr>
                    <w:t>废水处理、污染物监测等。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1611" w:type="dxa"/>
                  <w:tcBorders>
                    <w:tl2br w:val="nil"/>
                    <w:tr2bl w:val="nil"/>
                  </w:tcBorders>
                  <w:vAlign w:val="center"/>
                </w:tcPr>
                <w:p>
                  <w:pPr>
                    <w:pStyle w:val="37"/>
                    <w:jc w:val="center"/>
                    <w:rPr>
                      <w:rFonts w:ascii="Times New Roman" w:hAnsi="Times New Roman" w:cs="Times New Roman"/>
                      <w:color w:val="auto"/>
                      <w:sz w:val="21"/>
                      <w:szCs w:val="21"/>
                    </w:rPr>
                  </w:pPr>
                  <w:r>
                    <w:rPr>
                      <w:rFonts w:ascii="Times New Roman" w:hAnsi="Times New Roman" w:cs="Times New Roman"/>
                      <w:color w:val="auto"/>
                      <w:sz w:val="21"/>
                      <w:szCs w:val="21"/>
                    </w:rPr>
                    <w:t>填表说明（列出项目相关信息及评价说明）</w:t>
                  </w:r>
                </w:p>
              </w:tc>
              <w:tc>
                <w:tcPr>
                  <w:tcW w:w="6168" w:type="dxa"/>
                  <w:gridSpan w:val="5"/>
                  <w:tcBorders>
                    <w:tl2br w:val="nil"/>
                    <w:tr2bl w:val="nil"/>
                  </w:tcBorders>
                  <w:vAlign w:val="center"/>
                </w:tcPr>
                <w:p>
                  <w:pPr>
                    <w:pStyle w:val="37"/>
                    <w:ind w:firstLine="420" w:firstLineChars="200"/>
                    <w:jc w:val="left"/>
                    <w:rPr>
                      <w:rFonts w:ascii="Times New Roman" w:hAnsi="Times New Roman" w:cs="Times New Roman"/>
                      <w:color w:val="auto"/>
                      <w:sz w:val="21"/>
                      <w:szCs w:val="21"/>
                    </w:rPr>
                  </w:pPr>
                  <w:r>
                    <w:rPr>
                      <w:rFonts w:ascii="Times New Roman" w:hAnsi="Times New Roman" w:cs="Times New Roman"/>
                      <w:color w:val="auto"/>
                      <w:sz w:val="21"/>
                      <w:szCs w:val="21"/>
                    </w:rPr>
                    <w:t>本项目Q&lt;1，环境风险评价工作等级为简单分析。在严格采取各项风险防范应急措施的情况下，可最大限度地降低环境风险，一旦意外事件发生，环境风险可达到控制，也能最大限度地减少环境污染危害，风险影响程度可接受。</w:t>
                  </w:r>
                </w:p>
              </w:tc>
            </w:tr>
          </w:tbl>
          <w:p>
            <w:pPr>
              <w:widowControl/>
              <w:spacing w:line="360" w:lineRule="auto"/>
              <w:ind w:firstLine="482" w:firstLineChars="200"/>
              <w:jc w:val="left"/>
              <w:rPr>
                <w:color w:val="auto"/>
              </w:rPr>
            </w:pPr>
            <w:r>
              <w:rPr>
                <w:rFonts w:eastAsia="TimesNewRomanPS-BoldMT"/>
                <w:b/>
                <w:bCs/>
                <w:color w:val="auto"/>
                <w:kern w:val="0"/>
                <w:sz w:val="24"/>
                <w:lang w:bidi="ar"/>
              </w:rPr>
              <w:t>七、</w:t>
            </w:r>
            <w:r>
              <w:rPr>
                <w:b/>
                <w:bCs/>
                <w:color w:val="auto"/>
                <w:kern w:val="0"/>
                <w:sz w:val="24"/>
                <w:lang w:bidi="ar"/>
              </w:rPr>
              <w:t>烟花运输过程的环保要求</w:t>
            </w:r>
          </w:p>
          <w:p>
            <w:pPr>
              <w:widowControl/>
              <w:spacing w:line="360" w:lineRule="auto"/>
              <w:ind w:firstLine="480" w:firstLineChars="200"/>
              <w:jc w:val="left"/>
              <w:rPr>
                <w:color w:val="auto"/>
              </w:rPr>
            </w:pPr>
            <w:r>
              <w:rPr>
                <w:color w:val="auto"/>
                <w:kern w:val="0"/>
                <w:sz w:val="24"/>
                <w:lang w:bidi="ar"/>
              </w:rPr>
              <w:t>由于烟花爆竹运输较其他货物的运输有更大的危险性，因此在运输过程中应小心谨慎，确保安全。为此注意以下几个问题：</w:t>
            </w:r>
          </w:p>
          <w:p>
            <w:pPr>
              <w:widowControl/>
              <w:spacing w:line="360" w:lineRule="auto"/>
              <w:ind w:firstLine="480" w:firstLineChars="200"/>
              <w:jc w:val="left"/>
              <w:rPr>
                <w:color w:val="auto"/>
              </w:rPr>
            </w:pPr>
            <w:r>
              <w:rPr>
                <w:rFonts w:eastAsia="Cambria Math"/>
                <w:color w:val="auto"/>
                <w:kern w:val="0"/>
                <w:sz w:val="24"/>
                <w:lang w:bidi="ar"/>
              </w:rPr>
              <w:t>①</w:t>
            </w:r>
            <w:r>
              <w:rPr>
                <w:color w:val="auto"/>
                <w:kern w:val="0"/>
                <w:sz w:val="24"/>
                <w:lang w:bidi="ar"/>
              </w:rPr>
              <w:t>烟花爆竹运输车辆应采用带有防火罩的汽车运输，运输道路的主干道纵坡不宜大于6%，车辆在1.1、1.3级建筑物门前装卸作业时，宜在2.5m以外处进行。</w:t>
            </w:r>
          </w:p>
          <w:p>
            <w:pPr>
              <w:widowControl/>
              <w:spacing w:line="360" w:lineRule="auto"/>
              <w:ind w:firstLine="480" w:firstLineChars="200"/>
              <w:jc w:val="left"/>
              <w:rPr>
                <w:color w:val="auto"/>
              </w:rPr>
            </w:pPr>
            <w:r>
              <w:rPr>
                <w:rFonts w:eastAsia="Cambria Math"/>
                <w:color w:val="auto"/>
                <w:kern w:val="0"/>
                <w:sz w:val="24"/>
                <w:lang w:bidi="ar"/>
              </w:rPr>
              <w:t>②</w:t>
            </w:r>
            <w:r>
              <w:rPr>
                <w:color w:val="auto"/>
                <w:kern w:val="0"/>
                <w:sz w:val="24"/>
                <w:lang w:bidi="ar"/>
              </w:rPr>
              <w:t>物品装运应做到定车、定人。定车就是要把装运的车辆相对固定，专车专用。担负长途运输烟花爆竹等的汽车，途中不得停车住宿，如果途中因气候恶劣、运输工具严重故障等原因不能按《爆炸物品运输证》准许时间内到达目的地时，必须在准运时间内途中向所在地（市、区）公安报告，由公安机关指定临时停靠站或暂存库，并凭《爆炸物品运输证》到当地公安机关签到延期证明。</w:t>
            </w:r>
          </w:p>
          <w:p>
            <w:pPr>
              <w:widowControl/>
              <w:spacing w:line="360" w:lineRule="auto"/>
              <w:ind w:firstLine="480" w:firstLineChars="200"/>
              <w:jc w:val="left"/>
              <w:rPr>
                <w:color w:val="auto"/>
              </w:rPr>
            </w:pPr>
            <w:r>
              <w:rPr>
                <w:rFonts w:eastAsia="Cambria Math"/>
                <w:color w:val="auto"/>
                <w:kern w:val="0"/>
                <w:sz w:val="24"/>
                <w:lang w:bidi="ar"/>
              </w:rPr>
              <w:t>③</w:t>
            </w:r>
            <w:r>
              <w:rPr>
                <w:color w:val="auto"/>
                <w:kern w:val="0"/>
                <w:sz w:val="24"/>
                <w:lang w:bidi="ar"/>
              </w:rPr>
              <w:t>要选择气候较好的时间运输烟花爆竹，以防遇险；如中途遇暴风雨或雷电时，要将车辆停在远离建筑物的空旷地方。</w:t>
            </w:r>
          </w:p>
          <w:p>
            <w:pPr>
              <w:widowControl/>
              <w:spacing w:line="360" w:lineRule="auto"/>
              <w:ind w:firstLine="480" w:firstLineChars="200"/>
              <w:jc w:val="left"/>
              <w:rPr>
                <w:color w:val="auto"/>
              </w:rPr>
            </w:pPr>
            <w:r>
              <w:rPr>
                <w:color w:val="auto"/>
                <w:kern w:val="0"/>
                <w:sz w:val="24"/>
                <w:lang w:bidi="ar"/>
              </w:rPr>
              <w:t>④在烟花爆竹运输过程中，一旦发生意外，在采取应急处理的同时，迅速报告公安机关和环保等有关部门，疏散群众，防止事态进一步扩大，并积极协助前来救助的公安交通和消防人员抢救伤者和物资，使损失降低到最小范围。</w:t>
            </w:r>
          </w:p>
          <w:p>
            <w:pPr>
              <w:widowControl/>
              <w:spacing w:line="360" w:lineRule="auto"/>
              <w:ind w:firstLine="480" w:firstLineChars="200"/>
              <w:jc w:val="left"/>
              <w:rPr>
                <w:color w:val="auto"/>
              </w:rPr>
            </w:pPr>
            <w:r>
              <w:rPr>
                <w:color w:val="auto"/>
                <w:kern w:val="0"/>
                <w:sz w:val="24"/>
                <w:lang w:bidi="ar"/>
              </w:rPr>
              <w:t>⑤此外，为保证运输的安全，应注意以下事项：</w:t>
            </w:r>
          </w:p>
          <w:p>
            <w:pPr>
              <w:widowControl/>
              <w:spacing w:line="360" w:lineRule="auto"/>
              <w:ind w:firstLine="480" w:firstLineChars="200"/>
              <w:jc w:val="left"/>
              <w:rPr>
                <w:color w:val="auto"/>
              </w:rPr>
            </w:pPr>
            <w:r>
              <w:rPr>
                <w:color w:val="auto"/>
                <w:kern w:val="0"/>
                <w:sz w:val="24"/>
                <w:lang w:bidi="ar"/>
              </w:rPr>
              <w:t>A.驾驶：由熟悉危险化学品性质，具有三年以上安全驾驶经验的司机驾驶。</w:t>
            </w:r>
          </w:p>
          <w:p>
            <w:pPr>
              <w:widowControl/>
              <w:spacing w:line="360" w:lineRule="auto"/>
              <w:ind w:firstLine="480" w:firstLineChars="200"/>
              <w:jc w:val="left"/>
              <w:rPr>
                <w:color w:val="auto"/>
              </w:rPr>
            </w:pPr>
            <w:r>
              <w:rPr>
                <w:color w:val="auto"/>
                <w:kern w:val="0"/>
                <w:sz w:val="24"/>
                <w:lang w:bidi="ar"/>
              </w:rPr>
              <w:t>B.车身：必须符合装载危险化学品的各项要求，被装运的烟花爆竹必须在其外包装的明显部位按《危险货物包装标志》（GB190-2009）规定的危险物品标志，包装标志要粘牢固、正确，以便一旦发生问题，可以进行多种防护。出车前要对车辆各系统进行检查，严禁带故障出车，车上要有危险标志，配备灭火器、报警设备，修车工具要齐全，尾气管防火帽。</w:t>
            </w:r>
          </w:p>
          <w:p>
            <w:pPr>
              <w:widowControl/>
              <w:spacing w:line="360" w:lineRule="auto"/>
              <w:ind w:firstLine="480" w:firstLineChars="200"/>
              <w:jc w:val="left"/>
              <w:rPr>
                <w:color w:val="auto"/>
              </w:rPr>
            </w:pPr>
            <w:r>
              <w:rPr>
                <w:color w:val="auto"/>
                <w:kern w:val="0"/>
                <w:sz w:val="24"/>
                <w:lang w:bidi="ar"/>
              </w:rPr>
              <w:t>C.装载：装载烟花爆竹不得超过车辆装载量，不得超过装载规定高度或侧放，装载完应关闭后车门并上锁。</w:t>
            </w:r>
          </w:p>
          <w:p>
            <w:pPr>
              <w:widowControl/>
              <w:spacing w:line="360" w:lineRule="auto"/>
              <w:ind w:firstLine="480" w:firstLineChars="200"/>
              <w:jc w:val="left"/>
              <w:rPr>
                <w:color w:val="auto"/>
              </w:rPr>
            </w:pPr>
            <w:r>
              <w:rPr>
                <w:color w:val="auto"/>
                <w:kern w:val="0"/>
                <w:sz w:val="24"/>
                <w:lang w:bidi="ar"/>
              </w:rPr>
              <w:t>D.时速与车距：烟花爆竹采购进货由厂方承运，厂区自备配送车，为市内用户单位配送运输服务。白天行车时速不应超过40km；雷雨、夜间或雾天时尽量不出车，如必须出车，速度不得超过20km，并要开灯行驶。运输过程与前车车距不应小于50m，上下坡时不应小于300m。尤其在乡镇道路路况较差情况下，更应注意时速和车距。</w:t>
            </w:r>
          </w:p>
          <w:p>
            <w:pPr>
              <w:widowControl/>
              <w:spacing w:line="360" w:lineRule="auto"/>
              <w:ind w:firstLine="480" w:firstLineChars="200"/>
              <w:jc w:val="left"/>
              <w:rPr>
                <w:bCs/>
                <w:color w:val="auto"/>
                <w:kern w:val="0"/>
                <w:sz w:val="24"/>
              </w:rPr>
            </w:pPr>
            <w:r>
              <w:rPr>
                <w:color w:val="auto"/>
                <w:kern w:val="0"/>
                <w:sz w:val="24"/>
                <w:lang w:bidi="ar"/>
              </w:rPr>
              <w:t>E.行车：行车过程中不准在车上开启烟花爆竹，也不准进入加油站加油，驾驶室内严禁吸烟。在雪冻道路上行驶时，必须采取防滑措施，加挂防滑链，夜间行车，车辆前后要打开有标志危险的信号灯。</w:t>
            </w:r>
          </w:p>
          <w:p>
            <w:pPr>
              <w:pStyle w:val="4"/>
              <w:ind w:firstLine="482"/>
              <w:rPr>
                <w:rFonts w:cs="Times New Roman"/>
                <w:color w:val="auto"/>
                <w:sz w:val="24"/>
                <w:szCs w:val="24"/>
              </w:rPr>
            </w:pPr>
            <w:r>
              <w:rPr>
                <w:rFonts w:cs="Times New Roman"/>
                <w:color w:val="auto"/>
                <w:sz w:val="24"/>
                <w:szCs w:val="24"/>
              </w:rPr>
              <w:t>八、排污许可</w:t>
            </w:r>
          </w:p>
          <w:p>
            <w:pPr>
              <w:spacing w:line="520" w:lineRule="exact"/>
              <w:ind w:firstLine="480" w:firstLineChars="200"/>
              <w:rPr>
                <w:bCs/>
                <w:color w:val="auto"/>
                <w:kern w:val="0"/>
                <w:sz w:val="24"/>
              </w:rPr>
            </w:pPr>
            <w:r>
              <w:rPr>
                <w:bCs/>
                <w:color w:val="auto"/>
                <w:kern w:val="0"/>
                <w:sz w:val="24"/>
              </w:rPr>
              <w:t>（1）根据《固定污染源排污许可分类管理名录（2019年版）》，本项目属于根据《固定污染源排污许可分类管理名录》（2019年版），本项目属于“四十四、装卸搬运和仓储业102、危险品仓储其他危险品仓储”类，应执行排污登记管理。建设单位应在项目建成后、发生实际排污行为之前，按照国家环境保护相关法律法规以及排污许可证登记要求申报排污许可登记。</w:t>
            </w:r>
          </w:p>
          <w:p>
            <w:pPr>
              <w:spacing w:line="520" w:lineRule="exact"/>
              <w:ind w:firstLine="480" w:firstLineChars="200"/>
              <w:rPr>
                <w:bCs/>
                <w:color w:val="auto"/>
                <w:kern w:val="0"/>
                <w:sz w:val="24"/>
              </w:rPr>
            </w:pPr>
            <w:r>
              <w:rPr>
                <w:bCs/>
                <w:color w:val="auto"/>
                <w:kern w:val="0"/>
                <w:sz w:val="24"/>
              </w:rPr>
              <w:t>（2）本项目厂区内各排污口按照环境管理要求，必须进行规范化建设，按照《环境保护图形标志—排放口（源）》（GB15562.1-1995）及《环境保护图形标志—固体废物贮存（处置）场》（GB15562.2-1995）及修改单中相关要求执行，以利于企业管理和公众监督。规范排污口的有关设置（如图形标牌、计量装置等）均属于环保设施，排污单位必须负责日常的维护保养，任何单位和个人不得擅自拆除，如需要变更的须报环境国家监察委员会部门同意并变更手续。按要求设置规范化排污口。</w:t>
            </w:r>
          </w:p>
          <w:p>
            <w:pPr>
              <w:pStyle w:val="52"/>
              <w:rPr>
                <w:color w:val="auto"/>
              </w:rPr>
            </w:pPr>
            <w:r>
              <w:rPr>
                <w:color w:val="auto"/>
              </w:rPr>
              <w:t>表4-</w:t>
            </w:r>
            <w:r>
              <w:rPr>
                <w:rFonts w:hint="eastAsia"/>
                <w:color w:val="auto"/>
              </w:rPr>
              <w:t>11</w:t>
            </w:r>
            <w:r>
              <w:rPr>
                <w:color w:val="auto"/>
              </w:rPr>
              <w:t>规范化排污口一览表</w:t>
            </w:r>
          </w:p>
          <w:tbl>
            <w:tblPr>
              <w:tblStyle w:val="26"/>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740"/>
              <w:gridCol w:w="2188"/>
              <w:gridCol w:w="2388"/>
              <w:gridCol w:w="1177"/>
              <w:gridCol w:w="145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66" w:type="pct"/>
                  <w:tcBorders>
                    <w:tl2br w:val="nil"/>
                    <w:tr2bl w:val="nil"/>
                  </w:tcBorders>
                  <w:vAlign w:val="center"/>
                </w:tcPr>
                <w:p>
                  <w:pPr>
                    <w:pStyle w:val="41"/>
                    <w:rPr>
                      <w:color w:val="auto"/>
                    </w:rPr>
                  </w:pPr>
                  <w:r>
                    <w:rPr>
                      <w:color w:val="auto"/>
                    </w:rPr>
                    <w:t>序号</w:t>
                  </w:r>
                </w:p>
              </w:tc>
              <w:tc>
                <w:tcPr>
                  <w:tcW w:w="1377" w:type="pct"/>
                  <w:tcBorders>
                    <w:tl2br w:val="nil"/>
                    <w:tr2bl w:val="nil"/>
                  </w:tcBorders>
                  <w:vAlign w:val="center"/>
                </w:tcPr>
                <w:p>
                  <w:pPr>
                    <w:pStyle w:val="41"/>
                    <w:rPr>
                      <w:color w:val="auto"/>
                    </w:rPr>
                  </w:pPr>
                  <w:r>
                    <w:rPr>
                      <w:color w:val="auto"/>
                    </w:rPr>
                    <w:t>提示图形符号</w:t>
                  </w:r>
                </w:p>
              </w:tc>
              <w:tc>
                <w:tcPr>
                  <w:tcW w:w="1503" w:type="pct"/>
                  <w:tcBorders>
                    <w:tl2br w:val="nil"/>
                    <w:tr2bl w:val="nil"/>
                  </w:tcBorders>
                  <w:vAlign w:val="center"/>
                </w:tcPr>
                <w:p>
                  <w:pPr>
                    <w:pStyle w:val="41"/>
                    <w:rPr>
                      <w:color w:val="auto"/>
                    </w:rPr>
                  </w:pPr>
                  <w:r>
                    <w:rPr>
                      <w:color w:val="auto"/>
                    </w:rPr>
                    <w:t>警告图形符号</w:t>
                  </w:r>
                </w:p>
              </w:tc>
              <w:tc>
                <w:tcPr>
                  <w:tcW w:w="741" w:type="pct"/>
                  <w:tcBorders>
                    <w:tl2br w:val="nil"/>
                    <w:tr2bl w:val="nil"/>
                  </w:tcBorders>
                  <w:vAlign w:val="center"/>
                </w:tcPr>
                <w:p>
                  <w:pPr>
                    <w:pStyle w:val="41"/>
                    <w:rPr>
                      <w:color w:val="auto"/>
                    </w:rPr>
                  </w:pPr>
                  <w:r>
                    <w:rPr>
                      <w:color w:val="auto"/>
                    </w:rPr>
                    <w:t>名称</w:t>
                  </w:r>
                </w:p>
              </w:tc>
              <w:tc>
                <w:tcPr>
                  <w:tcW w:w="913" w:type="pct"/>
                  <w:tcBorders>
                    <w:tl2br w:val="nil"/>
                    <w:tr2bl w:val="nil"/>
                  </w:tcBorders>
                  <w:vAlign w:val="center"/>
                </w:tcPr>
                <w:p>
                  <w:pPr>
                    <w:pStyle w:val="41"/>
                    <w:rPr>
                      <w:color w:val="auto"/>
                    </w:rPr>
                  </w:pPr>
                  <w:r>
                    <w:rPr>
                      <w:color w:val="auto"/>
                    </w:rPr>
                    <w:t>功能</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315" w:hRule="atLeast"/>
                <w:jc w:val="center"/>
              </w:trPr>
              <w:tc>
                <w:tcPr>
                  <w:tcW w:w="466" w:type="pct"/>
                  <w:tcBorders>
                    <w:tl2br w:val="nil"/>
                    <w:tr2bl w:val="nil"/>
                  </w:tcBorders>
                  <w:vAlign w:val="center"/>
                </w:tcPr>
                <w:p>
                  <w:pPr>
                    <w:pStyle w:val="41"/>
                    <w:rPr>
                      <w:color w:val="auto"/>
                    </w:rPr>
                  </w:pPr>
                  <w:r>
                    <w:rPr>
                      <w:color w:val="auto"/>
                    </w:rPr>
                    <w:t>1</w:t>
                  </w:r>
                </w:p>
              </w:tc>
              <w:tc>
                <w:tcPr>
                  <w:tcW w:w="1377" w:type="pct"/>
                  <w:tcBorders>
                    <w:tl2br w:val="nil"/>
                    <w:tr2bl w:val="nil"/>
                  </w:tcBorders>
                  <w:vAlign w:val="center"/>
                </w:tcPr>
                <w:p>
                  <w:pPr>
                    <w:pStyle w:val="41"/>
                    <w:rPr>
                      <w:color w:val="auto"/>
                    </w:rPr>
                  </w:pPr>
                  <w:r>
                    <w:rPr>
                      <w:color w:val="auto"/>
                    </w:rPr>
                    <w:drawing>
                      <wp:inline distT="0" distB="0" distL="114300" distR="114300">
                        <wp:extent cx="984250" cy="816610"/>
                        <wp:effectExtent l="0" t="0" r="635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rcRect l="11530" r="6111"/>
                                <a:stretch>
                                  <a:fillRect/>
                                </a:stretch>
                              </pic:blipFill>
                              <pic:spPr>
                                <a:xfrm>
                                  <a:off x="0" y="0"/>
                                  <a:ext cx="984250" cy="816610"/>
                                </a:xfrm>
                                <a:prstGeom prst="rect">
                                  <a:avLst/>
                                </a:prstGeom>
                                <a:noFill/>
                                <a:ln>
                                  <a:noFill/>
                                </a:ln>
                              </pic:spPr>
                            </pic:pic>
                          </a:graphicData>
                        </a:graphic>
                      </wp:inline>
                    </w:drawing>
                  </w:r>
                </w:p>
              </w:tc>
              <w:tc>
                <w:tcPr>
                  <w:tcW w:w="1503" w:type="pct"/>
                  <w:tcBorders>
                    <w:tl2br w:val="nil"/>
                    <w:tr2bl w:val="nil"/>
                  </w:tcBorders>
                  <w:vAlign w:val="center"/>
                </w:tcPr>
                <w:p>
                  <w:pPr>
                    <w:pStyle w:val="41"/>
                    <w:rPr>
                      <w:color w:val="auto"/>
                    </w:rPr>
                  </w:pPr>
                  <w:r>
                    <w:rPr>
                      <w:color w:val="auto"/>
                    </w:rPr>
                    <w:drawing>
                      <wp:inline distT="0" distB="0" distL="114300" distR="114300">
                        <wp:extent cx="984250" cy="816610"/>
                        <wp:effectExtent l="0" t="0" r="6350" b="25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4"/>
                                <a:srcRect l="11530" r="6111"/>
                                <a:stretch>
                                  <a:fillRect/>
                                </a:stretch>
                              </pic:blipFill>
                              <pic:spPr>
                                <a:xfrm>
                                  <a:off x="0" y="0"/>
                                  <a:ext cx="984250" cy="816610"/>
                                </a:xfrm>
                                <a:prstGeom prst="rect">
                                  <a:avLst/>
                                </a:prstGeom>
                                <a:noFill/>
                                <a:ln>
                                  <a:noFill/>
                                </a:ln>
                              </pic:spPr>
                            </pic:pic>
                          </a:graphicData>
                        </a:graphic>
                      </wp:inline>
                    </w:drawing>
                  </w:r>
                </w:p>
              </w:tc>
              <w:tc>
                <w:tcPr>
                  <w:tcW w:w="741" w:type="pct"/>
                  <w:tcBorders>
                    <w:tl2br w:val="nil"/>
                    <w:tr2bl w:val="nil"/>
                  </w:tcBorders>
                  <w:vAlign w:val="center"/>
                </w:tcPr>
                <w:p>
                  <w:pPr>
                    <w:pStyle w:val="41"/>
                    <w:rPr>
                      <w:color w:val="auto"/>
                    </w:rPr>
                  </w:pPr>
                  <w:r>
                    <w:rPr>
                      <w:color w:val="auto"/>
                    </w:rPr>
                    <w:t>危险贮存点</w:t>
                  </w:r>
                </w:p>
              </w:tc>
              <w:tc>
                <w:tcPr>
                  <w:tcW w:w="913" w:type="pct"/>
                  <w:tcBorders>
                    <w:tl2br w:val="nil"/>
                    <w:tr2bl w:val="nil"/>
                  </w:tcBorders>
                  <w:vAlign w:val="center"/>
                </w:tcPr>
                <w:p>
                  <w:pPr>
                    <w:pStyle w:val="41"/>
                    <w:rPr>
                      <w:color w:val="auto"/>
                    </w:rPr>
                  </w:pPr>
                  <w:r>
                    <w:rPr>
                      <w:color w:val="auto"/>
                    </w:rPr>
                    <w:t>表示危险废物贮存、处置场</w:t>
                  </w:r>
                </w:p>
              </w:tc>
            </w:tr>
          </w:tbl>
          <w:p>
            <w:pPr>
              <w:spacing w:line="520" w:lineRule="exact"/>
              <w:ind w:firstLine="482" w:firstLineChars="200"/>
              <w:rPr>
                <w:b/>
                <w:bCs/>
                <w:color w:val="auto"/>
                <w:sz w:val="24"/>
              </w:rPr>
            </w:pPr>
            <w:r>
              <w:rPr>
                <w:b/>
                <w:bCs/>
                <w:color w:val="auto"/>
                <w:sz w:val="24"/>
              </w:rPr>
              <w:t>九、环保投资</w:t>
            </w:r>
          </w:p>
          <w:p>
            <w:pPr>
              <w:spacing w:line="520" w:lineRule="exact"/>
              <w:ind w:firstLine="480" w:firstLineChars="200"/>
              <w:rPr>
                <w:color w:val="auto"/>
                <w:sz w:val="24"/>
              </w:rPr>
            </w:pPr>
            <w:r>
              <w:rPr>
                <w:color w:val="auto"/>
                <w:sz w:val="24"/>
              </w:rPr>
              <w:t>项目总投资1200万元，环保投资20.35万元，占总投资的1.70%。该项目主要环保投资见表4-</w:t>
            </w:r>
            <w:r>
              <w:rPr>
                <w:rFonts w:hint="eastAsia"/>
                <w:color w:val="auto"/>
                <w:sz w:val="24"/>
              </w:rPr>
              <w:t>12</w:t>
            </w:r>
            <w:r>
              <w:rPr>
                <w:color w:val="auto"/>
                <w:sz w:val="24"/>
              </w:rPr>
              <w:t>。</w:t>
            </w:r>
          </w:p>
          <w:p>
            <w:pPr>
              <w:pStyle w:val="52"/>
              <w:rPr>
                <w:color w:val="auto"/>
              </w:rPr>
            </w:pPr>
            <w:r>
              <w:rPr>
                <w:color w:val="auto"/>
              </w:rPr>
              <w:t>表4-</w:t>
            </w:r>
            <w:r>
              <w:rPr>
                <w:rFonts w:hint="eastAsia"/>
                <w:color w:val="auto"/>
              </w:rPr>
              <w:t>12</w:t>
            </w:r>
            <w:r>
              <w:rPr>
                <w:color w:val="auto"/>
              </w:rPr>
              <w:t>项目环境保护投资一览表</w:t>
            </w:r>
          </w:p>
          <w:tbl>
            <w:tblPr>
              <w:tblStyle w:val="26"/>
              <w:tblW w:w="4998"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419"/>
              <w:gridCol w:w="882"/>
              <w:gridCol w:w="6064"/>
              <w:gridCol w:w="57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3" w:hRule="atLeast"/>
              </w:trPr>
              <w:tc>
                <w:tcPr>
                  <w:tcW w:w="819" w:type="pct"/>
                  <w:gridSpan w:val="2"/>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项目</w:t>
                  </w:r>
                </w:p>
              </w:tc>
              <w:tc>
                <w:tcPr>
                  <w:tcW w:w="3815" w:type="pct"/>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治理措施</w:t>
                  </w:r>
                </w:p>
              </w:tc>
              <w:tc>
                <w:tcPr>
                  <w:tcW w:w="364" w:type="pct"/>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万元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3" w:hRule="atLeast"/>
              </w:trPr>
              <w:tc>
                <w:tcPr>
                  <w:tcW w:w="264" w:type="pct"/>
                  <w:vMerge w:val="restart"/>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施工期</w:t>
                  </w:r>
                </w:p>
              </w:tc>
              <w:tc>
                <w:tcPr>
                  <w:tcW w:w="555" w:type="pct"/>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废气</w:t>
                  </w:r>
                </w:p>
              </w:tc>
              <w:tc>
                <w:tcPr>
                  <w:tcW w:w="3815" w:type="pct"/>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洒水抑尘，对建筑材料遮盖</w:t>
                  </w:r>
                </w:p>
              </w:tc>
              <w:tc>
                <w:tcPr>
                  <w:tcW w:w="364" w:type="pct"/>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3" w:hRule="atLeast"/>
              </w:trPr>
              <w:tc>
                <w:tcPr>
                  <w:tcW w:w="264" w:type="pct"/>
                  <w:vMerge w:val="continue"/>
                  <w:tcBorders>
                    <w:tl2br w:val="nil"/>
                    <w:tr2bl w:val="nil"/>
                  </w:tcBorders>
                </w:tcPr>
                <w:p>
                  <w:pPr>
                    <w:pStyle w:val="33"/>
                    <w:adjustRightInd/>
                    <w:snapToGrid/>
                    <w:spacing w:before="24" w:after="24" w:line="300" w:lineRule="exact"/>
                    <w:rPr>
                      <w:rFonts w:ascii="Times New Roman"/>
                      <w:color w:val="auto"/>
                      <w:szCs w:val="21"/>
                    </w:rPr>
                  </w:pPr>
                </w:p>
              </w:tc>
              <w:tc>
                <w:tcPr>
                  <w:tcW w:w="555" w:type="pct"/>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废水</w:t>
                  </w:r>
                </w:p>
              </w:tc>
              <w:tc>
                <w:tcPr>
                  <w:tcW w:w="3815" w:type="pct"/>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临时沉淀池</w:t>
                  </w:r>
                </w:p>
              </w:tc>
              <w:tc>
                <w:tcPr>
                  <w:tcW w:w="364" w:type="pct"/>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3" w:hRule="atLeast"/>
              </w:trPr>
              <w:tc>
                <w:tcPr>
                  <w:tcW w:w="264" w:type="pct"/>
                  <w:vMerge w:val="continue"/>
                  <w:tcBorders>
                    <w:tl2br w:val="nil"/>
                    <w:tr2bl w:val="nil"/>
                  </w:tcBorders>
                </w:tcPr>
                <w:p>
                  <w:pPr>
                    <w:pStyle w:val="33"/>
                    <w:adjustRightInd/>
                    <w:snapToGrid/>
                    <w:spacing w:before="24" w:after="24" w:line="300" w:lineRule="exact"/>
                    <w:rPr>
                      <w:rFonts w:ascii="Times New Roman"/>
                      <w:color w:val="auto"/>
                      <w:szCs w:val="21"/>
                    </w:rPr>
                  </w:pPr>
                </w:p>
              </w:tc>
              <w:tc>
                <w:tcPr>
                  <w:tcW w:w="555" w:type="pct"/>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噪声</w:t>
                  </w:r>
                </w:p>
              </w:tc>
              <w:tc>
                <w:tcPr>
                  <w:tcW w:w="3815" w:type="pct"/>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低噪声设备，高噪声设备入棚操作</w:t>
                  </w:r>
                </w:p>
              </w:tc>
              <w:tc>
                <w:tcPr>
                  <w:tcW w:w="364" w:type="pct"/>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3" w:hRule="atLeast"/>
              </w:trPr>
              <w:tc>
                <w:tcPr>
                  <w:tcW w:w="264" w:type="pct"/>
                  <w:vMerge w:val="continue"/>
                  <w:tcBorders>
                    <w:tl2br w:val="nil"/>
                    <w:tr2bl w:val="nil"/>
                  </w:tcBorders>
                </w:tcPr>
                <w:p>
                  <w:pPr>
                    <w:pStyle w:val="33"/>
                    <w:adjustRightInd/>
                    <w:snapToGrid/>
                    <w:spacing w:before="24" w:after="24" w:line="300" w:lineRule="exact"/>
                    <w:rPr>
                      <w:rFonts w:ascii="Times New Roman"/>
                      <w:color w:val="auto"/>
                      <w:szCs w:val="21"/>
                    </w:rPr>
                  </w:pPr>
                </w:p>
              </w:tc>
              <w:tc>
                <w:tcPr>
                  <w:tcW w:w="555" w:type="pct"/>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固废</w:t>
                  </w:r>
                </w:p>
              </w:tc>
              <w:tc>
                <w:tcPr>
                  <w:tcW w:w="3815" w:type="pct"/>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建筑垃圾及渣土及时清运</w:t>
                  </w:r>
                </w:p>
              </w:tc>
              <w:tc>
                <w:tcPr>
                  <w:tcW w:w="364" w:type="pct"/>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61" w:hRule="atLeast"/>
              </w:trPr>
              <w:tc>
                <w:tcPr>
                  <w:tcW w:w="264" w:type="pct"/>
                  <w:vMerge w:val="restart"/>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营运期</w:t>
                  </w:r>
                </w:p>
              </w:tc>
              <w:tc>
                <w:tcPr>
                  <w:tcW w:w="555" w:type="pct"/>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废气</w:t>
                  </w:r>
                </w:p>
              </w:tc>
              <w:tc>
                <w:tcPr>
                  <w:tcW w:w="3815" w:type="pct"/>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厂房四周绿化。</w:t>
                  </w:r>
                </w:p>
              </w:tc>
              <w:tc>
                <w:tcPr>
                  <w:tcW w:w="364" w:type="pct"/>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6" w:hRule="atLeast"/>
              </w:trPr>
              <w:tc>
                <w:tcPr>
                  <w:tcW w:w="264" w:type="pct"/>
                  <w:vMerge w:val="continue"/>
                  <w:tcBorders>
                    <w:tl2br w:val="nil"/>
                    <w:tr2bl w:val="nil"/>
                  </w:tcBorders>
                </w:tcPr>
                <w:p>
                  <w:pPr>
                    <w:pStyle w:val="33"/>
                    <w:adjustRightInd/>
                    <w:snapToGrid/>
                    <w:spacing w:before="24" w:after="24" w:line="300" w:lineRule="exact"/>
                    <w:rPr>
                      <w:rFonts w:ascii="Times New Roman"/>
                      <w:color w:val="auto"/>
                      <w:szCs w:val="21"/>
                    </w:rPr>
                  </w:pPr>
                </w:p>
              </w:tc>
              <w:tc>
                <w:tcPr>
                  <w:tcW w:w="555" w:type="pct"/>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废水</w:t>
                  </w:r>
                </w:p>
              </w:tc>
              <w:tc>
                <w:tcPr>
                  <w:tcW w:w="3815" w:type="pct"/>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防渗化粪池</w:t>
                  </w:r>
                  <w:r>
                    <w:rPr>
                      <w:rFonts w:hint="eastAsia" w:ascii="Times New Roman"/>
                      <w:color w:val="auto"/>
                      <w:szCs w:val="21"/>
                    </w:rPr>
                    <w:t>27</w:t>
                  </w:r>
                  <w:r>
                    <w:rPr>
                      <w:rFonts w:ascii="Times New Roman"/>
                      <w:color w:val="auto"/>
                      <w:szCs w:val="21"/>
                    </w:rPr>
                    <w:t>m</w:t>
                  </w:r>
                  <w:r>
                    <w:rPr>
                      <w:rFonts w:ascii="Times New Roman"/>
                      <w:color w:val="auto"/>
                      <w:szCs w:val="21"/>
                      <w:vertAlign w:val="superscript"/>
                    </w:rPr>
                    <w:t>3</w:t>
                  </w:r>
                  <w:r>
                    <w:rPr>
                      <w:rFonts w:ascii="Times New Roman"/>
                      <w:color w:val="auto"/>
                      <w:szCs w:val="21"/>
                    </w:rPr>
                    <w:t>定期清运</w:t>
                  </w:r>
                </w:p>
              </w:tc>
              <w:tc>
                <w:tcPr>
                  <w:tcW w:w="364" w:type="pct"/>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2" w:hRule="atLeast"/>
              </w:trPr>
              <w:tc>
                <w:tcPr>
                  <w:tcW w:w="264" w:type="pct"/>
                  <w:vMerge w:val="continue"/>
                  <w:tcBorders>
                    <w:tl2br w:val="nil"/>
                    <w:tr2bl w:val="nil"/>
                  </w:tcBorders>
                </w:tcPr>
                <w:p>
                  <w:pPr>
                    <w:pStyle w:val="33"/>
                    <w:adjustRightInd/>
                    <w:snapToGrid/>
                    <w:spacing w:before="24" w:after="24" w:line="300" w:lineRule="exact"/>
                    <w:rPr>
                      <w:rFonts w:ascii="Times New Roman"/>
                      <w:color w:val="auto"/>
                      <w:szCs w:val="21"/>
                    </w:rPr>
                  </w:pPr>
                </w:p>
              </w:tc>
              <w:tc>
                <w:tcPr>
                  <w:tcW w:w="555" w:type="pct"/>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噪声</w:t>
                  </w:r>
                </w:p>
              </w:tc>
              <w:tc>
                <w:tcPr>
                  <w:tcW w:w="3815" w:type="pct"/>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厂内减速慢行标识牌、加强厂区周边绿化</w:t>
                  </w:r>
                </w:p>
              </w:tc>
              <w:tc>
                <w:tcPr>
                  <w:tcW w:w="364" w:type="pct"/>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2" w:hRule="atLeast"/>
              </w:trPr>
              <w:tc>
                <w:tcPr>
                  <w:tcW w:w="264" w:type="pct"/>
                  <w:vMerge w:val="continue"/>
                  <w:tcBorders>
                    <w:tl2br w:val="nil"/>
                    <w:tr2bl w:val="nil"/>
                  </w:tcBorders>
                </w:tcPr>
                <w:p>
                  <w:pPr>
                    <w:pStyle w:val="33"/>
                    <w:adjustRightInd/>
                    <w:snapToGrid/>
                    <w:spacing w:before="24" w:after="24" w:line="300" w:lineRule="exact"/>
                    <w:rPr>
                      <w:rFonts w:ascii="Times New Roman"/>
                      <w:color w:val="auto"/>
                      <w:szCs w:val="21"/>
                    </w:rPr>
                  </w:pPr>
                </w:p>
              </w:tc>
              <w:tc>
                <w:tcPr>
                  <w:tcW w:w="555" w:type="pct"/>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固废</w:t>
                  </w:r>
                </w:p>
              </w:tc>
              <w:tc>
                <w:tcPr>
                  <w:tcW w:w="3815" w:type="pct"/>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生活垃圾收集后，交由环卫部门清运；过期、残次的烟花爆竹收集至危废贮存点内（5m</w:t>
                  </w:r>
                  <w:r>
                    <w:rPr>
                      <w:rFonts w:ascii="Times New Roman"/>
                      <w:color w:val="auto"/>
                      <w:szCs w:val="21"/>
                      <w:vertAlign w:val="superscript"/>
                    </w:rPr>
                    <w:t>2</w:t>
                  </w:r>
                  <w:r>
                    <w:rPr>
                      <w:rFonts w:ascii="Times New Roman"/>
                      <w:color w:val="auto"/>
                      <w:szCs w:val="21"/>
                    </w:rPr>
                    <w:t>），定期交由尉犁县公安局处置。</w:t>
                  </w:r>
                </w:p>
              </w:tc>
              <w:tc>
                <w:tcPr>
                  <w:tcW w:w="364" w:type="pct"/>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2" w:hRule="atLeast"/>
              </w:trPr>
              <w:tc>
                <w:tcPr>
                  <w:tcW w:w="264" w:type="pct"/>
                  <w:vMerge w:val="continue"/>
                  <w:tcBorders>
                    <w:tl2br w:val="nil"/>
                    <w:tr2bl w:val="nil"/>
                  </w:tcBorders>
                </w:tcPr>
                <w:p>
                  <w:pPr>
                    <w:pStyle w:val="33"/>
                    <w:adjustRightInd/>
                    <w:snapToGrid/>
                    <w:spacing w:before="24" w:after="24" w:line="300" w:lineRule="exact"/>
                    <w:rPr>
                      <w:rFonts w:ascii="Times New Roman"/>
                      <w:color w:val="auto"/>
                      <w:szCs w:val="21"/>
                    </w:rPr>
                  </w:pPr>
                </w:p>
              </w:tc>
              <w:tc>
                <w:tcPr>
                  <w:tcW w:w="555" w:type="pct"/>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生态</w:t>
                  </w:r>
                </w:p>
              </w:tc>
              <w:tc>
                <w:tcPr>
                  <w:tcW w:w="3815" w:type="pct"/>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450m</w:t>
                  </w:r>
                  <w:r>
                    <w:rPr>
                      <w:rFonts w:ascii="Times New Roman"/>
                      <w:color w:val="auto"/>
                      <w:szCs w:val="21"/>
                      <w:vertAlign w:val="superscript"/>
                    </w:rPr>
                    <w:t>2</w:t>
                  </w:r>
                  <w:r>
                    <w:rPr>
                      <w:rFonts w:ascii="Times New Roman"/>
                      <w:color w:val="auto"/>
                      <w:szCs w:val="21"/>
                    </w:rPr>
                    <w:t>厂区内绿化</w:t>
                  </w:r>
                </w:p>
              </w:tc>
              <w:tc>
                <w:tcPr>
                  <w:tcW w:w="364" w:type="pct"/>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2" w:hRule="atLeast"/>
              </w:trPr>
              <w:tc>
                <w:tcPr>
                  <w:tcW w:w="264" w:type="pct"/>
                  <w:vMerge w:val="continue"/>
                  <w:tcBorders>
                    <w:tl2br w:val="nil"/>
                    <w:tr2bl w:val="nil"/>
                  </w:tcBorders>
                </w:tcPr>
                <w:p>
                  <w:pPr>
                    <w:pStyle w:val="33"/>
                    <w:adjustRightInd/>
                    <w:snapToGrid/>
                    <w:spacing w:before="24" w:after="24" w:line="300" w:lineRule="exact"/>
                    <w:rPr>
                      <w:rFonts w:ascii="Times New Roman"/>
                      <w:color w:val="auto"/>
                      <w:szCs w:val="21"/>
                    </w:rPr>
                  </w:pPr>
                </w:p>
              </w:tc>
              <w:tc>
                <w:tcPr>
                  <w:tcW w:w="555" w:type="pct"/>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环境风险</w:t>
                  </w:r>
                </w:p>
              </w:tc>
              <w:tc>
                <w:tcPr>
                  <w:tcW w:w="3815" w:type="pct"/>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制定突发环境事件应急预案，配备应急设施、设备、器材、物资等。</w:t>
                  </w:r>
                </w:p>
              </w:tc>
              <w:tc>
                <w:tcPr>
                  <w:tcW w:w="364" w:type="pct"/>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6" w:hRule="atLeast"/>
              </w:trPr>
              <w:tc>
                <w:tcPr>
                  <w:tcW w:w="819" w:type="pct"/>
                  <w:gridSpan w:val="2"/>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总计</w:t>
                  </w:r>
                </w:p>
              </w:tc>
              <w:tc>
                <w:tcPr>
                  <w:tcW w:w="3815" w:type="pct"/>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w:t>
                  </w:r>
                </w:p>
              </w:tc>
              <w:tc>
                <w:tcPr>
                  <w:tcW w:w="364" w:type="pct"/>
                  <w:tcBorders>
                    <w:tl2br w:val="nil"/>
                    <w:tr2bl w:val="nil"/>
                  </w:tcBorders>
                </w:tcPr>
                <w:p>
                  <w:pPr>
                    <w:pStyle w:val="33"/>
                    <w:adjustRightInd/>
                    <w:snapToGrid/>
                    <w:spacing w:before="24" w:after="24" w:line="300" w:lineRule="exact"/>
                    <w:rPr>
                      <w:rFonts w:ascii="Times New Roman"/>
                      <w:color w:val="auto"/>
                      <w:szCs w:val="21"/>
                    </w:rPr>
                  </w:pPr>
                  <w:r>
                    <w:rPr>
                      <w:rFonts w:ascii="Times New Roman"/>
                      <w:color w:val="auto"/>
                      <w:szCs w:val="21"/>
                    </w:rPr>
                    <w:t>20.35</w:t>
                  </w:r>
                </w:p>
              </w:tc>
            </w:tr>
          </w:tbl>
          <w:p>
            <w:pPr>
              <w:pStyle w:val="4"/>
              <w:ind w:firstLine="482"/>
              <w:rPr>
                <w:rFonts w:cs="Times New Roman"/>
                <w:color w:val="auto"/>
                <w:sz w:val="24"/>
                <w:szCs w:val="24"/>
              </w:rPr>
            </w:pPr>
            <w:r>
              <w:rPr>
                <w:rFonts w:cs="Times New Roman"/>
                <w:color w:val="auto"/>
                <w:sz w:val="24"/>
                <w:szCs w:val="24"/>
              </w:rPr>
              <w:t>十、竣工环境保护验收</w:t>
            </w:r>
          </w:p>
          <w:p>
            <w:pPr>
              <w:spacing w:line="520" w:lineRule="exact"/>
              <w:ind w:firstLine="480" w:firstLineChars="200"/>
              <w:rPr>
                <w:color w:val="auto"/>
                <w:sz w:val="24"/>
              </w:rPr>
            </w:pPr>
            <w:r>
              <w:rPr>
                <w:color w:val="auto"/>
                <w:sz w:val="24"/>
              </w:rPr>
              <w:t>工程按照要求建设完成后，建设单位应及时按照《建设项目竣工环境保护验收暂行办法》相关要求组织竣工环保验收，环保设施验收建议清单见表4-1</w:t>
            </w:r>
            <w:r>
              <w:rPr>
                <w:rFonts w:hint="eastAsia"/>
                <w:color w:val="auto"/>
                <w:sz w:val="24"/>
              </w:rPr>
              <w:t>3</w:t>
            </w:r>
            <w:r>
              <w:rPr>
                <w:color w:val="auto"/>
                <w:sz w:val="24"/>
              </w:rPr>
              <w:t>。</w:t>
            </w:r>
          </w:p>
          <w:p>
            <w:pPr>
              <w:pStyle w:val="52"/>
              <w:rPr>
                <w:color w:val="auto"/>
              </w:rPr>
            </w:pPr>
            <w:r>
              <w:rPr>
                <w:color w:val="auto"/>
              </w:rPr>
              <w:t>表4-1</w:t>
            </w:r>
            <w:r>
              <w:rPr>
                <w:rFonts w:hint="eastAsia"/>
                <w:color w:val="auto"/>
              </w:rPr>
              <w:t>3</w:t>
            </w:r>
            <w:r>
              <w:rPr>
                <w:color w:val="auto"/>
              </w:rPr>
              <w:t>项目环境保护措施竣工验收一览表</w:t>
            </w:r>
          </w:p>
          <w:tbl>
            <w:tblPr>
              <w:tblStyle w:val="26"/>
              <w:tblW w:w="7758" w:type="dxa"/>
              <w:tblInd w:w="117" w:type="dxa"/>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646"/>
              <w:gridCol w:w="2519"/>
              <w:gridCol w:w="1395"/>
              <w:gridCol w:w="1146"/>
              <w:gridCol w:w="2052"/>
            </w:tblGrid>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29" w:hRule="atLeast"/>
                <w:tblHeader/>
              </w:trPr>
              <w:tc>
                <w:tcPr>
                  <w:tcW w:w="646" w:type="dxa"/>
                  <w:tcBorders>
                    <w:tl2br w:val="nil"/>
                    <w:tr2bl w:val="nil"/>
                  </w:tcBorders>
                </w:tcPr>
                <w:p>
                  <w:pPr>
                    <w:pStyle w:val="45"/>
                    <w:rPr>
                      <w:rFonts w:ascii="Times New Roman" w:hAnsi="Times New Roman" w:cs="Times New Roman"/>
                      <w:color w:val="auto"/>
                    </w:rPr>
                  </w:pPr>
                  <w:r>
                    <w:rPr>
                      <w:rFonts w:ascii="Times New Roman" w:hAnsi="Times New Roman" w:cs="Times New Roman"/>
                      <w:color w:val="auto"/>
                    </w:rPr>
                    <w:t>项目</w:t>
                  </w:r>
                </w:p>
              </w:tc>
              <w:tc>
                <w:tcPr>
                  <w:tcW w:w="2519" w:type="dxa"/>
                  <w:tcBorders>
                    <w:tl2br w:val="nil"/>
                    <w:tr2bl w:val="nil"/>
                  </w:tcBorders>
                </w:tcPr>
                <w:p>
                  <w:pPr>
                    <w:pStyle w:val="45"/>
                    <w:rPr>
                      <w:rFonts w:ascii="Times New Roman" w:hAnsi="Times New Roman" w:cs="Times New Roman"/>
                      <w:color w:val="auto"/>
                    </w:rPr>
                  </w:pPr>
                  <w:r>
                    <w:rPr>
                      <w:rFonts w:ascii="Times New Roman" w:hAnsi="Times New Roman" w:cs="Times New Roman"/>
                      <w:color w:val="auto"/>
                    </w:rPr>
                    <w:t>治理措施</w:t>
                  </w:r>
                </w:p>
              </w:tc>
              <w:tc>
                <w:tcPr>
                  <w:tcW w:w="1395" w:type="dxa"/>
                  <w:tcBorders>
                    <w:tl2br w:val="nil"/>
                    <w:tr2bl w:val="nil"/>
                  </w:tcBorders>
                </w:tcPr>
                <w:p>
                  <w:pPr>
                    <w:pStyle w:val="45"/>
                    <w:rPr>
                      <w:rFonts w:ascii="Times New Roman" w:hAnsi="Times New Roman" w:cs="Times New Roman"/>
                      <w:color w:val="auto"/>
                    </w:rPr>
                  </w:pPr>
                  <w:r>
                    <w:rPr>
                      <w:rFonts w:ascii="Times New Roman" w:hAnsi="Times New Roman" w:cs="Times New Roman"/>
                      <w:color w:val="auto"/>
                    </w:rPr>
                    <w:t>主要污染物</w:t>
                  </w:r>
                </w:p>
              </w:tc>
              <w:tc>
                <w:tcPr>
                  <w:tcW w:w="1146" w:type="dxa"/>
                  <w:tcBorders>
                    <w:tl2br w:val="nil"/>
                    <w:tr2bl w:val="nil"/>
                  </w:tcBorders>
                </w:tcPr>
                <w:p>
                  <w:pPr>
                    <w:pStyle w:val="45"/>
                    <w:rPr>
                      <w:rFonts w:ascii="Times New Roman" w:hAnsi="Times New Roman" w:cs="Times New Roman"/>
                      <w:color w:val="auto"/>
                    </w:rPr>
                  </w:pPr>
                  <w:r>
                    <w:rPr>
                      <w:rFonts w:ascii="Times New Roman" w:hAnsi="Times New Roman" w:cs="Times New Roman"/>
                      <w:color w:val="auto"/>
                    </w:rPr>
                    <w:t>环保措施</w:t>
                  </w:r>
                </w:p>
              </w:tc>
              <w:tc>
                <w:tcPr>
                  <w:tcW w:w="2052" w:type="dxa"/>
                  <w:tcBorders>
                    <w:tl2br w:val="nil"/>
                    <w:tr2bl w:val="nil"/>
                  </w:tcBorders>
                </w:tcPr>
                <w:p>
                  <w:pPr>
                    <w:pStyle w:val="45"/>
                    <w:rPr>
                      <w:rFonts w:ascii="Times New Roman" w:hAnsi="Times New Roman" w:cs="Times New Roman"/>
                      <w:color w:val="auto"/>
                    </w:rPr>
                  </w:pPr>
                  <w:r>
                    <w:rPr>
                      <w:rFonts w:ascii="Times New Roman" w:hAnsi="Times New Roman" w:cs="Times New Roman"/>
                      <w:color w:val="auto"/>
                    </w:rPr>
                    <w:t>验收标准要求</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646" w:type="dxa"/>
                  <w:tcBorders>
                    <w:tl2br w:val="nil"/>
                    <w:tr2bl w:val="nil"/>
                  </w:tcBorders>
                </w:tcPr>
                <w:p>
                  <w:pPr>
                    <w:pStyle w:val="45"/>
                    <w:rPr>
                      <w:rFonts w:ascii="Times New Roman" w:hAnsi="Times New Roman" w:cs="Times New Roman"/>
                      <w:color w:val="auto"/>
                    </w:rPr>
                  </w:pPr>
                  <w:r>
                    <w:rPr>
                      <w:rFonts w:ascii="Times New Roman" w:hAnsi="Times New Roman" w:cs="Times New Roman"/>
                      <w:color w:val="auto"/>
                    </w:rPr>
                    <w:t>废气治理</w:t>
                  </w:r>
                </w:p>
              </w:tc>
              <w:tc>
                <w:tcPr>
                  <w:tcW w:w="2519" w:type="dxa"/>
                  <w:tcBorders>
                    <w:tl2br w:val="nil"/>
                    <w:tr2bl w:val="nil"/>
                  </w:tcBorders>
                </w:tcPr>
                <w:p>
                  <w:pPr>
                    <w:pStyle w:val="45"/>
                    <w:rPr>
                      <w:rFonts w:ascii="Times New Roman" w:hAnsi="Times New Roman" w:cs="Times New Roman"/>
                      <w:color w:val="auto"/>
                    </w:rPr>
                  </w:pPr>
                  <w:r>
                    <w:rPr>
                      <w:rFonts w:ascii="Times New Roman" w:hAnsi="Times New Roman" w:cs="Times New Roman"/>
                      <w:color w:val="auto"/>
                    </w:rPr>
                    <w:t>运输车辆采取降低车速，加强厂区绿化</w:t>
                  </w:r>
                </w:p>
              </w:tc>
              <w:tc>
                <w:tcPr>
                  <w:tcW w:w="1395" w:type="dxa"/>
                  <w:tcBorders>
                    <w:tl2br w:val="nil"/>
                    <w:tr2bl w:val="nil"/>
                  </w:tcBorders>
                </w:tcPr>
                <w:p>
                  <w:pPr>
                    <w:pStyle w:val="45"/>
                    <w:rPr>
                      <w:rFonts w:ascii="Times New Roman" w:hAnsi="Times New Roman" w:cs="Times New Roman" w:eastAsiaTheme="minorEastAsia"/>
                      <w:color w:val="auto"/>
                    </w:rPr>
                  </w:pPr>
                  <w:r>
                    <w:rPr>
                      <w:rFonts w:ascii="Times New Roman" w:hAnsi="Times New Roman" w:cs="Times New Roman" w:eastAsiaTheme="minorEastAsia"/>
                      <w:color w:val="auto"/>
                    </w:rPr>
                    <w:t>颗粒物</w:t>
                  </w:r>
                </w:p>
              </w:tc>
              <w:tc>
                <w:tcPr>
                  <w:tcW w:w="1146" w:type="dxa"/>
                  <w:tcBorders>
                    <w:tl2br w:val="nil"/>
                    <w:tr2bl w:val="nil"/>
                  </w:tcBorders>
                </w:tcPr>
                <w:p>
                  <w:pPr>
                    <w:pStyle w:val="45"/>
                    <w:rPr>
                      <w:rFonts w:ascii="Times New Roman" w:hAnsi="Times New Roman" w:cs="Times New Roman"/>
                      <w:color w:val="auto"/>
                    </w:rPr>
                  </w:pPr>
                  <w:r>
                    <w:rPr>
                      <w:rFonts w:ascii="Times New Roman" w:hAnsi="Times New Roman" w:cs="Times New Roman"/>
                      <w:color w:val="auto"/>
                    </w:rPr>
                    <w:t>运输车辆采取降低车速，加强厂区绿化</w:t>
                  </w:r>
                </w:p>
              </w:tc>
              <w:tc>
                <w:tcPr>
                  <w:tcW w:w="2052" w:type="dxa"/>
                  <w:tcBorders>
                    <w:tl2br w:val="nil"/>
                    <w:tr2bl w:val="nil"/>
                  </w:tcBorders>
                </w:tcPr>
                <w:p>
                  <w:pPr>
                    <w:pStyle w:val="45"/>
                    <w:rPr>
                      <w:rFonts w:ascii="Times New Roman" w:hAnsi="Times New Roman" w:cs="Times New Roman"/>
                      <w:color w:val="auto"/>
                    </w:rPr>
                  </w:pPr>
                  <w:r>
                    <w:rPr>
                      <w:rFonts w:ascii="Times New Roman" w:hAnsi="Times New Roman" w:cs="Times New Roman"/>
                      <w:color w:val="auto"/>
                    </w:rPr>
                    <w:t>《大气污染物综合排放标准》（GB16297-1996）标准</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646" w:type="dxa"/>
                  <w:tcBorders>
                    <w:tl2br w:val="nil"/>
                    <w:tr2bl w:val="nil"/>
                  </w:tcBorders>
                </w:tcPr>
                <w:p>
                  <w:pPr>
                    <w:pStyle w:val="45"/>
                    <w:rPr>
                      <w:rFonts w:ascii="Times New Roman" w:hAnsi="Times New Roman" w:cs="Times New Roman"/>
                      <w:color w:val="auto"/>
                    </w:rPr>
                  </w:pPr>
                  <w:r>
                    <w:rPr>
                      <w:rFonts w:ascii="Times New Roman" w:hAnsi="Times New Roman" w:cs="Times New Roman"/>
                      <w:color w:val="auto"/>
                    </w:rPr>
                    <w:t>废水治理</w:t>
                  </w:r>
                </w:p>
              </w:tc>
              <w:tc>
                <w:tcPr>
                  <w:tcW w:w="2519" w:type="dxa"/>
                  <w:tcBorders>
                    <w:tl2br w:val="nil"/>
                    <w:tr2bl w:val="nil"/>
                  </w:tcBorders>
                </w:tcPr>
                <w:p>
                  <w:pPr>
                    <w:pStyle w:val="45"/>
                    <w:rPr>
                      <w:rFonts w:ascii="Times New Roman" w:hAnsi="Times New Roman" w:cs="Times New Roman"/>
                      <w:color w:val="auto"/>
                    </w:rPr>
                  </w:pPr>
                  <w:r>
                    <w:rPr>
                      <w:rFonts w:ascii="Times New Roman" w:hAnsi="Times New Roman" w:cs="Times New Roman"/>
                      <w:color w:val="auto"/>
                    </w:rPr>
                    <w:t>生活污水经化粪池处理后拉运尉犁县城镇污水处理厂</w:t>
                  </w:r>
                </w:p>
              </w:tc>
              <w:tc>
                <w:tcPr>
                  <w:tcW w:w="1395" w:type="dxa"/>
                  <w:tcBorders>
                    <w:tl2br w:val="nil"/>
                    <w:tr2bl w:val="nil"/>
                  </w:tcBorders>
                </w:tcPr>
                <w:p>
                  <w:pPr>
                    <w:pStyle w:val="45"/>
                    <w:rPr>
                      <w:rFonts w:ascii="Times New Roman" w:hAnsi="Times New Roman" w:cs="Times New Roman"/>
                      <w:color w:val="auto"/>
                    </w:rPr>
                  </w:pPr>
                  <w:r>
                    <w:rPr>
                      <w:rFonts w:ascii="Times New Roman" w:hAnsi="Times New Roman" w:cs="Times New Roman" w:eastAsiaTheme="minorEastAsia"/>
                      <w:color w:val="auto"/>
                    </w:rPr>
                    <w:t>COD</w:t>
                  </w:r>
                  <w:r>
                    <w:rPr>
                      <w:rFonts w:ascii="Times New Roman" w:hAnsi="Times New Roman" w:cs="Times New Roman"/>
                      <w:color w:val="auto"/>
                    </w:rPr>
                    <w:t>、BOD</w:t>
                  </w:r>
                  <w:r>
                    <w:rPr>
                      <w:rFonts w:ascii="Times New Roman" w:hAnsi="Times New Roman" w:cs="Times New Roman"/>
                      <w:color w:val="auto"/>
                      <w:vertAlign w:val="subscript"/>
                    </w:rPr>
                    <w:t>5</w:t>
                  </w:r>
                  <w:r>
                    <w:rPr>
                      <w:rFonts w:ascii="Times New Roman" w:hAnsi="Times New Roman" w:cs="Times New Roman"/>
                      <w:color w:val="auto"/>
                    </w:rPr>
                    <w:t>、SS、NH</w:t>
                  </w:r>
                  <w:r>
                    <w:rPr>
                      <w:rFonts w:ascii="Times New Roman" w:hAnsi="Times New Roman" w:cs="Times New Roman"/>
                      <w:color w:val="auto"/>
                      <w:vertAlign w:val="subscript"/>
                    </w:rPr>
                    <w:t>3</w:t>
                  </w:r>
                  <w:r>
                    <w:rPr>
                      <w:rFonts w:ascii="Times New Roman" w:hAnsi="Times New Roman" w:cs="Times New Roman"/>
                      <w:color w:val="auto"/>
                    </w:rPr>
                    <w:t>-N、pH</w:t>
                  </w:r>
                </w:p>
              </w:tc>
              <w:tc>
                <w:tcPr>
                  <w:tcW w:w="1146" w:type="dxa"/>
                  <w:tcBorders>
                    <w:tl2br w:val="nil"/>
                    <w:tr2bl w:val="nil"/>
                  </w:tcBorders>
                </w:tcPr>
                <w:p>
                  <w:pPr>
                    <w:pStyle w:val="45"/>
                    <w:rPr>
                      <w:rFonts w:ascii="Times New Roman" w:hAnsi="Times New Roman" w:cs="Times New Roman"/>
                      <w:color w:val="auto"/>
                    </w:rPr>
                  </w:pPr>
                  <w:r>
                    <w:rPr>
                      <w:rFonts w:ascii="Times New Roman" w:hAnsi="Times New Roman" w:cs="Times New Roman"/>
                      <w:color w:val="auto"/>
                    </w:rPr>
                    <w:t>防渗化粪池</w:t>
                  </w:r>
                </w:p>
              </w:tc>
              <w:tc>
                <w:tcPr>
                  <w:tcW w:w="2052" w:type="dxa"/>
                  <w:tcBorders>
                    <w:tl2br w:val="nil"/>
                    <w:tr2bl w:val="nil"/>
                  </w:tcBorders>
                </w:tcPr>
                <w:p>
                  <w:pPr>
                    <w:pStyle w:val="45"/>
                    <w:rPr>
                      <w:rFonts w:ascii="Times New Roman" w:hAnsi="Times New Roman" w:cs="Times New Roman"/>
                      <w:color w:val="auto"/>
                    </w:rPr>
                  </w:pPr>
                  <w:r>
                    <w:rPr>
                      <w:rFonts w:ascii="Times New Roman" w:hAnsi="Times New Roman" w:cs="Times New Roman"/>
                      <w:color w:val="auto"/>
                      <w:lang w:bidi="ar"/>
                    </w:rPr>
                    <w:t>《污水综合排放标准》（GB8978-1996）中三级标准</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646" w:type="dxa"/>
                  <w:tcBorders>
                    <w:tl2br w:val="nil"/>
                    <w:tr2bl w:val="nil"/>
                  </w:tcBorders>
                </w:tcPr>
                <w:p>
                  <w:pPr>
                    <w:pStyle w:val="45"/>
                    <w:rPr>
                      <w:rFonts w:ascii="Times New Roman" w:hAnsi="Times New Roman" w:cs="Times New Roman"/>
                      <w:color w:val="auto"/>
                    </w:rPr>
                  </w:pPr>
                  <w:r>
                    <w:rPr>
                      <w:rFonts w:ascii="Times New Roman" w:hAnsi="Times New Roman" w:cs="Times New Roman"/>
                      <w:color w:val="auto"/>
                    </w:rPr>
                    <w:t>固体废物治理</w:t>
                  </w:r>
                </w:p>
              </w:tc>
              <w:tc>
                <w:tcPr>
                  <w:tcW w:w="2519" w:type="dxa"/>
                  <w:tcBorders>
                    <w:tl2br w:val="nil"/>
                    <w:tr2bl w:val="nil"/>
                  </w:tcBorders>
                </w:tcPr>
                <w:p>
                  <w:pPr>
                    <w:pStyle w:val="45"/>
                    <w:rPr>
                      <w:rFonts w:ascii="Times New Roman" w:hAnsi="Times New Roman" w:cs="Times New Roman"/>
                      <w:color w:val="auto"/>
                    </w:rPr>
                  </w:pPr>
                  <w:r>
                    <w:rPr>
                      <w:rFonts w:ascii="Times New Roman" w:hAnsi="Times New Roman" w:cs="Times New Roman"/>
                      <w:color w:val="auto"/>
                    </w:rPr>
                    <w:t>生活垃圾收集后，交由环卫部门清运；过期或残损的烟花爆竹暂存于5m</w:t>
                  </w:r>
                  <w:r>
                    <w:rPr>
                      <w:rFonts w:ascii="Times New Roman" w:hAnsi="Times New Roman" w:cs="Times New Roman"/>
                      <w:color w:val="auto"/>
                      <w:vertAlign w:val="superscript"/>
                    </w:rPr>
                    <w:t>2</w:t>
                  </w:r>
                  <w:r>
                    <w:rPr>
                      <w:rFonts w:ascii="Times New Roman" w:hAnsi="Times New Roman" w:cs="Times New Roman"/>
                      <w:color w:val="auto"/>
                    </w:rPr>
                    <w:t>危废贮存点，由公安部门组织销毁、处置</w:t>
                  </w:r>
                </w:p>
              </w:tc>
              <w:tc>
                <w:tcPr>
                  <w:tcW w:w="1395" w:type="dxa"/>
                  <w:tcBorders>
                    <w:tl2br w:val="nil"/>
                    <w:tr2bl w:val="nil"/>
                  </w:tcBorders>
                </w:tcPr>
                <w:p>
                  <w:pPr>
                    <w:pStyle w:val="45"/>
                    <w:rPr>
                      <w:rFonts w:ascii="Times New Roman" w:hAnsi="Times New Roman" w:cs="Times New Roman"/>
                      <w:color w:val="auto"/>
                    </w:rPr>
                  </w:pPr>
                  <w:r>
                    <w:rPr>
                      <w:rFonts w:ascii="Times New Roman" w:hAnsi="Times New Roman" w:cs="Times New Roman"/>
                      <w:color w:val="auto"/>
                    </w:rPr>
                    <w:t>生活垃圾、过期或残损的烟花爆竹</w:t>
                  </w:r>
                </w:p>
              </w:tc>
              <w:tc>
                <w:tcPr>
                  <w:tcW w:w="1146" w:type="dxa"/>
                  <w:tcBorders>
                    <w:tl2br w:val="nil"/>
                    <w:tr2bl w:val="nil"/>
                  </w:tcBorders>
                </w:tcPr>
                <w:p>
                  <w:pPr>
                    <w:pStyle w:val="45"/>
                    <w:rPr>
                      <w:rFonts w:ascii="Times New Roman" w:hAnsi="Times New Roman" w:cs="Times New Roman"/>
                      <w:color w:val="auto"/>
                    </w:rPr>
                  </w:pPr>
                  <w:r>
                    <w:rPr>
                      <w:rFonts w:ascii="Times New Roman" w:hAnsi="Times New Roman" w:cs="Times New Roman"/>
                      <w:color w:val="auto"/>
                    </w:rPr>
                    <w:t>垃圾桶、危废贮存点</w:t>
                  </w:r>
                </w:p>
              </w:tc>
              <w:tc>
                <w:tcPr>
                  <w:tcW w:w="2052" w:type="dxa"/>
                  <w:tcBorders>
                    <w:tl2br w:val="nil"/>
                    <w:tr2bl w:val="nil"/>
                  </w:tcBorders>
                </w:tcPr>
                <w:p>
                  <w:pPr>
                    <w:pStyle w:val="45"/>
                    <w:rPr>
                      <w:rFonts w:ascii="Times New Roman" w:hAnsi="Times New Roman" w:cs="Times New Roman"/>
                      <w:color w:val="auto"/>
                    </w:rPr>
                  </w:pPr>
                  <w:r>
                    <w:rPr>
                      <w:rFonts w:ascii="Times New Roman" w:hAnsi="Times New Roman" w:cs="Times New Roman"/>
                      <w:color w:val="auto"/>
                    </w:rPr>
                    <w:t>《危险废物贮存控制标准》（GB18597-2023）</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646" w:type="dxa"/>
                  <w:tcBorders>
                    <w:tl2br w:val="nil"/>
                    <w:tr2bl w:val="nil"/>
                  </w:tcBorders>
                </w:tcPr>
                <w:p>
                  <w:pPr>
                    <w:pStyle w:val="45"/>
                    <w:rPr>
                      <w:rFonts w:ascii="Times New Roman" w:hAnsi="Times New Roman" w:cs="Times New Roman"/>
                      <w:color w:val="auto"/>
                    </w:rPr>
                  </w:pPr>
                  <w:r>
                    <w:rPr>
                      <w:rFonts w:ascii="Times New Roman" w:hAnsi="Times New Roman" w:cs="Times New Roman"/>
                      <w:color w:val="auto"/>
                    </w:rPr>
                    <w:t>噪声</w:t>
                  </w:r>
                </w:p>
              </w:tc>
              <w:tc>
                <w:tcPr>
                  <w:tcW w:w="2519" w:type="dxa"/>
                  <w:tcBorders>
                    <w:tl2br w:val="nil"/>
                    <w:tr2bl w:val="nil"/>
                  </w:tcBorders>
                </w:tcPr>
                <w:p>
                  <w:pPr>
                    <w:pStyle w:val="45"/>
                    <w:rPr>
                      <w:rFonts w:ascii="Times New Roman" w:hAnsi="Times New Roman" w:cs="Times New Roman"/>
                      <w:color w:val="auto"/>
                    </w:rPr>
                  </w:pPr>
                  <w:r>
                    <w:rPr>
                      <w:rFonts w:ascii="Times New Roman" w:hAnsi="Times New Roman" w:cs="Times New Roman"/>
                      <w:color w:val="auto"/>
                    </w:rPr>
                    <w:t>厂房隔声、加强厂区周边绿化</w:t>
                  </w:r>
                </w:p>
              </w:tc>
              <w:tc>
                <w:tcPr>
                  <w:tcW w:w="1395" w:type="dxa"/>
                  <w:tcBorders>
                    <w:tl2br w:val="nil"/>
                    <w:tr2bl w:val="nil"/>
                  </w:tcBorders>
                </w:tcPr>
                <w:p>
                  <w:pPr>
                    <w:pStyle w:val="45"/>
                    <w:rPr>
                      <w:rFonts w:ascii="Times New Roman" w:hAnsi="Times New Roman" w:cs="Times New Roman"/>
                      <w:color w:val="auto"/>
                    </w:rPr>
                  </w:pPr>
                  <w:r>
                    <w:rPr>
                      <w:rFonts w:ascii="Times New Roman" w:hAnsi="Times New Roman" w:cs="Times New Roman"/>
                      <w:color w:val="auto"/>
                    </w:rPr>
                    <w:t>交通噪声</w:t>
                  </w:r>
                </w:p>
              </w:tc>
              <w:tc>
                <w:tcPr>
                  <w:tcW w:w="1146" w:type="dxa"/>
                  <w:tcBorders>
                    <w:tl2br w:val="nil"/>
                    <w:tr2bl w:val="nil"/>
                  </w:tcBorders>
                </w:tcPr>
                <w:p>
                  <w:pPr>
                    <w:pStyle w:val="45"/>
                    <w:rPr>
                      <w:rFonts w:ascii="Times New Roman" w:hAnsi="Times New Roman" w:cs="Times New Roman"/>
                      <w:color w:val="auto"/>
                    </w:rPr>
                  </w:pPr>
                  <w:r>
                    <w:rPr>
                      <w:rFonts w:ascii="Times New Roman" w:hAnsi="Times New Roman" w:cs="Times New Roman"/>
                      <w:color w:val="auto"/>
                    </w:rPr>
                    <w:t>绿化</w:t>
                  </w:r>
                </w:p>
              </w:tc>
              <w:tc>
                <w:tcPr>
                  <w:tcW w:w="2052" w:type="dxa"/>
                  <w:tcBorders>
                    <w:tl2br w:val="nil"/>
                    <w:tr2bl w:val="nil"/>
                  </w:tcBorders>
                </w:tcPr>
                <w:p>
                  <w:pPr>
                    <w:pStyle w:val="45"/>
                    <w:rPr>
                      <w:rFonts w:ascii="Times New Roman" w:hAnsi="Times New Roman" w:cs="Times New Roman"/>
                      <w:color w:val="auto"/>
                    </w:rPr>
                  </w:pPr>
                  <w:r>
                    <w:rPr>
                      <w:rFonts w:ascii="Times New Roman" w:hAnsi="Times New Roman" w:cs="Times New Roman"/>
                      <w:color w:val="auto"/>
                    </w:rPr>
                    <w:t>《工业企业厂界环境噪声排放标准》</w:t>
                  </w:r>
                </w:p>
                <w:p>
                  <w:pPr>
                    <w:pStyle w:val="45"/>
                    <w:rPr>
                      <w:rFonts w:ascii="Times New Roman" w:hAnsi="Times New Roman" w:cs="Times New Roman"/>
                      <w:color w:val="auto"/>
                    </w:rPr>
                  </w:pPr>
                  <w:r>
                    <w:rPr>
                      <w:rFonts w:ascii="Times New Roman" w:hAnsi="Times New Roman" w:cs="Times New Roman"/>
                      <w:color w:val="auto"/>
                    </w:rPr>
                    <w:t>（GB12348-2008）中2类区标准</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646" w:type="dxa"/>
                  <w:tcBorders>
                    <w:tl2br w:val="nil"/>
                    <w:tr2bl w:val="nil"/>
                  </w:tcBorders>
                </w:tcPr>
                <w:p>
                  <w:pPr>
                    <w:pStyle w:val="45"/>
                    <w:rPr>
                      <w:rFonts w:ascii="Times New Roman" w:hAnsi="Times New Roman" w:cs="Times New Roman"/>
                      <w:color w:val="auto"/>
                    </w:rPr>
                  </w:pPr>
                  <w:r>
                    <w:rPr>
                      <w:rFonts w:ascii="Times New Roman" w:hAnsi="Times New Roman" w:cs="Times New Roman"/>
                      <w:color w:val="auto"/>
                    </w:rPr>
                    <w:t>环境风险</w:t>
                  </w:r>
                </w:p>
              </w:tc>
              <w:tc>
                <w:tcPr>
                  <w:tcW w:w="2519" w:type="dxa"/>
                  <w:tcBorders>
                    <w:tl2br w:val="nil"/>
                    <w:tr2bl w:val="nil"/>
                  </w:tcBorders>
                </w:tcPr>
                <w:p>
                  <w:pPr>
                    <w:pStyle w:val="45"/>
                    <w:jc w:val="both"/>
                    <w:rPr>
                      <w:rFonts w:ascii="Times New Roman" w:hAnsi="Times New Roman" w:cs="Times New Roman"/>
                      <w:color w:val="auto"/>
                    </w:rPr>
                  </w:pPr>
                  <w:r>
                    <w:rPr>
                      <w:rFonts w:hint="eastAsia" w:ascii="Times New Roman" w:hAnsi="Times New Roman" w:cs="Times New Roman"/>
                      <w:color w:val="auto"/>
                    </w:rPr>
                    <w:t>编制《尉犁县祥立烟花爆竹销售有限公司突发环境事件应急预案》并报当地生态环境主管部门备案；</w:t>
                  </w:r>
                  <w:r>
                    <w:rPr>
                      <w:rFonts w:ascii="Times New Roman" w:hAnsi="Times New Roman" w:cs="Times New Roman"/>
                      <w:color w:val="auto"/>
                    </w:rPr>
                    <w:t>设置消防水池及消防器材</w:t>
                  </w:r>
                </w:p>
              </w:tc>
              <w:tc>
                <w:tcPr>
                  <w:tcW w:w="1395" w:type="dxa"/>
                  <w:tcBorders>
                    <w:tl2br w:val="nil"/>
                    <w:tr2bl w:val="nil"/>
                  </w:tcBorders>
                </w:tcPr>
                <w:p>
                  <w:pPr>
                    <w:pStyle w:val="45"/>
                    <w:rPr>
                      <w:rFonts w:ascii="Times New Roman" w:hAnsi="Times New Roman" w:cs="Times New Roman"/>
                      <w:color w:val="auto"/>
                    </w:rPr>
                  </w:pPr>
                  <w:r>
                    <w:rPr>
                      <w:rFonts w:ascii="Times New Roman" w:hAnsi="Times New Roman" w:cs="Times New Roman"/>
                      <w:color w:val="auto"/>
                    </w:rPr>
                    <w:t>/</w:t>
                  </w:r>
                </w:p>
              </w:tc>
              <w:tc>
                <w:tcPr>
                  <w:tcW w:w="1146" w:type="dxa"/>
                  <w:tcBorders>
                    <w:tl2br w:val="nil"/>
                    <w:tr2bl w:val="nil"/>
                  </w:tcBorders>
                </w:tcPr>
                <w:p>
                  <w:pPr>
                    <w:pStyle w:val="45"/>
                    <w:rPr>
                      <w:rFonts w:ascii="Times New Roman" w:hAnsi="Times New Roman" w:cs="Times New Roman"/>
                      <w:color w:val="auto"/>
                    </w:rPr>
                  </w:pPr>
                  <w:r>
                    <w:rPr>
                      <w:rFonts w:ascii="Times New Roman" w:hAnsi="Times New Roman" w:cs="Times New Roman"/>
                      <w:color w:val="auto"/>
                    </w:rPr>
                    <w:t>/</w:t>
                  </w:r>
                </w:p>
              </w:tc>
              <w:tc>
                <w:tcPr>
                  <w:tcW w:w="2052" w:type="dxa"/>
                  <w:tcBorders>
                    <w:tl2br w:val="nil"/>
                    <w:tr2bl w:val="nil"/>
                  </w:tcBorders>
                </w:tcPr>
                <w:p>
                  <w:pPr>
                    <w:pStyle w:val="45"/>
                    <w:rPr>
                      <w:rFonts w:ascii="Times New Roman" w:hAnsi="Times New Roman" w:cs="Times New Roman"/>
                      <w:color w:val="auto"/>
                    </w:rPr>
                  </w:pPr>
                  <w:r>
                    <w:rPr>
                      <w:rFonts w:ascii="Times New Roman" w:hAnsi="Times New Roman" w:cs="Times New Roman"/>
                      <w:color w:val="auto"/>
                    </w:rPr>
                    <w:t>/</w:t>
                  </w:r>
                </w:p>
              </w:tc>
            </w:tr>
          </w:tbl>
          <w:p>
            <w:pPr>
              <w:spacing w:line="520" w:lineRule="exact"/>
              <w:ind w:firstLine="480" w:firstLineChars="200"/>
              <w:rPr>
                <w:color w:val="auto"/>
                <w:sz w:val="24"/>
              </w:rPr>
            </w:pPr>
          </w:p>
        </w:tc>
      </w:tr>
    </w:tbl>
    <w:p>
      <w:pPr>
        <w:rPr>
          <w:color w:val="auto"/>
        </w:rPr>
        <w:sectPr>
          <w:pgSz w:w="11907" w:h="16840"/>
          <w:pgMar w:top="1701" w:right="1531" w:bottom="2127" w:left="1531" w:header="851" w:footer="851" w:gutter="0"/>
          <w:cols w:space="720" w:num="1"/>
          <w:docGrid w:linePitch="312" w:charSpace="0"/>
        </w:sectPr>
      </w:pPr>
    </w:p>
    <w:p>
      <w:pPr>
        <w:pStyle w:val="23"/>
        <w:jc w:val="center"/>
        <w:outlineLvl w:val="0"/>
        <w:rPr>
          <w:rFonts w:ascii="Times New Roman" w:hAnsi="Times New Roman" w:eastAsia="黑体"/>
          <w:snapToGrid w:val="0"/>
          <w:color w:val="auto"/>
          <w:sz w:val="30"/>
          <w:szCs w:val="30"/>
        </w:rPr>
      </w:pPr>
      <w:r>
        <w:rPr>
          <w:rFonts w:ascii="Times New Roman" w:hAnsi="Times New Roman" w:eastAsia="黑体"/>
          <w:snapToGrid w:val="0"/>
          <w:color w:val="auto"/>
          <w:sz w:val="30"/>
          <w:szCs w:val="30"/>
        </w:rPr>
        <w:t>五、</w:t>
      </w:r>
      <w:bookmarkStart w:id="16" w:name="_Hlk54167917"/>
      <w:r>
        <w:rPr>
          <w:rFonts w:ascii="Times New Roman" w:hAnsi="Times New Roman" w:eastAsia="黑体"/>
          <w:snapToGrid w:val="0"/>
          <w:color w:val="auto"/>
          <w:sz w:val="30"/>
          <w:szCs w:val="30"/>
        </w:rPr>
        <w:t>环境保护措施监督检查清单</w:t>
      </w:r>
      <w:bookmarkEnd w:id="16"/>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755"/>
        <w:gridCol w:w="1617"/>
        <w:gridCol w:w="1810"/>
        <w:gridCol w:w="18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tcBorders>
              <w:tl2br w:val="single" w:color="auto" w:sz="4" w:space="0"/>
            </w:tcBorders>
            <w:vAlign w:val="center"/>
          </w:tcPr>
          <w:p>
            <w:pPr>
              <w:spacing w:line="360" w:lineRule="auto"/>
              <w:jc w:val="center"/>
              <w:rPr>
                <w:color w:val="auto"/>
                <w:sz w:val="24"/>
              </w:rPr>
            </w:pPr>
            <w:r>
              <w:rPr>
                <w:rFonts w:hint="eastAsia"/>
                <w:color w:val="auto"/>
                <w:sz w:val="24"/>
              </w:rPr>
              <w:t xml:space="preserve"> </w:t>
            </w:r>
            <w:r>
              <w:rPr>
                <w:color w:val="auto"/>
                <w:sz w:val="24"/>
              </w:rPr>
              <w:t>内容</w:t>
            </w:r>
          </w:p>
          <w:p>
            <w:pPr>
              <w:spacing w:line="360" w:lineRule="auto"/>
              <w:rPr>
                <w:color w:val="auto"/>
                <w:sz w:val="24"/>
              </w:rPr>
            </w:pPr>
            <w:r>
              <w:rPr>
                <w:color w:val="auto"/>
                <w:sz w:val="24"/>
              </w:rPr>
              <w:t>要素</w:t>
            </w:r>
          </w:p>
        </w:tc>
        <w:tc>
          <w:tcPr>
            <w:tcW w:w="1755" w:type="dxa"/>
            <w:vAlign w:val="center"/>
          </w:tcPr>
          <w:p>
            <w:pPr>
              <w:spacing w:line="360" w:lineRule="auto"/>
              <w:jc w:val="center"/>
              <w:rPr>
                <w:color w:val="auto"/>
                <w:sz w:val="24"/>
              </w:rPr>
            </w:pPr>
            <w:r>
              <w:rPr>
                <w:color w:val="auto"/>
                <w:sz w:val="24"/>
              </w:rPr>
              <w:t>排放口（编号、名称）/污染源</w:t>
            </w:r>
          </w:p>
        </w:tc>
        <w:tc>
          <w:tcPr>
            <w:tcW w:w="1617" w:type="dxa"/>
            <w:vAlign w:val="center"/>
          </w:tcPr>
          <w:p>
            <w:pPr>
              <w:spacing w:line="360" w:lineRule="auto"/>
              <w:jc w:val="center"/>
              <w:rPr>
                <w:color w:val="auto"/>
                <w:sz w:val="24"/>
              </w:rPr>
            </w:pPr>
            <w:r>
              <w:rPr>
                <w:color w:val="auto"/>
                <w:sz w:val="24"/>
              </w:rPr>
              <w:t>污染物项目</w:t>
            </w:r>
          </w:p>
        </w:tc>
        <w:tc>
          <w:tcPr>
            <w:tcW w:w="1810" w:type="dxa"/>
            <w:vAlign w:val="center"/>
          </w:tcPr>
          <w:p>
            <w:pPr>
              <w:spacing w:line="360" w:lineRule="auto"/>
              <w:jc w:val="center"/>
              <w:rPr>
                <w:color w:val="auto"/>
                <w:sz w:val="24"/>
              </w:rPr>
            </w:pPr>
            <w:r>
              <w:rPr>
                <w:color w:val="auto"/>
                <w:sz w:val="24"/>
              </w:rPr>
              <w:t>环境保护措施</w:t>
            </w:r>
          </w:p>
        </w:tc>
        <w:tc>
          <w:tcPr>
            <w:tcW w:w="1840" w:type="dxa"/>
            <w:vAlign w:val="center"/>
          </w:tcPr>
          <w:p>
            <w:pPr>
              <w:spacing w:line="360" w:lineRule="auto"/>
              <w:jc w:val="center"/>
              <w:rPr>
                <w:color w:val="auto"/>
                <w:sz w:val="24"/>
              </w:rPr>
            </w:pPr>
            <w:r>
              <w:rPr>
                <w:color w:val="auto"/>
                <w:sz w:val="24"/>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restart"/>
            <w:vAlign w:val="center"/>
          </w:tcPr>
          <w:p>
            <w:pPr>
              <w:spacing w:line="360" w:lineRule="auto"/>
              <w:jc w:val="center"/>
              <w:rPr>
                <w:color w:val="auto"/>
                <w:sz w:val="24"/>
              </w:rPr>
            </w:pPr>
            <w:r>
              <w:rPr>
                <w:color w:val="auto"/>
                <w:sz w:val="24"/>
              </w:rPr>
              <w:t>大气环境</w:t>
            </w:r>
          </w:p>
        </w:tc>
        <w:tc>
          <w:tcPr>
            <w:tcW w:w="1755" w:type="dxa"/>
            <w:vAlign w:val="center"/>
          </w:tcPr>
          <w:p>
            <w:pPr>
              <w:spacing w:line="360" w:lineRule="auto"/>
              <w:jc w:val="center"/>
              <w:rPr>
                <w:color w:val="auto"/>
                <w:sz w:val="24"/>
              </w:rPr>
            </w:pPr>
            <w:r>
              <w:rPr>
                <w:color w:val="auto"/>
                <w:sz w:val="24"/>
              </w:rPr>
              <w:t>汽车尾气</w:t>
            </w:r>
          </w:p>
        </w:tc>
        <w:tc>
          <w:tcPr>
            <w:tcW w:w="1617" w:type="dxa"/>
            <w:vAlign w:val="center"/>
          </w:tcPr>
          <w:p>
            <w:pPr>
              <w:spacing w:line="360" w:lineRule="auto"/>
              <w:jc w:val="center"/>
              <w:rPr>
                <w:color w:val="auto"/>
                <w:sz w:val="24"/>
              </w:rPr>
            </w:pPr>
            <w:r>
              <w:rPr>
                <w:color w:val="auto"/>
                <w:sz w:val="24"/>
              </w:rPr>
              <w:t>NOx、CO、THC</w:t>
            </w:r>
          </w:p>
        </w:tc>
        <w:tc>
          <w:tcPr>
            <w:tcW w:w="1810" w:type="dxa"/>
            <w:vMerge w:val="restart"/>
            <w:vAlign w:val="center"/>
          </w:tcPr>
          <w:p>
            <w:pPr>
              <w:spacing w:line="360" w:lineRule="auto"/>
              <w:jc w:val="center"/>
              <w:rPr>
                <w:color w:val="auto"/>
                <w:sz w:val="24"/>
              </w:rPr>
            </w:pPr>
            <w:r>
              <w:rPr>
                <w:color w:val="auto"/>
                <w:sz w:val="24"/>
              </w:rPr>
              <w:t>运输车辆采取降低车速，加强厂区绿化</w:t>
            </w:r>
          </w:p>
        </w:tc>
        <w:tc>
          <w:tcPr>
            <w:tcW w:w="1840" w:type="dxa"/>
            <w:vMerge w:val="restart"/>
            <w:vAlign w:val="center"/>
          </w:tcPr>
          <w:p>
            <w:pPr>
              <w:spacing w:line="360" w:lineRule="auto"/>
              <w:jc w:val="center"/>
              <w:rPr>
                <w:color w:val="auto"/>
                <w:sz w:val="24"/>
              </w:rPr>
            </w:pPr>
            <w:r>
              <w:rPr>
                <w:color w:val="auto"/>
                <w:sz w:val="24"/>
              </w:rPr>
              <w:t>《大气污染物综合排放标准》（GB16297-1996）标准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vAlign w:val="center"/>
          </w:tcPr>
          <w:p>
            <w:pPr>
              <w:spacing w:line="360" w:lineRule="auto"/>
              <w:jc w:val="center"/>
              <w:rPr>
                <w:color w:val="auto"/>
                <w:sz w:val="24"/>
              </w:rPr>
            </w:pPr>
          </w:p>
        </w:tc>
        <w:tc>
          <w:tcPr>
            <w:tcW w:w="1755" w:type="dxa"/>
            <w:vAlign w:val="center"/>
          </w:tcPr>
          <w:p>
            <w:pPr>
              <w:spacing w:line="360" w:lineRule="auto"/>
              <w:jc w:val="center"/>
              <w:rPr>
                <w:color w:val="auto"/>
                <w:sz w:val="24"/>
              </w:rPr>
            </w:pPr>
            <w:r>
              <w:rPr>
                <w:color w:val="auto"/>
                <w:sz w:val="24"/>
              </w:rPr>
              <w:t>运输车辆</w:t>
            </w:r>
          </w:p>
        </w:tc>
        <w:tc>
          <w:tcPr>
            <w:tcW w:w="1617" w:type="dxa"/>
            <w:vAlign w:val="center"/>
          </w:tcPr>
          <w:p>
            <w:pPr>
              <w:spacing w:line="360" w:lineRule="auto"/>
              <w:jc w:val="center"/>
              <w:rPr>
                <w:color w:val="auto"/>
                <w:sz w:val="24"/>
              </w:rPr>
            </w:pPr>
            <w:r>
              <w:rPr>
                <w:color w:val="auto"/>
                <w:sz w:val="24"/>
              </w:rPr>
              <w:t>无组织</w:t>
            </w:r>
            <w:r>
              <w:rPr>
                <w:rFonts w:hint="eastAsia"/>
                <w:color w:val="auto"/>
                <w:sz w:val="24"/>
              </w:rPr>
              <w:t>颗粒物</w:t>
            </w:r>
          </w:p>
        </w:tc>
        <w:tc>
          <w:tcPr>
            <w:tcW w:w="1810" w:type="dxa"/>
            <w:vMerge w:val="continue"/>
            <w:vAlign w:val="center"/>
          </w:tcPr>
          <w:p>
            <w:pPr>
              <w:spacing w:line="360" w:lineRule="auto"/>
              <w:jc w:val="center"/>
              <w:rPr>
                <w:color w:val="auto"/>
                <w:sz w:val="24"/>
              </w:rPr>
            </w:pPr>
          </w:p>
        </w:tc>
        <w:tc>
          <w:tcPr>
            <w:tcW w:w="1840" w:type="dxa"/>
            <w:vMerge w:val="continue"/>
            <w:vAlign w:val="center"/>
          </w:tcPr>
          <w:p>
            <w:pPr>
              <w:spacing w:line="360" w:lineRule="auto"/>
              <w:jc w:val="center"/>
              <w:rPr>
                <w:color w:val="auto"/>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778" w:type="dxa"/>
            <w:vAlign w:val="center"/>
          </w:tcPr>
          <w:p>
            <w:pPr>
              <w:spacing w:line="360" w:lineRule="auto"/>
              <w:jc w:val="center"/>
              <w:rPr>
                <w:color w:val="auto"/>
                <w:sz w:val="24"/>
              </w:rPr>
            </w:pPr>
            <w:r>
              <w:rPr>
                <w:color w:val="auto"/>
                <w:sz w:val="24"/>
              </w:rPr>
              <w:t>地表水环境</w:t>
            </w:r>
          </w:p>
        </w:tc>
        <w:tc>
          <w:tcPr>
            <w:tcW w:w="1755" w:type="dxa"/>
            <w:vAlign w:val="center"/>
          </w:tcPr>
          <w:p>
            <w:pPr>
              <w:spacing w:line="360" w:lineRule="auto"/>
              <w:jc w:val="center"/>
              <w:rPr>
                <w:color w:val="auto"/>
                <w:sz w:val="24"/>
              </w:rPr>
            </w:pPr>
            <w:r>
              <w:rPr>
                <w:color w:val="auto"/>
                <w:sz w:val="24"/>
              </w:rPr>
              <w:t>职工生活</w:t>
            </w:r>
          </w:p>
        </w:tc>
        <w:tc>
          <w:tcPr>
            <w:tcW w:w="1617" w:type="dxa"/>
            <w:vAlign w:val="center"/>
          </w:tcPr>
          <w:p>
            <w:pPr>
              <w:spacing w:line="360" w:lineRule="auto"/>
              <w:jc w:val="center"/>
              <w:rPr>
                <w:color w:val="auto"/>
                <w:sz w:val="24"/>
              </w:rPr>
            </w:pPr>
            <w:r>
              <w:rPr>
                <w:color w:val="auto"/>
                <w:sz w:val="24"/>
              </w:rPr>
              <w:t>COD、SS、BOD</w:t>
            </w:r>
            <w:r>
              <w:rPr>
                <w:color w:val="auto"/>
                <w:sz w:val="24"/>
                <w:vertAlign w:val="subscript"/>
              </w:rPr>
              <w:t>5</w:t>
            </w:r>
            <w:r>
              <w:rPr>
                <w:color w:val="auto"/>
                <w:sz w:val="24"/>
              </w:rPr>
              <w:t>、NH</w:t>
            </w:r>
            <w:r>
              <w:rPr>
                <w:color w:val="auto"/>
                <w:sz w:val="24"/>
                <w:vertAlign w:val="subscript"/>
              </w:rPr>
              <w:t>3</w:t>
            </w:r>
            <w:r>
              <w:rPr>
                <w:color w:val="auto"/>
                <w:sz w:val="24"/>
              </w:rPr>
              <w:t>-N等</w:t>
            </w:r>
          </w:p>
        </w:tc>
        <w:tc>
          <w:tcPr>
            <w:tcW w:w="1810" w:type="dxa"/>
            <w:vAlign w:val="center"/>
          </w:tcPr>
          <w:p>
            <w:pPr>
              <w:spacing w:line="360" w:lineRule="auto"/>
              <w:jc w:val="center"/>
              <w:rPr>
                <w:color w:val="auto"/>
                <w:sz w:val="24"/>
              </w:rPr>
            </w:pPr>
            <w:r>
              <w:rPr>
                <w:rFonts w:hint="eastAsia"/>
                <w:color w:val="auto"/>
                <w:sz w:val="24"/>
              </w:rPr>
              <w:t>经化粪池处理后</w:t>
            </w:r>
            <w:r>
              <w:rPr>
                <w:color w:val="auto"/>
                <w:sz w:val="24"/>
              </w:rPr>
              <w:t>定期清运至尉犁县污水处理厂集中处理</w:t>
            </w:r>
          </w:p>
        </w:tc>
        <w:tc>
          <w:tcPr>
            <w:tcW w:w="1840" w:type="dxa"/>
            <w:vAlign w:val="center"/>
          </w:tcPr>
          <w:p>
            <w:pPr>
              <w:spacing w:line="360" w:lineRule="auto"/>
              <w:jc w:val="center"/>
              <w:rPr>
                <w:color w:val="auto"/>
                <w:sz w:val="24"/>
              </w:rPr>
            </w:pPr>
            <w:r>
              <w:rPr>
                <w:color w:val="auto"/>
                <w:sz w:val="24"/>
              </w:rPr>
              <w:t>《污水综合排放标准》（GB8978-1996）中三级标准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778" w:type="dxa"/>
            <w:vAlign w:val="center"/>
          </w:tcPr>
          <w:p>
            <w:pPr>
              <w:spacing w:line="360" w:lineRule="auto"/>
              <w:jc w:val="center"/>
              <w:rPr>
                <w:color w:val="auto"/>
                <w:sz w:val="24"/>
              </w:rPr>
            </w:pPr>
            <w:r>
              <w:rPr>
                <w:color w:val="auto"/>
                <w:sz w:val="24"/>
              </w:rPr>
              <w:t>声环境</w:t>
            </w:r>
          </w:p>
        </w:tc>
        <w:tc>
          <w:tcPr>
            <w:tcW w:w="1755" w:type="dxa"/>
            <w:vAlign w:val="center"/>
          </w:tcPr>
          <w:p>
            <w:pPr>
              <w:spacing w:line="360" w:lineRule="auto"/>
              <w:jc w:val="center"/>
              <w:rPr>
                <w:color w:val="auto"/>
                <w:sz w:val="24"/>
              </w:rPr>
            </w:pPr>
            <w:r>
              <w:rPr>
                <w:color w:val="auto"/>
                <w:sz w:val="24"/>
              </w:rPr>
              <w:t>交通噪声</w:t>
            </w:r>
          </w:p>
        </w:tc>
        <w:tc>
          <w:tcPr>
            <w:tcW w:w="1617" w:type="dxa"/>
            <w:vAlign w:val="center"/>
          </w:tcPr>
          <w:p>
            <w:pPr>
              <w:spacing w:line="360" w:lineRule="auto"/>
              <w:jc w:val="center"/>
              <w:rPr>
                <w:color w:val="auto"/>
                <w:sz w:val="24"/>
              </w:rPr>
            </w:pPr>
            <w:r>
              <w:rPr>
                <w:color w:val="auto"/>
                <w:sz w:val="24"/>
              </w:rPr>
              <w:t>噪声</w:t>
            </w:r>
          </w:p>
        </w:tc>
        <w:tc>
          <w:tcPr>
            <w:tcW w:w="1810" w:type="dxa"/>
            <w:vAlign w:val="center"/>
          </w:tcPr>
          <w:p>
            <w:pPr>
              <w:spacing w:line="360" w:lineRule="auto"/>
              <w:jc w:val="center"/>
              <w:rPr>
                <w:color w:val="auto"/>
                <w:sz w:val="24"/>
              </w:rPr>
            </w:pPr>
            <w:r>
              <w:rPr>
                <w:color w:val="auto"/>
                <w:sz w:val="24"/>
              </w:rPr>
              <w:t>厂房隔声、加强厂区周边绿化</w:t>
            </w:r>
          </w:p>
        </w:tc>
        <w:tc>
          <w:tcPr>
            <w:tcW w:w="1840" w:type="dxa"/>
            <w:vAlign w:val="center"/>
          </w:tcPr>
          <w:p>
            <w:pPr>
              <w:spacing w:line="360" w:lineRule="auto"/>
              <w:jc w:val="center"/>
              <w:rPr>
                <w:color w:val="auto"/>
                <w:sz w:val="24"/>
              </w:rPr>
            </w:pPr>
            <w:r>
              <w:rPr>
                <w:color w:val="auto"/>
                <w:sz w:val="24"/>
              </w:rPr>
              <w:t>《工业企业厂界环境噪声排放标准》（GB12348-2008）2类标准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778" w:type="dxa"/>
            <w:vAlign w:val="center"/>
          </w:tcPr>
          <w:p>
            <w:pPr>
              <w:spacing w:line="360" w:lineRule="auto"/>
              <w:jc w:val="center"/>
              <w:rPr>
                <w:color w:val="auto"/>
                <w:sz w:val="24"/>
              </w:rPr>
            </w:pPr>
            <w:r>
              <w:rPr>
                <w:color w:val="auto"/>
                <w:sz w:val="24"/>
              </w:rPr>
              <w:t>电磁辐射</w:t>
            </w:r>
          </w:p>
        </w:tc>
        <w:tc>
          <w:tcPr>
            <w:tcW w:w="7022" w:type="dxa"/>
            <w:gridSpan w:val="4"/>
            <w:vAlign w:val="center"/>
          </w:tcPr>
          <w:p>
            <w:pPr>
              <w:spacing w:line="360" w:lineRule="auto"/>
              <w:jc w:val="center"/>
              <w:rPr>
                <w:color w:val="auto"/>
                <w:sz w:val="24"/>
              </w:rPr>
            </w:pPr>
            <w:r>
              <w:rPr>
                <w:color w:val="auto"/>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778" w:type="dxa"/>
            <w:vAlign w:val="center"/>
          </w:tcPr>
          <w:p>
            <w:pPr>
              <w:spacing w:line="360" w:lineRule="auto"/>
              <w:jc w:val="center"/>
              <w:rPr>
                <w:color w:val="auto"/>
                <w:sz w:val="24"/>
              </w:rPr>
            </w:pPr>
            <w:r>
              <w:rPr>
                <w:color w:val="auto"/>
                <w:sz w:val="24"/>
              </w:rPr>
              <w:t>固体废物</w:t>
            </w:r>
          </w:p>
        </w:tc>
        <w:tc>
          <w:tcPr>
            <w:tcW w:w="7022" w:type="dxa"/>
            <w:gridSpan w:val="4"/>
            <w:vAlign w:val="center"/>
          </w:tcPr>
          <w:p>
            <w:pPr>
              <w:spacing w:line="360" w:lineRule="auto"/>
              <w:ind w:firstLine="480" w:firstLineChars="200"/>
              <w:jc w:val="left"/>
              <w:rPr>
                <w:color w:val="auto"/>
                <w:sz w:val="24"/>
              </w:rPr>
            </w:pPr>
            <w:r>
              <w:rPr>
                <w:color w:val="auto"/>
                <w:sz w:val="24"/>
              </w:rPr>
              <w:t>职工生活垃圾由垃圾桶收集后，交由环卫部门处置；过期、残次的烟花爆竹储存在危废贮存点内，定期交由尉犁县公安局销毁。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778" w:type="dxa"/>
            <w:vAlign w:val="center"/>
          </w:tcPr>
          <w:p>
            <w:pPr>
              <w:spacing w:line="360" w:lineRule="auto"/>
              <w:jc w:val="center"/>
              <w:rPr>
                <w:color w:val="auto"/>
                <w:sz w:val="24"/>
              </w:rPr>
            </w:pPr>
            <w:r>
              <w:rPr>
                <w:color w:val="auto"/>
                <w:sz w:val="24"/>
              </w:rPr>
              <w:t>土壤及地下水</w:t>
            </w:r>
          </w:p>
          <w:p>
            <w:pPr>
              <w:spacing w:line="360" w:lineRule="auto"/>
              <w:jc w:val="center"/>
              <w:rPr>
                <w:color w:val="auto"/>
                <w:sz w:val="24"/>
              </w:rPr>
            </w:pPr>
            <w:r>
              <w:rPr>
                <w:color w:val="auto"/>
                <w:sz w:val="24"/>
              </w:rPr>
              <w:t>污染防治措施</w:t>
            </w:r>
          </w:p>
        </w:tc>
        <w:tc>
          <w:tcPr>
            <w:tcW w:w="7022" w:type="dxa"/>
            <w:gridSpan w:val="4"/>
            <w:vAlign w:val="center"/>
          </w:tcPr>
          <w:p>
            <w:pPr>
              <w:spacing w:line="360" w:lineRule="auto"/>
              <w:ind w:firstLine="480" w:firstLineChars="200"/>
              <w:jc w:val="left"/>
              <w:rPr>
                <w:color w:val="auto"/>
                <w:sz w:val="24"/>
              </w:rPr>
            </w:pPr>
            <w:r>
              <w:rPr>
                <w:color w:val="auto"/>
                <w:sz w:val="24"/>
              </w:rPr>
              <w:t>本项目采取分区防渗的措施，重点防渗区为危废贮存点</w:t>
            </w:r>
            <w:r>
              <w:rPr>
                <w:rFonts w:hint="eastAsia"/>
                <w:color w:val="auto"/>
                <w:sz w:val="24"/>
              </w:rPr>
              <w:t>、</w:t>
            </w:r>
            <w:r>
              <w:rPr>
                <w:color w:val="auto"/>
                <w:sz w:val="24"/>
              </w:rPr>
              <w:t>消防水池，一般防渗区为防渗化粪池，简单防渗区为仓库、值班室及消防控制室、消防泵房及发电机房。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78" w:type="dxa"/>
            <w:vAlign w:val="center"/>
          </w:tcPr>
          <w:p>
            <w:pPr>
              <w:spacing w:line="360" w:lineRule="auto"/>
              <w:jc w:val="center"/>
              <w:rPr>
                <w:color w:val="auto"/>
                <w:sz w:val="24"/>
              </w:rPr>
            </w:pPr>
            <w:r>
              <w:rPr>
                <w:color w:val="auto"/>
                <w:sz w:val="24"/>
              </w:rPr>
              <w:t>生态保护措施</w:t>
            </w:r>
          </w:p>
        </w:tc>
        <w:tc>
          <w:tcPr>
            <w:tcW w:w="7022" w:type="dxa"/>
            <w:gridSpan w:val="4"/>
            <w:vAlign w:val="center"/>
          </w:tcPr>
          <w:p>
            <w:pPr>
              <w:spacing w:line="360" w:lineRule="auto"/>
              <w:ind w:firstLine="480" w:firstLineChars="200"/>
              <w:jc w:val="left"/>
              <w:rPr>
                <w:color w:val="auto"/>
                <w:sz w:val="24"/>
              </w:rPr>
            </w:pPr>
            <w:r>
              <w:rPr>
                <w:color w:val="auto"/>
                <w:sz w:val="24"/>
              </w:rPr>
              <w:t>本项目周围无生态敏感点，无野生动植物保护，因此只需加强绿化、强化生态保护意识采取植被保护、水土流失防治等生态保护综合治理措施。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778" w:type="dxa"/>
            <w:vAlign w:val="center"/>
          </w:tcPr>
          <w:p>
            <w:pPr>
              <w:spacing w:line="360" w:lineRule="auto"/>
              <w:jc w:val="center"/>
              <w:rPr>
                <w:color w:val="auto"/>
                <w:sz w:val="24"/>
              </w:rPr>
            </w:pPr>
            <w:r>
              <w:rPr>
                <w:color w:val="auto"/>
                <w:sz w:val="24"/>
              </w:rPr>
              <w:t>环境风险</w:t>
            </w:r>
          </w:p>
          <w:p>
            <w:pPr>
              <w:spacing w:line="360" w:lineRule="auto"/>
              <w:jc w:val="center"/>
              <w:rPr>
                <w:color w:val="auto"/>
                <w:sz w:val="24"/>
              </w:rPr>
            </w:pPr>
            <w:r>
              <w:rPr>
                <w:color w:val="auto"/>
                <w:sz w:val="24"/>
              </w:rPr>
              <w:t>防范措施</w:t>
            </w:r>
          </w:p>
        </w:tc>
        <w:tc>
          <w:tcPr>
            <w:tcW w:w="7022" w:type="dxa"/>
            <w:gridSpan w:val="4"/>
            <w:vAlign w:val="center"/>
          </w:tcPr>
          <w:p>
            <w:pPr>
              <w:spacing w:line="360" w:lineRule="auto"/>
              <w:ind w:firstLine="480" w:firstLineChars="200"/>
              <w:jc w:val="left"/>
              <w:rPr>
                <w:color w:val="auto"/>
                <w:sz w:val="24"/>
              </w:rPr>
            </w:pPr>
            <w:r>
              <w:rPr>
                <w:color w:val="auto"/>
                <w:sz w:val="24"/>
              </w:rPr>
              <w:t>①项目</w:t>
            </w:r>
            <w:r>
              <w:rPr>
                <w:rFonts w:hint="eastAsia"/>
                <w:color w:val="auto"/>
                <w:sz w:val="24"/>
              </w:rPr>
              <w:t>仓库</w:t>
            </w:r>
            <w:r>
              <w:rPr>
                <w:color w:val="auto"/>
                <w:sz w:val="24"/>
              </w:rPr>
              <w:t>建设过程中应严格参照《烟花爆竹工程设计安全标准》（GB50161-2022）、《建筑设计防火规范（2018年版）》（GB50016-2014）、《建筑物防雷设计规范》（GB50057-2010）等国家规范进行设计；</w:t>
            </w:r>
          </w:p>
          <w:p>
            <w:pPr>
              <w:spacing w:line="360" w:lineRule="auto"/>
              <w:ind w:firstLine="480" w:firstLineChars="200"/>
              <w:jc w:val="left"/>
              <w:rPr>
                <w:color w:val="auto"/>
                <w:sz w:val="24"/>
              </w:rPr>
            </w:pPr>
            <w:r>
              <w:rPr>
                <w:color w:val="auto"/>
                <w:sz w:val="24"/>
              </w:rPr>
              <w:t>②配备应急物资，设置消防水池400m</w:t>
            </w:r>
            <w:r>
              <w:rPr>
                <w:color w:val="auto"/>
                <w:sz w:val="24"/>
                <w:vertAlign w:val="superscript"/>
              </w:rPr>
              <w:t>3</w:t>
            </w:r>
            <w:r>
              <w:rPr>
                <w:color w:val="auto"/>
                <w:sz w:val="24"/>
              </w:rPr>
              <w:t>；</w:t>
            </w:r>
          </w:p>
          <w:p>
            <w:pPr>
              <w:spacing w:line="360" w:lineRule="auto"/>
              <w:ind w:firstLine="480" w:firstLineChars="200"/>
              <w:jc w:val="left"/>
              <w:rPr>
                <w:color w:val="auto"/>
                <w:sz w:val="24"/>
              </w:rPr>
            </w:pPr>
            <w:r>
              <w:rPr>
                <w:color w:val="auto"/>
                <w:sz w:val="24"/>
              </w:rPr>
              <w:t>③</w:t>
            </w:r>
            <w:r>
              <w:rPr>
                <w:rFonts w:hint="eastAsia" w:ascii="宋体" w:hAnsi="宋体"/>
                <w:color w:val="auto"/>
                <w:sz w:val="24"/>
              </w:rPr>
              <w:t>企业需在投产前编制完成针对性强、可操作的《尉犁县祥立烟花爆竹销售有限公司突发环境事件应急预案》并报当地生态环境主管部门备案，未完成备案前不得通过竣工环境保护验收</w:t>
            </w:r>
            <w:r>
              <w:rPr>
                <w:color w:val="auto"/>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778" w:type="dxa"/>
            <w:vAlign w:val="center"/>
          </w:tcPr>
          <w:p>
            <w:pPr>
              <w:spacing w:line="360" w:lineRule="auto"/>
              <w:jc w:val="center"/>
              <w:rPr>
                <w:color w:val="auto"/>
                <w:sz w:val="24"/>
              </w:rPr>
            </w:pPr>
            <w:r>
              <w:rPr>
                <w:color w:val="auto"/>
                <w:sz w:val="24"/>
              </w:rPr>
              <w:t>其他环境</w:t>
            </w:r>
          </w:p>
          <w:p>
            <w:pPr>
              <w:spacing w:line="360" w:lineRule="auto"/>
              <w:jc w:val="center"/>
              <w:rPr>
                <w:color w:val="auto"/>
                <w:sz w:val="24"/>
              </w:rPr>
            </w:pPr>
            <w:r>
              <w:rPr>
                <w:color w:val="auto"/>
                <w:sz w:val="24"/>
              </w:rPr>
              <w:t>管理要求</w:t>
            </w:r>
          </w:p>
        </w:tc>
        <w:tc>
          <w:tcPr>
            <w:tcW w:w="7022" w:type="dxa"/>
            <w:gridSpan w:val="4"/>
            <w:vAlign w:val="center"/>
          </w:tcPr>
          <w:p>
            <w:pPr>
              <w:spacing w:line="360" w:lineRule="auto"/>
              <w:ind w:firstLine="480" w:firstLineChars="200"/>
              <w:jc w:val="left"/>
              <w:rPr>
                <w:color w:val="auto"/>
                <w:sz w:val="24"/>
              </w:rPr>
            </w:pPr>
            <w:r>
              <w:rPr>
                <w:color w:val="auto"/>
                <w:sz w:val="24"/>
              </w:rPr>
              <w:t>①建设单位应设置环保管理人员，负责厂区环保工作日常事务。环保管理人员应做到有职、有权、有责，切实担负起环境保护管理及监督责任。该人员除对项目负责外，也应与地方环境保护管理部门加强联系，使项目环保工作纳入地方环境管理工作系统。</w:t>
            </w:r>
          </w:p>
          <w:p>
            <w:pPr>
              <w:spacing w:line="360" w:lineRule="auto"/>
              <w:ind w:firstLine="480" w:firstLineChars="200"/>
              <w:jc w:val="left"/>
              <w:rPr>
                <w:color w:val="auto"/>
                <w:sz w:val="24"/>
              </w:rPr>
            </w:pPr>
            <w:r>
              <w:rPr>
                <w:color w:val="auto"/>
                <w:sz w:val="24"/>
              </w:rPr>
              <w:t>②安排组织员工的环保教育、培训和考核，增强员工的环保意识和环境法治观念；推广并应用先进的环境保护管理经验和污染治理技术，提高环保管理人员业务水平。</w:t>
            </w:r>
          </w:p>
          <w:p>
            <w:pPr>
              <w:spacing w:line="360" w:lineRule="auto"/>
              <w:ind w:firstLine="480" w:firstLineChars="200"/>
              <w:jc w:val="left"/>
              <w:rPr>
                <w:color w:val="auto"/>
                <w:sz w:val="24"/>
              </w:rPr>
            </w:pPr>
            <w:r>
              <w:rPr>
                <w:color w:val="auto"/>
                <w:sz w:val="24"/>
              </w:rPr>
              <w:t>③按照《排污许可管理条例》（中华人民共和国国务院令 第736号）要求，企业在建成实际排污前应依法申请取得企业排污登记，未取得排污登记的，不得排放污染物。</w:t>
            </w:r>
          </w:p>
          <w:p>
            <w:pPr>
              <w:spacing w:line="360" w:lineRule="auto"/>
              <w:ind w:firstLine="480" w:firstLineChars="200"/>
              <w:jc w:val="left"/>
              <w:rPr>
                <w:color w:val="auto"/>
                <w:sz w:val="24"/>
              </w:rPr>
            </w:pPr>
            <w:r>
              <w:rPr>
                <w:color w:val="auto"/>
                <w:sz w:val="24"/>
              </w:rPr>
              <w:t>④建设项目竣工后，由建设单位根据《建设项目竣工环境保护验收技术指南 污染影响类》按照规定程序和标准自行组织“三同时”环保竣工验收。</w:t>
            </w:r>
          </w:p>
          <w:p>
            <w:pPr>
              <w:spacing w:line="360" w:lineRule="auto"/>
              <w:ind w:firstLine="480" w:firstLineChars="200"/>
              <w:jc w:val="left"/>
              <w:rPr>
                <w:color w:val="auto"/>
                <w:sz w:val="24"/>
              </w:rPr>
            </w:pPr>
            <w:r>
              <w:rPr>
                <w:color w:val="auto"/>
                <w:sz w:val="24"/>
              </w:rPr>
              <w:t>⑤企业在正常运行期间，设置危废管理台账，按照固废防治法等要求进行危废暂存、处置，不得随意丢弃及擅自处置。</w:t>
            </w:r>
          </w:p>
          <w:p>
            <w:pPr>
              <w:spacing w:line="360" w:lineRule="auto"/>
              <w:ind w:firstLine="480" w:firstLineChars="200"/>
              <w:jc w:val="left"/>
              <w:rPr>
                <w:color w:val="auto"/>
                <w:sz w:val="24"/>
              </w:rPr>
            </w:pPr>
            <w:r>
              <w:rPr>
                <w:color w:val="auto"/>
                <w:sz w:val="24"/>
              </w:rPr>
              <w:t>⑥企业应自行组织编制企业环境风险事故应急预案，报生态环境主管部门备案，并定期组织演练及培训。</w:t>
            </w:r>
          </w:p>
        </w:tc>
      </w:tr>
    </w:tbl>
    <w:p>
      <w:pPr>
        <w:spacing w:line="300" w:lineRule="exact"/>
        <w:jc w:val="center"/>
        <w:rPr>
          <w:rFonts w:eastAsia="黑体"/>
          <w:snapToGrid w:val="0"/>
          <w:color w:val="auto"/>
          <w:sz w:val="30"/>
          <w:szCs w:val="30"/>
        </w:rPr>
      </w:pPr>
      <w:r>
        <w:rPr>
          <w:color w:val="auto"/>
          <w:szCs w:val="21"/>
        </w:rPr>
        <w:br w:type="page"/>
      </w:r>
      <w:r>
        <w:rPr>
          <w:rFonts w:eastAsia="黑体"/>
          <w:snapToGrid w:val="0"/>
          <w:color w:val="auto"/>
          <w:sz w:val="30"/>
          <w:szCs w:val="30"/>
        </w:rPr>
        <w:t>六、结论</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pPr>
              <w:spacing w:line="520" w:lineRule="exact"/>
              <w:ind w:firstLine="480" w:firstLineChars="200"/>
              <w:jc w:val="center"/>
              <w:rPr>
                <w:color w:val="auto"/>
                <w:sz w:val="24"/>
              </w:rPr>
            </w:pPr>
            <w:r>
              <w:rPr>
                <w:color w:val="auto"/>
                <w:sz w:val="24"/>
              </w:rPr>
              <w:t>项目生产运营会产生噪声、废水、废气及固体废物，经评价分析，在全面落实本报告提出的各项环保措施和建议的基础上，落实本项目的污染防治对策，加强环保管理，确保环保设施的正常高效运行，则环境污染可基本得到控制，做到污染物达标排放，对周围环境影响不大。因此，从环保角度而言本项目的建设是可行的。</w:t>
            </w:r>
          </w:p>
        </w:tc>
      </w:tr>
    </w:tbl>
    <w:p>
      <w:pPr>
        <w:rPr>
          <w:color w:val="auto"/>
        </w:rPr>
        <w:sectPr>
          <w:pgSz w:w="11906" w:h="16838"/>
          <w:pgMar w:top="1701" w:right="1531" w:bottom="1701" w:left="1531" w:header="851" w:footer="851" w:gutter="0"/>
          <w:cols w:space="720" w:num="1"/>
          <w:docGrid w:linePitch="312" w:charSpace="0"/>
        </w:sectPr>
      </w:pPr>
    </w:p>
    <w:p>
      <w:pPr>
        <w:pStyle w:val="23"/>
        <w:adjustRightInd w:val="0"/>
        <w:snapToGrid w:val="0"/>
        <w:spacing w:before="0" w:beforeAutospacing="0" w:after="0" w:afterAutospacing="0" w:line="648" w:lineRule="auto"/>
        <w:outlineLvl w:val="0"/>
        <w:rPr>
          <w:rFonts w:ascii="Times New Roman" w:hAnsi="Times New Roman" w:eastAsia="黑体"/>
          <w:snapToGrid w:val="0"/>
          <w:color w:val="auto"/>
          <w:sz w:val="32"/>
          <w:szCs w:val="32"/>
        </w:rPr>
      </w:pPr>
      <w:r>
        <w:rPr>
          <w:rFonts w:ascii="Times New Roman" w:hAnsi="Times New Roman" w:eastAsia="黑体"/>
          <w:snapToGrid w:val="0"/>
          <w:color w:val="auto"/>
          <w:sz w:val="32"/>
          <w:szCs w:val="32"/>
        </w:rPr>
        <w:t>附表</w:t>
      </w:r>
    </w:p>
    <w:p>
      <w:pPr>
        <w:pStyle w:val="23"/>
        <w:adjustRightInd w:val="0"/>
        <w:snapToGrid w:val="0"/>
        <w:spacing w:before="0" w:beforeAutospacing="0" w:after="0" w:afterAutospacing="0"/>
        <w:jc w:val="center"/>
        <w:outlineLvl w:val="0"/>
        <w:rPr>
          <w:rFonts w:ascii="Times New Roman" w:hAnsi="Times New Roman" w:eastAsia="方正小标宋_GBK"/>
          <w:snapToGrid w:val="0"/>
          <w:color w:val="auto"/>
          <w:sz w:val="38"/>
          <w:szCs w:val="38"/>
        </w:rPr>
      </w:pPr>
      <w:r>
        <w:rPr>
          <w:rFonts w:ascii="Times New Roman" w:hAnsi="Times New Roman" w:eastAsia="方正小标宋_GBK"/>
          <w:snapToGrid w:val="0"/>
          <w:color w:val="auto"/>
          <w:sz w:val="38"/>
          <w:szCs w:val="38"/>
        </w:rPr>
        <w:t>建设项目污染物排放量汇总表</w:t>
      </w:r>
    </w:p>
    <w:tbl>
      <w:tblPr>
        <w:tblStyle w:val="2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1699"/>
        <w:gridCol w:w="1548"/>
        <w:gridCol w:w="1276"/>
        <w:gridCol w:w="1701"/>
        <w:gridCol w:w="1559"/>
        <w:gridCol w:w="1761"/>
        <w:gridCol w:w="1493"/>
        <w:gridCol w:w="12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59" w:type="dxa"/>
            <w:tcBorders>
              <w:tl2br w:val="single" w:color="auto" w:sz="4" w:space="0"/>
            </w:tcBorders>
            <w:tcMar>
              <w:left w:w="28" w:type="dxa"/>
              <w:right w:w="28" w:type="dxa"/>
            </w:tcMar>
            <w:vAlign w:val="center"/>
          </w:tcPr>
          <w:p>
            <w:pPr>
              <w:pStyle w:val="33"/>
              <w:spacing w:beforeLines="0" w:afterLines="0" w:line="240" w:lineRule="auto"/>
              <w:jc w:val="right"/>
              <w:rPr>
                <w:rFonts w:ascii="Times New Roman" w:eastAsia="黑体"/>
                <w:snapToGrid w:val="0"/>
                <w:color w:val="auto"/>
                <w:spacing w:val="-6"/>
                <w:kern w:val="21"/>
                <w:szCs w:val="21"/>
              </w:rPr>
            </w:pPr>
            <w:r>
              <w:rPr>
                <w:rFonts w:ascii="Times New Roman" w:eastAsia="黑体"/>
                <w:snapToGrid w:val="0"/>
                <w:color w:val="auto"/>
                <w:spacing w:val="-6"/>
                <w:kern w:val="21"/>
                <w:szCs w:val="21"/>
              </w:rPr>
              <w:t>项目</w:t>
            </w:r>
          </w:p>
          <w:p>
            <w:pPr>
              <w:pStyle w:val="33"/>
              <w:spacing w:beforeLines="0" w:afterLines="0" w:line="240" w:lineRule="auto"/>
              <w:jc w:val="left"/>
              <w:rPr>
                <w:rFonts w:ascii="Times New Roman" w:eastAsia="黑体"/>
                <w:snapToGrid w:val="0"/>
                <w:color w:val="auto"/>
                <w:spacing w:val="-6"/>
                <w:kern w:val="21"/>
                <w:szCs w:val="21"/>
              </w:rPr>
            </w:pPr>
            <w:r>
              <w:rPr>
                <w:rFonts w:ascii="Times New Roman" w:eastAsia="黑体"/>
                <w:snapToGrid w:val="0"/>
                <w:color w:val="auto"/>
                <w:spacing w:val="-6"/>
                <w:kern w:val="21"/>
                <w:szCs w:val="21"/>
              </w:rPr>
              <w:t>分类</w:t>
            </w:r>
          </w:p>
        </w:tc>
        <w:tc>
          <w:tcPr>
            <w:tcW w:w="1699" w:type="dxa"/>
            <w:tcMar>
              <w:left w:w="28" w:type="dxa"/>
              <w:right w:w="28" w:type="dxa"/>
            </w:tcMar>
            <w:vAlign w:val="center"/>
          </w:tcPr>
          <w:p>
            <w:pPr>
              <w:pStyle w:val="33"/>
              <w:spacing w:beforeLines="0" w:afterLines="0" w:line="240" w:lineRule="auto"/>
              <w:rPr>
                <w:rFonts w:ascii="Times New Roman" w:eastAsia="黑体"/>
                <w:snapToGrid w:val="0"/>
                <w:color w:val="auto"/>
                <w:spacing w:val="-6"/>
                <w:kern w:val="21"/>
                <w:szCs w:val="21"/>
              </w:rPr>
            </w:pPr>
            <w:r>
              <w:rPr>
                <w:rFonts w:ascii="Times New Roman" w:eastAsia="黑体"/>
                <w:snapToGrid w:val="0"/>
                <w:color w:val="auto"/>
                <w:spacing w:val="-6"/>
                <w:kern w:val="21"/>
                <w:szCs w:val="21"/>
              </w:rPr>
              <w:t>污染物名称</w:t>
            </w:r>
          </w:p>
        </w:tc>
        <w:tc>
          <w:tcPr>
            <w:tcW w:w="1548" w:type="dxa"/>
            <w:tcMar>
              <w:left w:w="28" w:type="dxa"/>
              <w:right w:w="28" w:type="dxa"/>
            </w:tcMar>
            <w:vAlign w:val="center"/>
          </w:tcPr>
          <w:p>
            <w:pPr>
              <w:pStyle w:val="33"/>
              <w:spacing w:beforeLines="0" w:afterLines="0" w:line="240" w:lineRule="auto"/>
              <w:rPr>
                <w:rFonts w:ascii="Times New Roman" w:eastAsia="黑体"/>
                <w:snapToGrid w:val="0"/>
                <w:color w:val="auto"/>
                <w:spacing w:val="-6"/>
                <w:kern w:val="21"/>
                <w:szCs w:val="21"/>
              </w:rPr>
            </w:pPr>
            <w:r>
              <w:rPr>
                <w:rFonts w:ascii="Times New Roman" w:eastAsia="黑体"/>
                <w:snapToGrid w:val="0"/>
                <w:color w:val="auto"/>
                <w:spacing w:val="-6"/>
                <w:kern w:val="21"/>
                <w:szCs w:val="21"/>
              </w:rPr>
              <w:t>现有工程</w:t>
            </w:r>
          </w:p>
          <w:p>
            <w:pPr>
              <w:pStyle w:val="33"/>
              <w:spacing w:beforeLines="0" w:afterLines="0" w:line="240" w:lineRule="auto"/>
              <w:rPr>
                <w:rFonts w:ascii="Times New Roman" w:eastAsia="黑体"/>
                <w:snapToGrid w:val="0"/>
                <w:color w:val="auto"/>
                <w:spacing w:val="-6"/>
                <w:kern w:val="21"/>
                <w:szCs w:val="21"/>
              </w:rPr>
            </w:pPr>
            <w:r>
              <w:rPr>
                <w:rFonts w:ascii="Times New Roman" w:eastAsia="黑体"/>
                <w:snapToGrid w:val="0"/>
                <w:color w:val="auto"/>
                <w:spacing w:val="-6"/>
                <w:kern w:val="21"/>
                <w:szCs w:val="21"/>
              </w:rPr>
              <w:t>排放量（固体废物产生量）</w:t>
            </w:r>
            <w:r>
              <w:rPr>
                <w:rFonts w:ascii="Times New Roman" w:eastAsia="黑体"/>
                <w:color w:val="auto"/>
                <w:kern w:val="2"/>
                <w:szCs w:val="21"/>
              </w:rPr>
              <w:t>①</w:t>
            </w:r>
          </w:p>
        </w:tc>
        <w:tc>
          <w:tcPr>
            <w:tcW w:w="1276" w:type="dxa"/>
            <w:tcMar>
              <w:left w:w="28" w:type="dxa"/>
              <w:right w:w="28" w:type="dxa"/>
            </w:tcMar>
            <w:vAlign w:val="center"/>
          </w:tcPr>
          <w:p>
            <w:pPr>
              <w:pStyle w:val="33"/>
              <w:spacing w:beforeLines="0" w:afterLines="0" w:line="240" w:lineRule="auto"/>
              <w:rPr>
                <w:rFonts w:ascii="Times New Roman" w:eastAsia="黑体"/>
                <w:snapToGrid w:val="0"/>
                <w:color w:val="auto"/>
                <w:spacing w:val="-6"/>
                <w:kern w:val="21"/>
                <w:szCs w:val="21"/>
              </w:rPr>
            </w:pPr>
            <w:r>
              <w:rPr>
                <w:rFonts w:ascii="Times New Roman" w:eastAsia="黑体"/>
                <w:snapToGrid w:val="0"/>
                <w:color w:val="auto"/>
                <w:spacing w:val="-6"/>
                <w:kern w:val="21"/>
                <w:szCs w:val="21"/>
              </w:rPr>
              <w:t>现有工程</w:t>
            </w:r>
          </w:p>
          <w:p>
            <w:pPr>
              <w:pStyle w:val="33"/>
              <w:spacing w:beforeLines="0" w:afterLines="0" w:line="240" w:lineRule="auto"/>
              <w:rPr>
                <w:rFonts w:ascii="Times New Roman" w:eastAsia="黑体"/>
                <w:snapToGrid w:val="0"/>
                <w:color w:val="auto"/>
                <w:spacing w:val="-6"/>
                <w:kern w:val="21"/>
                <w:szCs w:val="21"/>
              </w:rPr>
            </w:pPr>
            <w:r>
              <w:rPr>
                <w:rFonts w:ascii="Times New Roman" w:eastAsia="黑体"/>
                <w:snapToGrid w:val="0"/>
                <w:color w:val="auto"/>
                <w:spacing w:val="-6"/>
                <w:kern w:val="21"/>
                <w:szCs w:val="21"/>
              </w:rPr>
              <w:t>许可排放量</w:t>
            </w:r>
          </w:p>
          <w:p>
            <w:pPr>
              <w:pStyle w:val="33"/>
              <w:spacing w:beforeLines="0" w:afterLines="0"/>
              <w:rPr>
                <w:rFonts w:ascii="Times New Roman" w:eastAsia="黑体"/>
                <w:snapToGrid w:val="0"/>
                <w:color w:val="auto"/>
                <w:spacing w:val="-6"/>
                <w:kern w:val="21"/>
                <w:szCs w:val="21"/>
              </w:rPr>
            </w:pPr>
            <w:r>
              <w:rPr>
                <w:rFonts w:ascii="Times New Roman" w:eastAsia="黑体"/>
                <w:snapToGrid w:val="0"/>
                <w:color w:val="auto"/>
                <w:spacing w:val="-6"/>
                <w:kern w:val="21"/>
                <w:szCs w:val="21"/>
              </w:rPr>
              <w:t>②</w:t>
            </w:r>
          </w:p>
        </w:tc>
        <w:tc>
          <w:tcPr>
            <w:tcW w:w="1701" w:type="dxa"/>
            <w:tcMar>
              <w:left w:w="28" w:type="dxa"/>
              <w:right w:w="28" w:type="dxa"/>
            </w:tcMar>
            <w:vAlign w:val="center"/>
          </w:tcPr>
          <w:p>
            <w:pPr>
              <w:pStyle w:val="33"/>
              <w:spacing w:beforeLines="0" w:afterLines="0" w:line="240" w:lineRule="auto"/>
              <w:rPr>
                <w:rFonts w:ascii="Times New Roman" w:eastAsia="黑体"/>
                <w:snapToGrid w:val="0"/>
                <w:color w:val="auto"/>
                <w:spacing w:val="-6"/>
                <w:kern w:val="21"/>
                <w:szCs w:val="21"/>
              </w:rPr>
            </w:pPr>
            <w:r>
              <w:rPr>
                <w:rFonts w:ascii="Times New Roman" w:eastAsia="黑体"/>
                <w:snapToGrid w:val="0"/>
                <w:color w:val="auto"/>
                <w:spacing w:val="-6"/>
                <w:kern w:val="21"/>
                <w:szCs w:val="21"/>
              </w:rPr>
              <w:t>在建工程</w:t>
            </w:r>
          </w:p>
          <w:p>
            <w:pPr>
              <w:pStyle w:val="33"/>
              <w:spacing w:beforeLines="0" w:afterLines="0" w:line="240" w:lineRule="auto"/>
              <w:rPr>
                <w:rFonts w:ascii="Times New Roman" w:eastAsia="黑体"/>
                <w:snapToGrid w:val="0"/>
                <w:color w:val="auto"/>
                <w:spacing w:val="-6"/>
                <w:kern w:val="21"/>
                <w:szCs w:val="21"/>
              </w:rPr>
            </w:pPr>
            <w:r>
              <w:rPr>
                <w:rFonts w:ascii="Times New Roman" w:eastAsia="黑体"/>
                <w:snapToGrid w:val="0"/>
                <w:color w:val="auto"/>
                <w:spacing w:val="-6"/>
                <w:kern w:val="21"/>
                <w:szCs w:val="21"/>
              </w:rPr>
              <w:t>排放量（固体废物产生量）</w:t>
            </w:r>
            <w:r>
              <w:rPr>
                <w:rFonts w:ascii="Times New Roman" w:eastAsia="黑体"/>
                <w:color w:val="auto"/>
                <w:kern w:val="2"/>
                <w:szCs w:val="21"/>
              </w:rPr>
              <w:t>③</w:t>
            </w:r>
          </w:p>
        </w:tc>
        <w:tc>
          <w:tcPr>
            <w:tcW w:w="1559" w:type="dxa"/>
            <w:tcMar>
              <w:left w:w="28" w:type="dxa"/>
              <w:right w:w="28" w:type="dxa"/>
            </w:tcMar>
            <w:vAlign w:val="center"/>
          </w:tcPr>
          <w:p>
            <w:pPr>
              <w:pStyle w:val="33"/>
              <w:spacing w:beforeLines="0" w:afterLines="0" w:line="240" w:lineRule="auto"/>
              <w:rPr>
                <w:rFonts w:ascii="Times New Roman" w:eastAsia="黑体"/>
                <w:snapToGrid w:val="0"/>
                <w:color w:val="auto"/>
                <w:spacing w:val="-6"/>
                <w:kern w:val="21"/>
                <w:szCs w:val="21"/>
              </w:rPr>
            </w:pPr>
            <w:r>
              <w:rPr>
                <w:rFonts w:ascii="Times New Roman" w:eastAsia="黑体"/>
                <w:snapToGrid w:val="0"/>
                <w:color w:val="auto"/>
                <w:spacing w:val="-6"/>
                <w:kern w:val="21"/>
                <w:szCs w:val="21"/>
              </w:rPr>
              <w:t>本项目</w:t>
            </w:r>
          </w:p>
          <w:p>
            <w:pPr>
              <w:pStyle w:val="33"/>
              <w:spacing w:beforeLines="0" w:afterLines="0" w:line="240" w:lineRule="auto"/>
              <w:rPr>
                <w:rFonts w:ascii="Times New Roman" w:eastAsia="黑体"/>
                <w:snapToGrid w:val="0"/>
                <w:color w:val="auto"/>
                <w:spacing w:val="-6"/>
                <w:kern w:val="21"/>
                <w:szCs w:val="21"/>
              </w:rPr>
            </w:pPr>
            <w:r>
              <w:rPr>
                <w:rFonts w:ascii="Times New Roman" w:eastAsia="黑体"/>
                <w:snapToGrid w:val="0"/>
                <w:color w:val="auto"/>
                <w:spacing w:val="-6"/>
                <w:kern w:val="21"/>
                <w:szCs w:val="21"/>
              </w:rPr>
              <w:t>排放量（固体废物产生量）</w:t>
            </w:r>
            <w:r>
              <w:rPr>
                <w:rFonts w:ascii="Times New Roman" w:eastAsia="黑体"/>
                <w:color w:val="auto"/>
                <w:kern w:val="2"/>
                <w:szCs w:val="21"/>
              </w:rPr>
              <w:t>④</w:t>
            </w:r>
          </w:p>
        </w:tc>
        <w:tc>
          <w:tcPr>
            <w:tcW w:w="1761" w:type="dxa"/>
            <w:tcMar>
              <w:left w:w="28" w:type="dxa"/>
              <w:right w:w="28" w:type="dxa"/>
            </w:tcMar>
            <w:vAlign w:val="center"/>
          </w:tcPr>
          <w:p>
            <w:pPr>
              <w:pStyle w:val="33"/>
              <w:spacing w:beforeLines="0" w:afterLines="0" w:line="240" w:lineRule="auto"/>
              <w:rPr>
                <w:rFonts w:ascii="Times New Roman" w:eastAsia="黑体"/>
                <w:snapToGrid w:val="0"/>
                <w:color w:val="auto"/>
                <w:spacing w:val="-16"/>
                <w:kern w:val="21"/>
                <w:szCs w:val="21"/>
              </w:rPr>
            </w:pPr>
            <w:r>
              <w:rPr>
                <w:rFonts w:ascii="Times New Roman" w:eastAsia="黑体"/>
                <w:snapToGrid w:val="0"/>
                <w:color w:val="auto"/>
                <w:spacing w:val="-16"/>
                <w:kern w:val="21"/>
                <w:szCs w:val="21"/>
              </w:rPr>
              <w:t>以新带老削减量</w:t>
            </w:r>
          </w:p>
          <w:p>
            <w:pPr>
              <w:pStyle w:val="33"/>
              <w:spacing w:beforeLines="0" w:afterLines="0" w:line="240" w:lineRule="auto"/>
              <w:rPr>
                <w:rFonts w:ascii="Times New Roman" w:eastAsia="黑体"/>
                <w:snapToGrid w:val="0"/>
                <w:color w:val="auto"/>
                <w:spacing w:val="-16"/>
                <w:kern w:val="21"/>
                <w:szCs w:val="21"/>
              </w:rPr>
            </w:pPr>
            <w:r>
              <w:rPr>
                <w:rFonts w:ascii="Times New Roman" w:eastAsia="黑体"/>
                <w:snapToGrid w:val="0"/>
                <w:color w:val="auto"/>
                <w:spacing w:val="-16"/>
                <w:kern w:val="21"/>
                <w:szCs w:val="21"/>
              </w:rPr>
              <w:t>（新建项目不填）</w:t>
            </w:r>
            <w:r>
              <w:rPr>
                <w:rFonts w:ascii="Times New Roman" w:eastAsia="黑体"/>
                <w:color w:val="auto"/>
                <w:kern w:val="2"/>
                <w:szCs w:val="21"/>
              </w:rPr>
              <w:t>⑤</w:t>
            </w:r>
          </w:p>
        </w:tc>
        <w:tc>
          <w:tcPr>
            <w:tcW w:w="1493" w:type="dxa"/>
            <w:tcMar>
              <w:left w:w="28" w:type="dxa"/>
              <w:right w:w="28" w:type="dxa"/>
            </w:tcMar>
            <w:vAlign w:val="center"/>
          </w:tcPr>
          <w:p>
            <w:pPr>
              <w:pStyle w:val="33"/>
              <w:spacing w:beforeLines="0" w:afterLines="0" w:line="240" w:lineRule="auto"/>
              <w:rPr>
                <w:rFonts w:ascii="Times New Roman" w:eastAsia="黑体"/>
                <w:snapToGrid w:val="0"/>
                <w:color w:val="auto"/>
                <w:spacing w:val="-16"/>
                <w:kern w:val="21"/>
                <w:szCs w:val="21"/>
              </w:rPr>
            </w:pPr>
            <w:r>
              <w:rPr>
                <w:rFonts w:ascii="Times New Roman" w:eastAsia="黑体"/>
                <w:snapToGrid w:val="0"/>
                <w:color w:val="auto"/>
                <w:spacing w:val="-16"/>
                <w:kern w:val="21"/>
                <w:szCs w:val="21"/>
              </w:rPr>
              <w:t>本项目建成后</w:t>
            </w:r>
          </w:p>
          <w:p>
            <w:pPr>
              <w:pStyle w:val="33"/>
              <w:spacing w:beforeLines="0" w:afterLines="0" w:line="240" w:lineRule="auto"/>
              <w:rPr>
                <w:rFonts w:ascii="Times New Roman" w:eastAsia="黑体"/>
                <w:snapToGrid w:val="0"/>
                <w:color w:val="auto"/>
                <w:spacing w:val="-16"/>
                <w:kern w:val="21"/>
                <w:szCs w:val="21"/>
              </w:rPr>
            </w:pPr>
            <w:r>
              <w:rPr>
                <w:rFonts w:ascii="Times New Roman" w:eastAsia="黑体"/>
                <w:snapToGrid w:val="0"/>
                <w:color w:val="auto"/>
                <w:spacing w:val="-16"/>
                <w:kern w:val="21"/>
                <w:szCs w:val="21"/>
              </w:rPr>
              <w:t>全厂排放量（固体废物产生量）</w:t>
            </w:r>
            <w:r>
              <w:rPr>
                <w:rFonts w:ascii="Times New Roman" w:eastAsia="黑体"/>
                <w:color w:val="auto"/>
                <w:kern w:val="2"/>
                <w:szCs w:val="21"/>
              </w:rPr>
              <w:t>⑥</w:t>
            </w:r>
          </w:p>
        </w:tc>
        <w:tc>
          <w:tcPr>
            <w:tcW w:w="1292" w:type="dxa"/>
            <w:tcMar>
              <w:left w:w="28" w:type="dxa"/>
              <w:right w:w="28" w:type="dxa"/>
            </w:tcMar>
            <w:vAlign w:val="center"/>
          </w:tcPr>
          <w:p>
            <w:pPr>
              <w:pStyle w:val="33"/>
              <w:spacing w:beforeLines="0" w:afterLines="0" w:line="240" w:lineRule="auto"/>
              <w:rPr>
                <w:rFonts w:ascii="Times New Roman" w:eastAsia="黑体"/>
                <w:snapToGrid w:val="0"/>
                <w:color w:val="auto"/>
                <w:spacing w:val="-6"/>
                <w:kern w:val="21"/>
                <w:szCs w:val="21"/>
              </w:rPr>
            </w:pPr>
            <w:r>
              <w:rPr>
                <w:rFonts w:ascii="Times New Roman" w:eastAsia="黑体"/>
                <w:snapToGrid w:val="0"/>
                <w:color w:val="auto"/>
                <w:spacing w:val="-6"/>
                <w:kern w:val="21"/>
                <w:szCs w:val="21"/>
              </w:rPr>
              <w:t>变化量</w:t>
            </w:r>
          </w:p>
          <w:p>
            <w:pPr>
              <w:pStyle w:val="33"/>
              <w:spacing w:beforeLines="0" w:afterLines="0" w:line="240" w:lineRule="auto"/>
              <w:rPr>
                <w:rFonts w:ascii="Times New Roman" w:eastAsia="黑体"/>
                <w:snapToGrid w:val="0"/>
                <w:color w:val="auto"/>
                <w:spacing w:val="-6"/>
                <w:kern w:val="21"/>
                <w:szCs w:val="21"/>
              </w:rPr>
            </w:pPr>
            <w:r>
              <w:rPr>
                <w:rFonts w:ascii="Times New Roman" w:eastAsia="黑体"/>
                <w:color w:val="auto"/>
                <w:kern w:val="2"/>
                <w:szCs w:val="21"/>
              </w:rPr>
              <w:t>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59" w:type="dxa"/>
            <w:vAlign w:val="center"/>
          </w:tcPr>
          <w:p>
            <w:pPr>
              <w:pStyle w:val="33"/>
              <w:spacing w:beforeLines="0" w:afterLines="0" w:line="240" w:lineRule="auto"/>
              <w:rPr>
                <w:rFonts w:ascii="Times New Roman"/>
                <w:snapToGrid w:val="0"/>
                <w:color w:val="auto"/>
                <w:kern w:val="21"/>
                <w:szCs w:val="21"/>
              </w:rPr>
            </w:pPr>
            <w:r>
              <w:rPr>
                <w:rFonts w:ascii="Times New Roman"/>
                <w:snapToGrid w:val="0"/>
                <w:color w:val="auto"/>
                <w:kern w:val="21"/>
                <w:szCs w:val="21"/>
              </w:rPr>
              <w:t>废气</w:t>
            </w:r>
          </w:p>
        </w:tc>
        <w:tc>
          <w:tcPr>
            <w:tcW w:w="1699" w:type="dxa"/>
            <w:vAlign w:val="center"/>
          </w:tcPr>
          <w:p>
            <w:pPr>
              <w:pStyle w:val="33"/>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548" w:type="dxa"/>
            <w:vAlign w:val="center"/>
          </w:tcPr>
          <w:p>
            <w:pPr>
              <w:pStyle w:val="33"/>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276" w:type="dxa"/>
            <w:vAlign w:val="center"/>
          </w:tcPr>
          <w:p>
            <w:pPr>
              <w:pStyle w:val="33"/>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701" w:type="dxa"/>
            <w:vAlign w:val="center"/>
          </w:tcPr>
          <w:p>
            <w:pPr>
              <w:pStyle w:val="33"/>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559" w:type="dxa"/>
            <w:vAlign w:val="center"/>
          </w:tcPr>
          <w:p>
            <w:pPr>
              <w:pStyle w:val="33"/>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761" w:type="dxa"/>
            <w:vAlign w:val="center"/>
          </w:tcPr>
          <w:p>
            <w:pPr>
              <w:pStyle w:val="33"/>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493" w:type="dxa"/>
            <w:vAlign w:val="center"/>
          </w:tcPr>
          <w:p>
            <w:pPr>
              <w:pStyle w:val="33"/>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292" w:type="dxa"/>
            <w:vAlign w:val="center"/>
          </w:tcPr>
          <w:p>
            <w:pPr>
              <w:pStyle w:val="33"/>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59" w:type="dxa"/>
            <w:vAlign w:val="center"/>
          </w:tcPr>
          <w:p>
            <w:pPr>
              <w:pStyle w:val="33"/>
              <w:spacing w:beforeLines="0" w:afterLines="0" w:line="240" w:lineRule="auto"/>
              <w:rPr>
                <w:rFonts w:ascii="Times New Roman"/>
                <w:snapToGrid w:val="0"/>
                <w:color w:val="auto"/>
                <w:kern w:val="21"/>
                <w:szCs w:val="21"/>
              </w:rPr>
            </w:pPr>
            <w:r>
              <w:rPr>
                <w:rFonts w:ascii="Times New Roman"/>
                <w:snapToGrid w:val="0"/>
                <w:color w:val="auto"/>
                <w:kern w:val="21"/>
                <w:szCs w:val="21"/>
              </w:rPr>
              <w:t>废水</w:t>
            </w:r>
          </w:p>
        </w:tc>
        <w:tc>
          <w:tcPr>
            <w:tcW w:w="1699" w:type="dxa"/>
            <w:vAlign w:val="center"/>
          </w:tcPr>
          <w:p>
            <w:pPr>
              <w:pStyle w:val="33"/>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548" w:type="dxa"/>
            <w:vAlign w:val="center"/>
          </w:tcPr>
          <w:p>
            <w:pPr>
              <w:pStyle w:val="33"/>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276" w:type="dxa"/>
            <w:vAlign w:val="center"/>
          </w:tcPr>
          <w:p>
            <w:pPr>
              <w:pStyle w:val="33"/>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701" w:type="dxa"/>
            <w:vAlign w:val="center"/>
          </w:tcPr>
          <w:p>
            <w:pPr>
              <w:pStyle w:val="33"/>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46.72m</w:t>
            </w:r>
            <w:r>
              <w:rPr>
                <w:rFonts w:hint="eastAsia" w:ascii="Times New Roman"/>
                <w:snapToGrid w:val="0"/>
                <w:color w:val="auto"/>
                <w:kern w:val="21"/>
                <w:szCs w:val="21"/>
                <w:vertAlign w:val="superscript"/>
              </w:rPr>
              <w:t>3</w:t>
            </w:r>
            <w:r>
              <w:rPr>
                <w:rFonts w:ascii="Times New Roman"/>
                <w:snapToGrid w:val="0"/>
                <w:color w:val="auto"/>
                <w:kern w:val="21"/>
                <w:szCs w:val="21"/>
              </w:rPr>
              <w:t>/a</w:t>
            </w:r>
          </w:p>
        </w:tc>
        <w:tc>
          <w:tcPr>
            <w:tcW w:w="1559" w:type="dxa"/>
            <w:vAlign w:val="center"/>
          </w:tcPr>
          <w:p>
            <w:pPr>
              <w:pStyle w:val="33"/>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46.72m</w:t>
            </w:r>
            <w:r>
              <w:rPr>
                <w:rFonts w:hint="eastAsia" w:ascii="Times New Roman"/>
                <w:snapToGrid w:val="0"/>
                <w:color w:val="auto"/>
                <w:kern w:val="21"/>
                <w:szCs w:val="21"/>
                <w:vertAlign w:val="superscript"/>
              </w:rPr>
              <w:t>3</w:t>
            </w:r>
            <w:r>
              <w:rPr>
                <w:rFonts w:ascii="Times New Roman"/>
                <w:snapToGrid w:val="0"/>
                <w:color w:val="auto"/>
                <w:kern w:val="21"/>
                <w:szCs w:val="21"/>
              </w:rPr>
              <w:t>/a</w:t>
            </w:r>
          </w:p>
        </w:tc>
        <w:tc>
          <w:tcPr>
            <w:tcW w:w="1761" w:type="dxa"/>
            <w:vAlign w:val="center"/>
          </w:tcPr>
          <w:p>
            <w:pPr>
              <w:pStyle w:val="33"/>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493" w:type="dxa"/>
            <w:vAlign w:val="center"/>
          </w:tcPr>
          <w:p>
            <w:pPr>
              <w:pStyle w:val="33"/>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46.72m</w:t>
            </w:r>
            <w:r>
              <w:rPr>
                <w:rFonts w:hint="eastAsia" w:ascii="Times New Roman"/>
                <w:snapToGrid w:val="0"/>
                <w:color w:val="auto"/>
                <w:kern w:val="21"/>
                <w:szCs w:val="21"/>
                <w:vertAlign w:val="superscript"/>
              </w:rPr>
              <w:t>3</w:t>
            </w:r>
            <w:r>
              <w:rPr>
                <w:rFonts w:ascii="Times New Roman"/>
                <w:snapToGrid w:val="0"/>
                <w:color w:val="auto"/>
                <w:kern w:val="21"/>
                <w:szCs w:val="21"/>
              </w:rPr>
              <w:t>/a</w:t>
            </w:r>
          </w:p>
        </w:tc>
        <w:tc>
          <w:tcPr>
            <w:tcW w:w="1292" w:type="dxa"/>
            <w:vAlign w:val="center"/>
          </w:tcPr>
          <w:p>
            <w:pPr>
              <w:pStyle w:val="33"/>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+46.72m</w:t>
            </w:r>
            <w:r>
              <w:rPr>
                <w:rFonts w:hint="eastAsia" w:ascii="Times New Roman"/>
                <w:snapToGrid w:val="0"/>
                <w:color w:val="auto"/>
                <w:kern w:val="21"/>
                <w:szCs w:val="21"/>
                <w:vertAlign w:val="superscript"/>
              </w:rPr>
              <w:t>3</w:t>
            </w:r>
            <w:r>
              <w:rPr>
                <w:rFonts w:ascii="Times New Roman"/>
                <w:snapToGrid w:val="0"/>
                <w:color w:val="auto"/>
                <w:kern w:val="21"/>
                <w:szCs w:val="21"/>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59" w:type="dxa"/>
            <w:vAlign w:val="center"/>
          </w:tcPr>
          <w:p>
            <w:pPr>
              <w:pStyle w:val="33"/>
              <w:spacing w:beforeLines="0" w:afterLines="0" w:line="240" w:lineRule="auto"/>
              <w:rPr>
                <w:rFonts w:ascii="Times New Roman"/>
                <w:snapToGrid w:val="0"/>
                <w:color w:val="auto"/>
                <w:kern w:val="21"/>
                <w:szCs w:val="21"/>
              </w:rPr>
            </w:pPr>
            <w:r>
              <w:rPr>
                <w:rFonts w:ascii="Times New Roman"/>
                <w:snapToGrid w:val="0"/>
                <w:color w:val="auto"/>
                <w:kern w:val="21"/>
                <w:szCs w:val="21"/>
              </w:rPr>
              <w:t>固体废物</w:t>
            </w:r>
          </w:p>
        </w:tc>
        <w:tc>
          <w:tcPr>
            <w:tcW w:w="1699" w:type="dxa"/>
            <w:vAlign w:val="center"/>
          </w:tcPr>
          <w:p>
            <w:pPr>
              <w:pStyle w:val="33"/>
              <w:spacing w:beforeLines="0" w:afterLines="0" w:line="240" w:lineRule="auto"/>
              <w:rPr>
                <w:rFonts w:ascii="Times New Roman"/>
                <w:snapToGrid w:val="0"/>
                <w:color w:val="auto"/>
                <w:kern w:val="21"/>
                <w:szCs w:val="21"/>
              </w:rPr>
            </w:pPr>
            <w:r>
              <w:rPr>
                <w:rFonts w:ascii="Times New Roman"/>
                <w:snapToGrid w:val="0"/>
                <w:color w:val="auto"/>
                <w:kern w:val="21"/>
                <w:szCs w:val="21"/>
              </w:rPr>
              <w:t>生活垃圾</w:t>
            </w:r>
          </w:p>
        </w:tc>
        <w:tc>
          <w:tcPr>
            <w:tcW w:w="1548" w:type="dxa"/>
            <w:vAlign w:val="center"/>
          </w:tcPr>
          <w:p>
            <w:pPr>
              <w:pStyle w:val="33"/>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276" w:type="dxa"/>
            <w:vAlign w:val="center"/>
          </w:tcPr>
          <w:p>
            <w:pPr>
              <w:pStyle w:val="33"/>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701" w:type="dxa"/>
            <w:vAlign w:val="center"/>
          </w:tcPr>
          <w:p>
            <w:pPr>
              <w:pStyle w:val="33"/>
              <w:spacing w:beforeLines="0" w:afterLines="0" w:line="240" w:lineRule="auto"/>
              <w:rPr>
                <w:rFonts w:ascii="Times New Roman"/>
                <w:snapToGrid w:val="0"/>
                <w:color w:val="auto"/>
                <w:kern w:val="21"/>
                <w:szCs w:val="21"/>
              </w:rPr>
            </w:pPr>
            <w:r>
              <w:rPr>
                <w:rFonts w:hint="eastAsia" w:ascii="Times New Roman"/>
                <w:snapToGrid w:val="0"/>
                <w:color w:val="auto"/>
                <w:kern w:val="21"/>
                <w:szCs w:val="21"/>
                <w:lang w:val="en-US" w:eastAsia="zh-CN"/>
              </w:rPr>
              <w:t>0.365</w:t>
            </w:r>
            <w:r>
              <w:rPr>
                <w:rFonts w:ascii="Times New Roman"/>
                <w:snapToGrid w:val="0"/>
                <w:color w:val="auto"/>
                <w:kern w:val="21"/>
                <w:szCs w:val="21"/>
              </w:rPr>
              <w:t>t/a</w:t>
            </w:r>
          </w:p>
        </w:tc>
        <w:tc>
          <w:tcPr>
            <w:tcW w:w="1559" w:type="dxa"/>
            <w:vAlign w:val="center"/>
          </w:tcPr>
          <w:p>
            <w:pPr>
              <w:pStyle w:val="33"/>
              <w:spacing w:beforeLines="0" w:afterLines="0" w:line="240" w:lineRule="auto"/>
              <w:rPr>
                <w:rFonts w:ascii="Times New Roman"/>
                <w:snapToGrid w:val="0"/>
                <w:color w:val="auto"/>
                <w:kern w:val="21"/>
                <w:szCs w:val="21"/>
              </w:rPr>
            </w:pPr>
            <w:r>
              <w:rPr>
                <w:rFonts w:hint="eastAsia" w:ascii="Times New Roman"/>
                <w:snapToGrid w:val="0"/>
                <w:color w:val="auto"/>
                <w:kern w:val="21"/>
                <w:szCs w:val="21"/>
                <w:lang w:val="en-US" w:eastAsia="zh-CN"/>
              </w:rPr>
              <w:t>0.365</w:t>
            </w:r>
            <w:r>
              <w:rPr>
                <w:rFonts w:ascii="Times New Roman"/>
                <w:snapToGrid w:val="0"/>
                <w:color w:val="auto"/>
                <w:kern w:val="21"/>
                <w:szCs w:val="21"/>
              </w:rPr>
              <w:t>t/a</w:t>
            </w:r>
          </w:p>
        </w:tc>
        <w:tc>
          <w:tcPr>
            <w:tcW w:w="1761" w:type="dxa"/>
            <w:vAlign w:val="center"/>
          </w:tcPr>
          <w:p>
            <w:pPr>
              <w:pStyle w:val="33"/>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493" w:type="dxa"/>
            <w:vAlign w:val="center"/>
          </w:tcPr>
          <w:p>
            <w:pPr>
              <w:pStyle w:val="33"/>
              <w:spacing w:beforeLines="0" w:afterLines="0" w:line="240" w:lineRule="auto"/>
              <w:rPr>
                <w:rFonts w:ascii="Times New Roman"/>
                <w:snapToGrid w:val="0"/>
                <w:color w:val="auto"/>
                <w:kern w:val="21"/>
                <w:szCs w:val="21"/>
              </w:rPr>
            </w:pPr>
            <w:r>
              <w:rPr>
                <w:rFonts w:hint="eastAsia" w:ascii="Times New Roman"/>
                <w:snapToGrid w:val="0"/>
                <w:color w:val="auto"/>
                <w:kern w:val="21"/>
                <w:szCs w:val="21"/>
                <w:lang w:val="en-US" w:eastAsia="zh-CN"/>
              </w:rPr>
              <w:t>0.365</w:t>
            </w:r>
            <w:r>
              <w:rPr>
                <w:rFonts w:ascii="Times New Roman"/>
                <w:snapToGrid w:val="0"/>
                <w:color w:val="auto"/>
                <w:kern w:val="21"/>
                <w:szCs w:val="21"/>
              </w:rPr>
              <w:t>t/a</w:t>
            </w:r>
          </w:p>
        </w:tc>
        <w:tc>
          <w:tcPr>
            <w:tcW w:w="1292" w:type="dxa"/>
            <w:vAlign w:val="center"/>
          </w:tcPr>
          <w:p>
            <w:pPr>
              <w:pStyle w:val="33"/>
              <w:spacing w:beforeLines="0" w:afterLines="0" w:line="240" w:lineRule="auto"/>
              <w:rPr>
                <w:rFonts w:ascii="Times New Roman"/>
                <w:snapToGrid w:val="0"/>
                <w:color w:val="auto"/>
                <w:kern w:val="21"/>
                <w:szCs w:val="21"/>
              </w:rPr>
            </w:pPr>
            <w:r>
              <w:rPr>
                <w:rFonts w:ascii="Times New Roman"/>
                <w:snapToGrid w:val="0"/>
                <w:color w:val="auto"/>
                <w:kern w:val="21"/>
                <w:szCs w:val="21"/>
              </w:rPr>
              <w:t>+</w:t>
            </w:r>
            <w:r>
              <w:rPr>
                <w:rFonts w:hint="eastAsia" w:ascii="Times New Roman"/>
                <w:snapToGrid w:val="0"/>
                <w:color w:val="auto"/>
                <w:kern w:val="21"/>
                <w:szCs w:val="21"/>
                <w:lang w:val="en-US" w:eastAsia="zh-CN"/>
              </w:rPr>
              <w:t>0.365</w:t>
            </w:r>
            <w:r>
              <w:rPr>
                <w:rFonts w:ascii="Times New Roman"/>
                <w:snapToGrid w:val="0"/>
                <w:color w:val="auto"/>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59" w:type="dxa"/>
            <w:vAlign w:val="center"/>
          </w:tcPr>
          <w:p>
            <w:pPr>
              <w:pStyle w:val="33"/>
              <w:spacing w:beforeLines="0" w:afterLines="0" w:line="240" w:lineRule="auto"/>
              <w:rPr>
                <w:rFonts w:ascii="Times New Roman"/>
                <w:snapToGrid w:val="0"/>
                <w:color w:val="auto"/>
                <w:kern w:val="21"/>
                <w:szCs w:val="21"/>
              </w:rPr>
            </w:pPr>
            <w:r>
              <w:rPr>
                <w:rFonts w:ascii="Times New Roman"/>
                <w:snapToGrid w:val="0"/>
                <w:color w:val="auto"/>
                <w:kern w:val="21"/>
                <w:szCs w:val="21"/>
              </w:rPr>
              <w:t>危险废物</w:t>
            </w:r>
          </w:p>
        </w:tc>
        <w:tc>
          <w:tcPr>
            <w:tcW w:w="1699" w:type="dxa"/>
            <w:vAlign w:val="center"/>
          </w:tcPr>
          <w:p>
            <w:pPr>
              <w:pStyle w:val="33"/>
              <w:spacing w:beforeLines="0" w:afterLines="0" w:line="240" w:lineRule="auto"/>
              <w:rPr>
                <w:rFonts w:ascii="Times New Roman"/>
                <w:snapToGrid w:val="0"/>
                <w:color w:val="auto"/>
                <w:kern w:val="21"/>
                <w:szCs w:val="21"/>
              </w:rPr>
            </w:pPr>
            <w:r>
              <w:rPr>
                <w:rFonts w:ascii="Times New Roman"/>
                <w:snapToGrid w:val="0"/>
                <w:color w:val="auto"/>
                <w:kern w:val="21"/>
                <w:szCs w:val="21"/>
              </w:rPr>
              <w:t>过期或残损的烟花爆竹</w:t>
            </w:r>
          </w:p>
        </w:tc>
        <w:tc>
          <w:tcPr>
            <w:tcW w:w="1548" w:type="dxa"/>
            <w:vAlign w:val="center"/>
          </w:tcPr>
          <w:p>
            <w:pPr>
              <w:pStyle w:val="33"/>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276" w:type="dxa"/>
            <w:vAlign w:val="center"/>
          </w:tcPr>
          <w:p>
            <w:pPr>
              <w:pStyle w:val="33"/>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701" w:type="dxa"/>
            <w:vAlign w:val="center"/>
          </w:tcPr>
          <w:p>
            <w:pPr>
              <w:pStyle w:val="33"/>
              <w:spacing w:beforeLines="0" w:afterLines="0" w:line="240" w:lineRule="auto"/>
              <w:rPr>
                <w:rFonts w:ascii="Times New Roman"/>
                <w:snapToGrid w:val="0"/>
                <w:color w:val="auto"/>
                <w:kern w:val="21"/>
                <w:szCs w:val="21"/>
              </w:rPr>
            </w:pPr>
            <w:r>
              <w:rPr>
                <w:rFonts w:ascii="Times New Roman"/>
                <w:snapToGrid w:val="0"/>
                <w:color w:val="auto"/>
                <w:kern w:val="21"/>
                <w:szCs w:val="21"/>
              </w:rPr>
              <w:t>0.02t/a</w:t>
            </w:r>
          </w:p>
        </w:tc>
        <w:tc>
          <w:tcPr>
            <w:tcW w:w="1559" w:type="dxa"/>
            <w:vAlign w:val="center"/>
          </w:tcPr>
          <w:p>
            <w:pPr>
              <w:pStyle w:val="33"/>
              <w:spacing w:beforeLines="0" w:afterLines="0" w:line="240" w:lineRule="auto"/>
              <w:rPr>
                <w:rFonts w:ascii="Times New Roman"/>
                <w:snapToGrid w:val="0"/>
                <w:color w:val="auto"/>
                <w:kern w:val="21"/>
                <w:szCs w:val="21"/>
              </w:rPr>
            </w:pPr>
            <w:r>
              <w:rPr>
                <w:rFonts w:ascii="Times New Roman"/>
                <w:snapToGrid w:val="0"/>
                <w:color w:val="auto"/>
                <w:kern w:val="21"/>
                <w:szCs w:val="21"/>
              </w:rPr>
              <w:t>0.02t/a</w:t>
            </w:r>
          </w:p>
        </w:tc>
        <w:tc>
          <w:tcPr>
            <w:tcW w:w="1761" w:type="dxa"/>
            <w:vAlign w:val="center"/>
          </w:tcPr>
          <w:p>
            <w:pPr>
              <w:pStyle w:val="33"/>
              <w:spacing w:beforeLines="0" w:afterLines="0" w:line="240" w:lineRule="auto"/>
              <w:rPr>
                <w:rFonts w:ascii="Times New Roman"/>
                <w:snapToGrid w:val="0"/>
                <w:color w:val="auto"/>
                <w:kern w:val="21"/>
                <w:szCs w:val="21"/>
              </w:rPr>
            </w:pPr>
            <w:r>
              <w:rPr>
                <w:rFonts w:ascii="Times New Roman"/>
                <w:snapToGrid w:val="0"/>
                <w:color w:val="auto"/>
                <w:kern w:val="21"/>
                <w:szCs w:val="21"/>
              </w:rPr>
              <w:t>/</w:t>
            </w:r>
          </w:p>
        </w:tc>
        <w:tc>
          <w:tcPr>
            <w:tcW w:w="1493" w:type="dxa"/>
            <w:vAlign w:val="center"/>
          </w:tcPr>
          <w:p>
            <w:pPr>
              <w:pStyle w:val="33"/>
              <w:spacing w:beforeLines="0" w:afterLines="0" w:line="240" w:lineRule="auto"/>
              <w:rPr>
                <w:rFonts w:ascii="Times New Roman"/>
                <w:snapToGrid w:val="0"/>
                <w:color w:val="auto"/>
                <w:kern w:val="21"/>
                <w:szCs w:val="21"/>
              </w:rPr>
            </w:pPr>
            <w:r>
              <w:rPr>
                <w:rFonts w:ascii="Times New Roman"/>
                <w:snapToGrid w:val="0"/>
                <w:color w:val="auto"/>
                <w:kern w:val="21"/>
                <w:szCs w:val="21"/>
              </w:rPr>
              <w:t>0.02t/a</w:t>
            </w:r>
          </w:p>
        </w:tc>
        <w:tc>
          <w:tcPr>
            <w:tcW w:w="1292" w:type="dxa"/>
            <w:vAlign w:val="center"/>
          </w:tcPr>
          <w:p>
            <w:pPr>
              <w:pStyle w:val="33"/>
              <w:spacing w:beforeLines="0" w:afterLines="0" w:line="240" w:lineRule="auto"/>
              <w:rPr>
                <w:rFonts w:ascii="Times New Roman"/>
                <w:snapToGrid w:val="0"/>
                <w:color w:val="auto"/>
                <w:kern w:val="21"/>
                <w:szCs w:val="21"/>
              </w:rPr>
            </w:pPr>
            <w:r>
              <w:rPr>
                <w:rFonts w:ascii="Times New Roman"/>
                <w:snapToGrid w:val="0"/>
                <w:color w:val="auto"/>
                <w:kern w:val="21"/>
                <w:szCs w:val="21"/>
              </w:rPr>
              <w:t>+0.02t/a</w:t>
            </w:r>
          </w:p>
        </w:tc>
      </w:tr>
    </w:tbl>
    <w:p>
      <w:pPr>
        <w:pStyle w:val="33"/>
        <w:spacing w:before="192" w:beforeLines="80" w:after="24"/>
        <w:jc w:val="left"/>
        <w:rPr>
          <w:rFonts w:ascii="Times New Roman"/>
          <w:color w:val="auto"/>
        </w:rPr>
        <w:sectPr>
          <w:footerReference r:id="rId6" w:type="default"/>
          <w:pgSz w:w="16838" w:h="11906" w:orient="landscape"/>
          <w:pgMar w:top="1701" w:right="1531" w:bottom="1701" w:left="1531" w:header="851" w:footer="851" w:gutter="0"/>
          <w:cols w:space="720" w:num="1"/>
          <w:docGrid w:linePitch="312" w:charSpace="0"/>
        </w:sectPr>
      </w:pPr>
      <w:r>
        <w:rPr>
          <w:rFonts w:ascii="Times New Roman"/>
          <w:snapToGrid w:val="0"/>
          <w:color w:val="auto"/>
          <w:kern w:val="21"/>
          <w:szCs w:val="21"/>
        </w:rPr>
        <w:t>注：</w:t>
      </w:r>
      <w:r>
        <w:rPr>
          <w:rFonts w:ascii="Times New Roman"/>
          <w:color w:val="auto"/>
          <w:szCs w:val="21"/>
        </w:rPr>
        <w:t>⑥</w:t>
      </w:r>
      <w:r>
        <w:rPr>
          <w:rFonts w:ascii="Times New Roman"/>
          <w:snapToGrid w:val="0"/>
          <w:color w:val="auto"/>
          <w:spacing w:val="-16"/>
          <w:kern w:val="21"/>
          <w:szCs w:val="21"/>
        </w:rPr>
        <w:t>=</w:t>
      </w:r>
      <w:r>
        <w:rPr>
          <w:rFonts w:ascii="Times New Roman"/>
          <w:color w:val="auto"/>
          <w:szCs w:val="21"/>
        </w:rPr>
        <w:t>①</w:t>
      </w:r>
      <w:r>
        <w:rPr>
          <w:rFonts w:ascii="Times New Roman"/>
          <w:snapToGrid w:val="0"/>
          <w:color w:val="auto"/>
          <w:spacing w:val="-6"/>
          <w:kern w:val="21"/>
          <w:szCs w:val="21"/>
        </w:rPr>
        <w:t>+</w:t>
      </w:r>
      <w:r>
        <w:rPr>
          <w:rFonts w:ascii="Times New Roman"/>
          <w:color w:val="auto"/>
          <w:szCs w:val="21"/>
        </w:rPr>
        <w:t>③</w:t>
      </w:r>
      <w:r>
        <w:rPr>
          <w:rFonts w:ascii="Times New Roman"/>
          <w:snapToGrid w:val="0"/>
          <w:color w:val="auto"/>
          <w:spacing w:val="-6"/>
          <w:kern w:val="21"/>
          <w:szCs w:val="21"/>
        </w:rPr>
        <w:t>+</w:t>
      </w:r>
      <w:r>
        <w:rPr>
          <w:rFonts w:ascii="Times New Roman"/>
          <w:color w:val="auto"/>
          <w:szCs w:val="21"/>
        </w:rPr>
        <w:t>④</w:t>
      </w:r>
      <w:r>
        <w:rPr>
          <w:rFonts w:ascii="Times New Roman"/>
          <w:snapToGrid w:val="0"/>
          <w:color w:val="auto"/>
          <w:spacing w:val="-6"/>
          <w:kern w:val="21"/>
          <w:szCs w:val="21"/>
        </w:rPr>
        <w:t>-</w:t>
      </w:r>
      <w:r>
        <w:rPr>
          <w:rFonts w:ascii="Times New Roman"/>
          <w:color w:val="auto"/>
          <w:szCs w:val="21"/>
        </w:rPr>
        <w:t>⑤</w:t>
      </w:r>
      <w:r>
        <w:rPr>
          <w:rFonts w:ascii="Times New Roman"/>
          <w:snapToGrid w:val="0"/>
          <w:color w:val="auto"/>
          <w:spacing w:val="-16"/>
          <w:kern w:val="21"/>
          <w:szCs w:val="21"/>
        </w:rPr>
        <w:t>；</w:t>
      </w:r>
      <w:r>
        <w:rPr>
          <w:rFonts w:ascii="Times New Roman"/>
          <w:color w:val="auto"/>
          <w:szCs w:val="21"/>
        </w:rPr>
        <w:t>⑦</w:t>
      </w:r>
      <w:r>
        <w:rPr>
          <w:rFonts w:ascii="Times New Roman"/>
          <w:snapToGrid w:val="0"/>
          <w:color w:val="auto"/>
          <w:spacing w:val="-6"/>
          <w:kern w:val="21"/>
          <w:szCs w:val="21"/>
        </w:rPr>
        <w:t>=</w:t>
      </w:r>
      <w:r>
        <w:rPr>
          <w:rFonts w:ascii="Times New Roman"/>
          <w:color w:val="auto"/>
          <w:szCs w:val="21"/>
        </w:rPr>
        <w:t>⑥</w:t>
      </w:r>
      <w:r>
        <w:rPr>
          <w:rFonts w:ascii="Times New Roman"/>
          <w:snapToGrid w:val="0"/>
          <w:color w:val="auto"/>
          <w:spacing w:val="-16"/>
          <w:kern w:val="21"/>
          <w:szCs w:val="21"/>
        </w:rPr>
        <w:t>-</w:t>
      </w:r>
      <w:r>
        <w:rPr>
          <w:rFonts w:ascii="Times New Roman"/>
          <w:color w:val="auto"/>
          <w:szCs w:val="21"/>
        </w:rPr>
        <w:t>①</w:t>
      </w:r>
    </w:p>
    <w:p>
      <w:pPr>
        <w:rPr>
          <w:color w:val="auto"/>
        </w:rPr>
      </w:pPr>
    </w:p>
    <w:sectPr>
      <w:footerReference r:id="rId7" w:type="default"/>
      <w:pgSz w:w="11906" w:h="16838"/>
      <w:pgMar w:top="1701" w:right="1531" w:bottom="1701" w:left="153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ABFD48A-C4F0-48A9-BDF0-190C1DC43228}"/>
  </w:font>
  <w:font w:name="黑体">
    <w:panose1 w:val="02010609060101010101"/>
    <w:charset w:val="86"/>
    <w:family w:val="auto"/>
    <w:pitch w:val="default"/>
    <w:sig w:usb0="800002BF" w:usb1="38CF7CFA" w:usb2="00000016" w:usb3="00000000" w:csb0="00040001" w:csb1="00000000"/>
    <w:embedRegular r:id="rId2" w:fontKey="{C714C085-7029-41D1-9C32-5D3E5C89C7C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3" w:fontKey="{CEEC9FE4-D095-40C7-BE94-03646789AF2F}"/>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美黑简体">
    <w:altName w:val="宋体"/>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TimesNewRomanPS-BoldMT">
    <w:altName w:val="宋体"/>
    <w:panose1 w:val="00000000000000000000"/>
    <w:charset w:val="86"/>
    <w:family w:val="auto"/>
    <w:pitch w:val="default"/>
    <w:sig w:usb0="00000000" w:usb1="00000000" w:usb2="00000010" w:usb3="00000000" w:csb0="00040000" w:csb1="00000000"/>
    <w:embedRegular r:id="rId4" w:fontKey="{DD74F814-5223-46F9-AE67-F77BC0906EDF}"/>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5" w:fontKey="{FDDB0FF9-B25C-4B02-B11D-D51914A5017C}"/>
  </w:font>
  <w:font w:name="楷体_GB2312">
    <w:panose1 w:val="02010609030101010101"/>
    <w:charset w:val="86"/>
    <w:family w:val="modern"/>
    <w:pitch w:val="default"/>
    <w:sig w:usb0="00000001" w:usb1="080E0000" w:usb2="00000000" w:usb3="00000000" w:csb0="00040000" w:csb1="00000000"/>
    <w:embedRegular r:id="rId6" w:fontKey="{4966AE8D-1ADB-44C0-AEB5-4DF7B68D9701}"/>
  </w:font>
  <w:font w:name="仿宋">
    <w:panose1 w:val="02010609060101010101"/>
    <w:charset w:val="86"/>
    <w:family w:val="modern"/>
    <w:pitch w:val="default"/>
    <w:sig w:usb0="800002BF" w:usb1="38CF7CFA" w:usb2="00000016" w:usb3="00000000" w:csb0="00040001" w:csb1="00000000"/>
    <w:embedRegular r:id="rId7" w:fontKey="{1346127A-91A0-48FE-A73F-2516A16A820D}"/>
  </w:font>
  <w:font w:name="Cambria Math">
    <w:panose1 w:val="02040503050406030204"/>
    <w:charset w:val="00"/>
    <w:family w:val="roman"/>
    <w:pitch w:val="default"/>
    <w:sig w:usb0="E00002FF" w:usb1="420024FF" w:usb2="00000000" w:usb3="00000000" w:csb0="2000019F" w:csb1="00000000"/>
    <w:embedRegular r:id="rId8" w:fontKey="{BA3FF96E-9382-46DC-A2E7-0EA0BD979D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29"/>
      </w:rPr>
    </w:pPr>
    <w:r>
      <w:fldChar w:fldCharType="begin"/>
    </w:r>
    <w:r>
      <w:rPr>
        <w:rStyle w:val="29"/>
      </w:rPr>
      <w:instrText xml:space="preserve">PAGE  </w:instrText>
    </w:r>
    <w:r>
      <w:fldChar w:fldCharType="end"/>
    </w:r>
  </w:p>
  <w:p>
    <w:pPr>
      <w:pStyle w:val="1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9"/>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pPr>
                      <w:pStyle w:val="19"/>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9"/>
                          </w:pPr>
                          <w:r>
                            <w:t xml:space="preserve">— </w:t>
                          </w:r>
                          <w:r>
                            <w:fldChar w:fldCharType="begin"/>
                          </w:r>
                          <w:r>
                            <w:instrText xml:space="preserve"> PAGE  \* MERGEFORMAT </w:instrText>
                          </w:r>
                          <w:r>
                            <w:fldChar w:fldCharType="separate"/>
                          </w:r>
                          <w:r>
                            <w:t>51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pPr>
                      <w:pStyle w:val="19"/>
                    </w:pPr>
                    <w:r>
                      <w:t xml:space="preserve">— </w:t>
                    </w:r>
                    <w:r>
                      <w:fldChar w:fldCharType="begin"/>
                    </w:r>
                    <w:r>
                      <w:instrText xml:space="preserve"> PAGE  \* MERGEFORMAT </w:instrText>
                    </w:r>
                    <w:r>
                      <w:fldChar w:fldCharType="separate"/>
                    </w:r>
                    <w:r>
                      <w:t>51</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9"/>
                          </w:pPr>
                          <w:r>
                            <w:t xml:space="preserve">— </w:t>
                          </w:r>
                          <w:r>
                            <w:fldChar w:fldCharType="begin"/>
                          </w:r>
                          <w:r>
                            <w:instrText xml:space="preserve"> PAGE  \* MERGEFORMAT </w:instrText>
                          </w:r>
                          <w:r>
                            <w:fldChar w:fldCharType="separate"/>
                          </w:r>
                          <w:r>
                            <w:t>52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pPr>
                      <w:pStyle w:val="19"/>
                    </w:pPr>
                    <w:r>
                      <w:t xml:space="preserve">— </w:t>
                    </w:r>
                    <w:r>
                      <w:fldChar w:fldCharType="begin"/>
                    </w:r>
                    <w:r>
                      <w:instrText xml:space="preserve"> PAGE  \* MERGEFORMAT </w:instrText>
                    </w:r>
                    <w:r>
                      <w:fldChar w:fldCharType="separate"/>
                    </w:r>
                    <w:r>
                      <w:t>52</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45904"/>
    <w:multiLevelType w:val="singleLevel"/>
    <w:tmpl w:val="84A45904"/>
    <w:lvl w:ilvl="0" w:tentative="0">
      <w:start w:val="3"/>
      <w:numFmt w:val="decimal"/>
      <w:suff w:val="nothing"/>
      <w:lvlText w:val="（%1）"/>
      <w:lvlJc w:val="left"/>
    </w:lvl>
  </w:abstractNum>
  <w:abstractNum w:abstractNumId="1">
    <w:nsid w:val="8B658B7F"/>
    <w:multiLevelType w:val="singleLevel"/>
    <w:tmpl w:val="8B658B7F"/>
    <w:lvl w:ilvl="0" w:tentative="0">
      <w:start w:val="3"/>
      <w:numFmt w:val="chineseCounting"/>
      <w:suff w:val="space"/>
      <w:lvlText w:val="第%1条"/>
      <w:lvlJc w:val="left"/>
      <w:rPr>
        <w:rFonts w:hint="eastAsia"/>
      </w:rPr>
    </w:lvl>
  </w:abstractNum>
  <w:abstractNum w:abstractNumId="2">
    <w:nsid w:val="BCCE4CA5"/>
    <w:multiLevelType w:val="singleLevel"/>
    <w:tmpl w:val="BCCE4CA5"/>
    <w:lvl w:ilvl="0" w:tentative="0">
      <w:start w:val="1"/>
      <w:numFmt w:val="decimal"/>
      <w:suff w:val="nothing"/>
      <w:lvlText w:val="（%1）"/>
      <w:lvlJc w:val="left"/>
    </w:lvl>
  </w:abstractNum>
  <w:abstractNum w:abstractNumId="3">
    <w:nsid w:val="DA103A10"/>
    <w:multiLevelType w:val="singleLevel"/>
    <w:tmpl w:val="DA103A10"/>
    <w:lvl w:ilvl="0" w:tentative="0">
      <w:start w:val="9"/>
      <w:numFmt w:val="decimal"/>
      <w:suff w:val="nothing"/>
      <w:lvlText w:val="（%1）"/>
      <w:lvlJc w:val="left"/>
    </w:lvl>
  </w:abstractNum>
  <w:abstractNum w:abstractNumId="4">
    <w:nsid w:val="E0EF3D58"/>
    <w:multiLevelType w:val="singleLevel"/>
    <w:tmpl w:val="E0EF3D58"/>
    <w:lvl w:ilvl="0" w:tentative="0">
      <w:start w:val="2"/>
      <w:numFmt w:val="decimal"/>
      <w:suff w:val="nothing"/>
      <w:lvlText w:val="%1）"/>
      <w:lvlJc w:val="left"/>
    </w:lvl>
  </w:abstractNum>
  <w:abstractNum w:abstractNumId="5">
    <w:nsid w:val="ED85D0FF"/>
    <w:multiLevelType w:val="singleLevel"/>
    <w:tmpl w:val="ED85D0FF"/>
    <w:lvl w:ilvl="0" w:tentative="0">
      <w:start w:val="1"/>
      <w:numFmt w:val="decimal"/>
      <w:suff w:val="nothing"/>
      <w:lvlText w:val="%1）"/>
      <w:lvlJc w:val="left"/>
    </w:lvl>
  </w:abstractNum>
  <w:abstractNum w:abstractNumId="6">
    <w:nsid w:val="0941FDD9"/>
    <w:multiLevelType w:val="singleLevel"/>
    <w:tmpl w:val="0941FDD9"/>
    <w:lvl w:ilvl="0" w:tentative="0">
      <w:start w:val="1"/>
      <w:numFmt w:val="bullet"/>
      <w:pStyle w:val="16"/>
      <w:lvlText w:val=""/>
      <w:lvlJc w:val="left"/>
      <w:pPr>
        <w:tabs>
          <w:tab w:val="left" w:pos="2040"/>
        </w:tabs>
        <w:ind w:left="2040" w:hanging="360"/>
      </w:pPr>
      <w:rPr>
        <w:rFonts w:hint="default" w:ascii="Wingdings" w:hAnsi="Wingdings"/>
      </w:rPr>
    </w:lvl>
  </w:abstractNum>
  <w:abstractNum w:abstractNumId="7">
    <w:nsid w:val="10B6EEB4"/>
    <w:multiLevelType w:val="singleLevel"/>
    <w:tmpl w:val="10B6EEB4"/>
    <w:lvl w:ilvl="0" w:tentative="0">
      <w:start w:val="5"/>
      <w:numFmt w:val="decimal"/>
      <w:suff w:val="nothing"/>
      <w:lvlText w:val="（%1）"/>
      <w:lvlJc w:val="left"/>
    </w:lvl>
  </w:abstractNum>
  <w:abstractNum w:abstractNumId="8">
    <w:nsid w:val="1BD31351"/>
    <w:multiLevelType w:val="singleLevel"/>
    <w:tmpl w:val="1BD31351"/>
    <w:lvl w:ilvl="0" w:tentative="0">
      <w:start w:val="3"/>
      <w:numFmt w:val="decimal"/>
      <w:suff w:val="nothing"/>
      <w:lvlText w:val="%1、"/>
      <w:lvlJc w:val="left"/>
    </w:lvl>
  </w:abstractNum>
  <w:abstractNum w:abstractNumId="9">
    <w:nsid w:val="2EE8D88B"/>
    <w:multiLevelType w:val="multilevel"/>
    <w:tmpl w:val="2EE8D88B"/>
    <w:lvl w:ilvl="0" w:tentative="0">
      <w:start w:val="1"/>
      <w:numFmt w:val="decimal"/>
      <w:lvlText w:val="%1"/>
      <w:lvlJc w:val="left"/>
      <w:pPr>
        <w:tabs>
          <w:tab w:val="left" w:pos="0"/>
        </w:tabs>
        <w:ind w:left="420" w:firstLine="0"/>
      </w:pPr>
      <w:rPr>
        <w:rFonts w:hint="eastAsia"/>
      </w:rPr>
    </w:lvl>
    <w:lvl w:ilvl="1" w:tentative="0">
      <w:start w:val="1"/>
      <w:numFmt w:val="decimal"/>
      <w:lvlText w:val="%1.%2"/>
      <w:lvlJc w:val="left"/>
      <w:pPr>
        <w:tabs>
          <w:tab w:val="left" w:pos="0"/>
        </w:tabs>
        <w:ind w:left="576" w:hanging="576"/>
      </w:pPr>
      <w:rPr>
        <w:rFonts w:hint="default" w:ascii="Times New Roman" w:hAnsi="Times New Roman" w:cs="Times New Roman"/>
        <w:b w:val="0"/>
        <w:color w:val="auto"/>
        <w:sz w:val="24"/>
        <w:szCs w:val="24"/>
      </w:rPr>
    </w:lvl>
    <w:lvl w:ilvl="2" w:tentative="0">
      <w:start w:val="1"/>
      <w:numFmt w:val="decimal"/>
      <w:pStyle w:val="2"/>
      <w:lvlText w:val="%1.%2.%3"/>
      <w:lvlJc w:val="left"/>
      <w:pPr>
        <w:tabs>
          <w:tab w:val="left" w:pos="0"/>
        </w:tabs>
        <w:ind w:left="1133" w:firstLine="142"/>
      </w:pPr>
      <w:rPr>
        <w:rFonts w:hint="eastAsia"/>
      </w:rPr>
    </w:lvl>
    <w:lvl w:ilvl="3" w:tentative="0">
      <w:start w:val="1"/>
      <w:numFmt w:val="decimal"/>
      <w:lvlText w:val="%1.%2.%3.%4"/>
      <w:lvlJc w:val="left"/>
      <w:pPr>
        <w:tabs>
          <w:tab w:val="left" w:pos="0"/>
        </w:tabs>
        <w:ind w:left="1844" w:hanging="1844"/>
      </w:pPr>
      <w:rPr>
        <w:rFonts w:hint="eastAsia"/>
      </w:rPr>
    </w:lvl>
    <w:lvl w:ilvl="4" w:tentative="0">
      <w:start w:val="1"/>
      <w:numFmt w:val="decimal"/>
      <w:lvlText w:val="%1.%2.%3.%4.%5"/>
      <w:lvlJc w:val="left"/>
      <w:pPr>
        <w:tabs>
          <w:tab w:val="left" w:pos="0"/>
        </w:tabs>
        <w:ind w:left="1008" w:hanging="1008"/>
      </w:pPr>
      <w:rPr>
        <w:rFonts w:hint="eastAsia"/>
      </w:rPr>
    </w:lvl>
    <w:lvl w:ilvl="5" w:tentative="0">
      <w:start w:val="1"/>
      <w:numFmt w:val="decimal"/>
      <w:lvlText w:val="%1.%2.%3.%4.%5.%6"/>
      <w:lvlJc w:val="left"/>
      <w:pPr>
        <w:tabs>
          <w:tab w:val="left" w:pos="0"/>
        </w:tabs>
        <w:ind w:left="1152" w:hanging="1152"/>
      </w:pPr>
      <w:rPr>
        <w:rFonts w:hint="eastAsia"/>
      </w:rPr>
    </w:lvl>
    <w:lvl w:ilvl="6" w:tentative="0">
      <w:start w:val="1"/>
      <w:numFmt w:val="decimal"/>
      <w:lvlText w:val="%1.%2.%3.%4.%5.%6.%7"/>
      <w:lvlJc w:val="left"/>
      <w:pPr>
        <w:tabs>
          <w:tab w:val="left" w:pos="0"/>
        </w:tabs>
        <w:ind w:left="1296" w:hanging="1296"/>
      </w:pPr>
      <w:rPr>
        <w:rFonts w:hint="eastAsia"/>
      </w:rPr>
    </w:lvl>
    <w:lvl w:ilvl="7" w:tentative="0">
      <w:start w:val="1"/>
      <w:numFmt w:val="decimal"/>
      <w:lvlText w:val="%1.%2.%3.%4.%5.%6.%7.%8"/>
      <w:lvlJc w:val="left"/>
      <w:pPr>
        <w:tabs>
          <w:tab w:val="left" w:pos="0"/>
        </w:tabs>
        <w:ind w:left="1440" w:hanging="1440"/>
      </w:pPr>
      <w:rPr>
        <w:rFonts w:hint="eastAsia"/>
      </w:rPr>
    </w:lvl>
    <w:lvl w:ilvl="8" w:tentative="0">
      <w:start w:val="1"/>
      <w:numFmt w:val="decimal"/>
      <w:lvlText w:val="%1.%2.%3.%4.%5.%6.%7.%8.%9"/>
      <w:lvlJc w:val="left"/>
      <w:pPr>
        <w:tabs>
          <w:tab w:val="left" w:pos="0"/>
        </w:tabs>
        <w:ind w:left="1584" w:hanging="1584"/>
      </w:pPr>
      <w:rPr>
        <w:rFonts w:hint="eastAsia"/>
      </w:rPr>
    </w:lvl>
  </w:abstractNum>
  <w:abstractNum w:abstractNumId="10">
    <w:nsid w:val="3C2F3C69"/>
    <w:multiLevelType w:val="singleLevel"/>
    <w:tmpl w:val="3C2F3C69"/>
    <w:lvl w:ilvl="0" w:tentative="0">
      <w:start w:val="1"/>
      <w:numFmt w:val="decimal"/>
      <w:suff w:val="nothing"/>
      <w:lvlText w:val="（%1）"/>
      <w:lvlJc w:val="left"/>
    </w:lvl>
  </w:abstractNum>
  <w:abstractNum w:abstractNumId="11">
    <w:nsid w:val="4C42BA41"/>
    <w:multiLevelType w:val="singleLevel"/>
    <w:tmpl w:val="4C42BA41"/>
    <w:lvl w:ilvl="0" w:tentative="0">
      <w:start w:val="1"/>
      <w:numFmt w:val="chineseCounting"/>
      <w:suff w:val="nothing"/>
      <w:lvlText w:val="%1、"/>
      <w:lvlJc w:val="left"/>
      <w:rPr>
        <w:rFonts w:hint="eastAsia"/>
      </w:rPr>
    </w:lvl>
  </w:abstractNum>
  <w:abstractNum w:abstractNumId="12">
    <w:nsid w:val="68582B52"/>
    <w:multiLevelType w:val="singleLevel"/>
    <w:tmpl w:val="68582B52"/>
    <w:lvl w:ilvl="0" w:tentative="0">
      <w:start w:val="2"/>
      <w:numFmt w:val="chineseCounting"/>
      <w:suff w:val="nothing"/>
      <w:lvlText w:val="%1、"/>
      <w:lvlJc w:val="left"/>
      <w:rPr>
        <w:rFonts w:hint="eastAsia"/>
      </w:rPr>
    </w:lvl>
  </w:abstractNum>
  <w:num w:numId="1">
    <w:abstractNumId w:val="9"/>
  </w:num>
  <w:num w:numId="2">
    <w:abstractNumId w:val="6"/>
  </w:num>
  <w:num w:numId="3">
    <w:abstractNumId w:val="4"/>
  </w:num>
  <w:num w:numId="4">
    <w:abstractNumId w:val="1"/>
  </w:num>
  <w:num w:numId="5">
    <w:abstractNumId w:val="12"/>
  </w:num>
  <w:num w:numId="6">
    <w:abstractNumId w:val="7"/>
  </w:num>
  <w:num w:numId="7">
    <w:abstractNumId w:val="3"/>
  </w:num>
  <w:num w:numId="8">
    <w:abstractNumId w:val="2"/>
  </w:num>
  <w:num w:numId="9">
    <w:abstractNumId w:val="11"/>
  </w:num>
  <w:num w:numId="10">
    <w:abstractNumId w:val="0"/>
  </w:num>
  <w:num w:numId="11">
    <w:abstractNumId w:val="8"/>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82E"/>
    <w:rsid w:val="0013188F"/>
    <w:rsid w:val="00155891"/>
    <w:rsid w:val="00172B10"/>
    <w:rsid w:val="003733EE"/>
    <w:rsid w:val="00380CCC"/>
    <w:rsid w:val="003961B0"/>
    <w:rsid w:val="0042653C"/>
    <w:rsid w:val="005D2189"/>
    <w:rsid w:val="006A0251"/>
    <w:rsid w:val="006C1077"/>
    <w:rsid w:val="006F09E0"/>
    <w:rsid w:val="0071527A"/>
    <w:rsid w:val="0077155D"/>
    <w:rsid w:val="008665E5"/>
    <w:rsid w:val="00900A00"/>
    <w:rsid w:val="009A4DC4"/>
    <w:rsid w:val="00A943BD"/>
    <w:rsid w:val="00C3062D"/>
    <w:rsid w:val="00D5082E"/>
    <w:rsid w:val="00D86D28"/>
    <w:rsid w:val="00E17764"/>
    <w:rsid w:val="00EA180D"/>
    <w:rsid w:val="00F027D6"/>
    <w:rsid w:val="01AE1BBB"/>
    <w:rsid w:val="02337EF6"/>
    <w:rsid w:val="02F6399F"/>
    <w:rsid w:val="036363D4"/>
    <w:rsid w:val="036C3F69"/>
    <w:rsid w:val="043B4C5B"/>
    <w:rsid w:val="05606A25"/>
    <w:rsid w:val="05C8225E"/>
    <w:rsid w:val="05E97064"/>
    <w:rsid w:val="06583925"/>
    <w:rsid w:val="07A80B40"/>
    <w:rsid w:val="0A374116"/>
    <w:rsid w:val="0A913826"/>
    <w:rsid w:val="0B82443B"/>
    <w:rsid w:val="0C5346F9"/>
    <w:rsid w:val="0DFC18FF"/>
    <w:rsid w:val="0F2A1795"/>
    <w:rsid w:val="0FEC3AAB"/>
    <w:rsid w:val="101350DE"/>
    <w:rsid w:val="10BA181D"/>
    <w:rsid w:val="10C06C14"/>
    <w:rsid w:val="110A056F"/>
    <w:rsid w:val="121A4AFB"/>
    <w:rsid w:val="12672C1C"/>
    <w:rsid w:val="12CA5B28"/>
    <w:rsid w:val="13DC51F1"/>
    <w:rsid w:val="14EF4582"/>
    <w:rsid w:val="15477903"/>
    <w:rsid w:val="167A0D86"/>
    <w:rsid w:val="16835461"/>
    <w:rsid w:val="16F32262"/>
    <w:rsid w:val="19A52E4A"/>
    <w:rsid w:val="1A3A7CE8"/>
    <w:rsid w:val="1AA93221"/>
    <w:rsid w:val="1B696DCA"/>
    <w:rsid w:val="1BB83309"/>
    <w:rsid w:val="1C8F3AD3"/>
    <w:rsid w:val="1CFD05FD"/>
    <w:rsid w:val="1E29253F"/>
    <w:rsid w:val="1E952B4A"/>
    <w:rsid w:val="1EA27958"/>
    <w:rsid w:val="21333432"/>
    <w:rsid w:val="222533FF"/>
    <w:rsid w:val="22AC6FF8"/>
    <w:rsid w:val="231D4772"/>
    <w:rsid w:val="238D2233"/>
    <w:rsid w:val="23952E3F"/>
    <w:rsid w:val="23A1312B"/>
    <w:rsid w:val="249A1DA8"/>
    <w:rsid w:val="2533755C"/>
    <w:rsid w:val="25B64771"/>
    <w:rsid w:val="26284BE7"/>
    <w:rsid w:val="26F30167"/>
    <w:rsid w:val="2729330D"/>
    <w:rsid w:val="289B093F"/>
    <w:rsid w:val="290065A4"/>
    <w:rsid w:val="2A300BCB"/>
    <w:rsid w:val="2A327C6D"/>
    <w:rsid w:val="2B852ADC"/>
    <w:rsid w:val="2BA56CDA"/>
    <w:rsid w:val="2BAF1907"/>
    <w:rsid w:val="2BEB7FCD"/>
    <w:rsid w:val="2CA451E4"/>
    <w:rsid w:val="2CC338BC"/>
    <w:rsid w:val="2E026D7F"/>
    <w:rsid w:val="2E0B6AA2"/>
    <w:rsid w:val="2E7A137B"/>
    <w:rsid w:val="2EA15E7F"/>
    <w:rsid w:val="2F2546D9"/>
    <w:rsid w:val="2F566C69"/>
    <w:rsid w:val="2F882B9B"/>
    <w:rsid w:val="2FB83407"/>
    <w:rsid w:val="30046054"/>
    <w:rsid w:val="310070E9"/>
    <w:rsid w:val="311C4CD1"/>
    <w:rsid w:val="31AA6DF8"/>
    <w:rsid w:val="320E30F0"/>
    <w:rsid w:val="32836DED"/>
    <w:rsid w:val="32E60475"/>
    <w:rsid w:val="33153264"/>
    <w:rsid w:val="345D45F6"/>
    <w:rsid w:val="34F4163F"/>
    <w:rsid w:val="35604DFA"/>
    <w:rsid w:val="373553B6"/>
    <w:rsid w:val="3751765E"/>
    <w:rsid w:val="37917690"/>
    <w:rsid w:val="379B2A72"/>
    <w:rsid w:val="37AB38CA"/>
    <w:rsid w:val="385F77E7"/>
    <w:rsid w:val="38DB01DF"/>
    <w:rsid w:val="39785A2E"/>
    <w:rsid w:val="3A491F3A"/>
    <w:rsid w:val="3A6C43F3"/>
    <w:rsid w:val="3A932369"/>
    <w:rsid w:val="3ADA084C"/>
    <w:rsid w:val="3B1B578B"/>
    <w:rsid w:val="3B8F7951"/>
    <w:rsid w:val="3BBB3608"/>
    <w:rsid w:val="3D485717"/>
    <w:rsid w:val="3D657D03"/>
    <w:rsid w:val="3E902437"/>
    <w:rsid w:val="3EDE27D7"/>
    <w:rsid w:val="3FCF3ECE"/>
    <w:rsid w:val="41561B93"/>
    <w:rsid w:val="4230334A"/>
    <w:rsid w:val="42D75573"/>
    <w:rsid w:val="43657CF1"/>
    <w:rsid w:val="45EE139B"/>
    <w:rsid w:val="461C2D71"/>
    <w:rsid w:val="46944107"/>
    <w:rsid w:val="475C4548"/>
    <w:rsid w:val="48141018"/>
    <w:rsid w:val="49A35416"/>
    <w:rsid w:val="49B101B3"/>
    <w:rsid w:val="49B83EFC"/>
    <w:rsid w:val="4A354A2A"/>
    <w:rsid w:val="4A3A0EE7"/>
    <w:rsid w:val="4A6022F2"/>
    <w:rsid w:val="4B660ECF"/>
    <w:rsid w:val="4BA9153A"/>
    <w:rsid w:val="4D114C8F"/>
    <w:rsid w:val="4E726A98"/>
    <w:rsid w:val="4E7323F0"/>
    <w:rsid w:val="4ED35788"/>
    <w:rsid w:val="50CA3110"/>
    <w:rsid w:val="530028C4"/>
    <w:rsid w:val="530F2B07"/>
    <w:rsid w:val="532D6117"/>
    <w:rsid w:val="53B76618"/>
    <w:rsid w:val="53C659A5"/>
    <w:rsid w:val="54C13E57"/>
    <w:rsid w:val="54ED124C"/>
    <w:rsid w:val="54EF034A"/>
    <w:rsid w:val="5560733A"/>
    <w:rsid w:val="573463DB"/>
    <w:rsid w:val="58F20F01"/>
    <w:rsid w:val="590E28F1"/>
    <w:rsid w:val="59981CFF"/>
    <w:rsid w:val="59BD150F"/>
    <w:rsid w:val="5A3612C1"/>
    <w:rsid w:val="5AE43FC8"/>
    <w:rsid w:val="5C5D40D0"/>
    <w:rsid w:val="5CF214D0"/>
    <w:rsid w:val="5E802B0B"/>
    <w:rsid w:val="5ED75043"/>
    <w:rsid w:val="61527A40"/>
    <w:rsid w:val="62673D19"/>
    <w:rsid w:val="62A25746"/>
    <w:rsid w:val="62AF7E63"/>
    <w:rsid w:val="64393E88"/>
    <w:rsid w:val="64407B82"/>
    <w:rsid w:val="64986E00"/>
    <w:rsid w:val="65E16585"/>
    <w:rsid w:val="65F82E5D"/>
    <w:rsid w:val="67382781"/>
    <w:rsid w:val="68CE0F0B"/>
    <w:rsid w:val="68D0643D"/>
    <w:rsid w:val="6978593F"/>
    <w:rsid w:val="69DF2DDC"/>
    <w:rsid w:val="6B2313EE"/>
    <w:rsid w:val="6B2700A1"/>
    <w:rsid w:val="6C26411B"/>
    <w:rsid w:val="6C795A5E"/>
    <w:rsid w:val="6CEB7F46"/>
    <w:rsid w:val="6D205BE5"/>
    <w:rsid w:val="6E5A0C83"/>
    <w:rsid w:val="6EA91C0A"/>
    <w:rsid w:val="7053544E"/>
    <w:rsid w:val="7159658E"/>
    <w:rsid w:val="7176506A"/>
    <w:rsid w:val="71D23226"/>
    <w:rsid w:val="72646574"/>
    <w:rsid w:val="73362AB6"/>
    <w:rsid w:val="73E37868"/>
    <w:rsid w:val="74AE3AD6"/>
    <w:rsid w:val="75561B3B"/>
    <w:rsid w:val="75BF467F"/>
    <w:rsid w:val="762304F4"/>
    <w:rsid w:val="764F753B"/>
    <w:rsid w:val="771A18F7"/>
    <w:rsid w:val="781C344D"/>
    <w:rsid w:val="7820118F"/>
    <w:rsid w:val="786C7F30"/>
    <w:rsid w:val="786E7610"/>
    <w:rsid w:val="7A9814B1"/>
    <w:rsid w:val="7AB92177"/>
    <w:rsid w:val="7AEF444B"/>
    <w:rsid w:val="7B8F455E"/>
    <w:rsid w:val="7CB6343C"/>
    <w:rsid w:val="7E372D8F"/>
    <w:rsid w:val="7F721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unhideWhenUsed/>
    <w:qFormat/>
    <w:uiPriority w:val="9"/>
    <w:pPr>
      <w:keepNext/>
      <w:keepLines/>
      <w:spacing w:before="120" w:after="60"/>
      <w:outlineLvl w:val="1"/>
    </w:pPr>
    <w:rPr>
      <w:rFonts w:cstheme="majorBidi"/>
      <w:b/>
      <w:bCs/>
      <w:szCs w:val="32"/>
    </w:rPr>
  </w:style>
  <w:style w:type="paragraph" w:styleId="2">
    <w:name w:val="heading 3"/>
    <w:basedOn w:val="1"/>
    <w:next w:val="1"/>
    <w:qFormat/>
    <w:uiPriority w:val="0"/>
    <w:pPr>
      <w:keepNext/>
      <w:keepLines/>
      <w:numPr>
        <w:ilvl w:val="2"/>
        <w:numId w:val="1"/>
      </w:numPr>
      <w:spacing w:before="260" w:after="260" w:line="360" w:lineRule="auto"/>
      <w:outlineLvl w:val="2"/>
    </w:pPr>
    <w:rPr>
      <w:rFonts w:ascii="方正美黑简体" w:eastAsia="方正美黑简体"/>
      <w:bCs/>
      <w:sz w:val="28"/>
      <w:szCs w:val="32"/>
    </w:rPr>
  </w:style>
  <w:style w:type="paragraph" w:styleId="5">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List 3"/>
    <w:basedOn w:val="1"/>
    <w:next w:val="1"/>
    <w:qFormat/>
    <w:uiPriority w:val="0"/>
    <w:pPr>
      <w:ind w:left="100" w:leftChars="400" w:hanging="200" w:hangingChars="200"/>
    </w:pPr>
  </w:style>
  <w:style w:type="paragraph" w:styleId="7">
    <w:name w:val="Normal Indent"/>
    <w:basedOn w:val="1"/>
    <w:next w:val="8"/>
    <w:qFormat/>
    <w:uiPriority w:val="0"/>
    <w:pPr>
      <w:ind w:firstLine="420"/>
    </w:pPr>
    <w:rPr>
      <w:rFonts w:ascii="Calibri" w:hAnsi="Calibri"/>
      <w:szCs w:val="22"/>
    </w:rPr>
  </w:style>
  <w:style w:type="paragraph" w:customStyle="1" w:styleId="8">
    <w:name w:val="Char Char Char Char Char Char Char Char Char1 Char"/>
    <w:basedOn w:val="1"/>
    <w:next w:val="9"/>
    <w:qFormat/>
    <w:uiPriority w:val="0"/>
    <w:pPr>
      <w:spacing w:line="360" w:lineRule="auto"/>
      <w:ind w:firstLine="200" w:firstLineChars="200"/>
    </w:pPr>
    <w:rPr>
      <w:rFonts w:hAnsi="宋体" w:cs="宋体"/>
      <w:spacing w:val="5"/>
      <w:sz w:val="24"/>
    </w:rPr>
  </w:style>
  <w:style w:type="paragraph" w:customStyle="1" w:styleId="9">
    <w:name w:val="Body Text First Indent1"/>
    <w:next w:val="1"/>
    <w:qFormat/>
    <w:uiPriority w:val="0"/>
    <w:pPr>
      <w:widowControl w:val="0"/>
      <w:spacing w:after="120"/>
      <w:ind w:firstLine="420"/>
      <w:jc w:val="both"/>
    </w:pPr>
    <w:rPr>
      <w:rFonts w:ascii="Times New Roman" w:hAnsi="Times New Roman" w:eastAsia="宋体" w:cs="Times New Roman"/>
      <w:sz w:val="21"/>
      <w:szCs w:val="22"/>
      <w:lang w:val="en-US" w:eastAsia="zh-CN" w:bidi="ar-SA"/>
    </w:rPr>
  </w:style>
  <w:style w:type="paragraph" w:styleId="10">
    <w:name w:val="caption"/>
    <w:basedOn w:val="1"/>
    <w:next w:val="1"/>
    <w:qFormat/>
    <w:uiPriority w:val="0"/>
    <w:pPr>
      <w:jc w:val="center"/>
    </w:pPr>
    <w:rPr>
      <w:rFonts w:cs="Arial"/>
      <w:szCs w:val="21"/>
    </w:rPr>
  </w:style>
  <w:style w:type="paragraph" w:styleId="11">
    <w:name w:val="annotation text"/>
    <w:basedOn w:val="1"/>
    <w:qFormat/>
    <w:uiPriority w:val="0"/>
    <w:pPr>
      <w:jc w:val="left"/>
    </w:pPr>
  </w:style>
  <w:style w:type="paragraph" w:styleId="12">
    <w:name w:val="Body Text"/>
    <w:basedOn w:val="1"/>
    <w:next w:val="13"/>
    <w:qFormat/>
    <w:uiPriority w:val="0"/>
    <w:pPr>
      <w:widowControl/>
      <w:snapToGrid w:val="0"/>
      <w:spacing w:before="60" w:after="160" w:line="259" w:lineRule="auto"/>
      <w:ind w:right="113"/>
    </w:pPr>
    <w:rPr>
      <w:kern w:val="0"/>
      <w:sz w:val="18"/>
      <w:szCs w:val="20"/>
    </w:rPr>
  </w:style>
  <w:style w:type="paragraph" w:customStyle="1" w:styleId="13">
    <w:name w:val="Body Text 21"/>
    <w:basedOn w:val="1"/>
    <w:qFormat/>
    <w:uiPriority w:val="0"/>
    <w:pPr>
      <w:spacing w:after="120" w:line="480" w:lineRule="auto"/>
    </w:pPr>
  </w:style>
  <w:style w:type="paragraph" w:styleId="14">
    <w:name w:val="Body Text Indent"/>
    <w:basedOn w:val="1"/>
    <w:next w:val="5"/>
    <w:qFormat/>
    <w:uiPriority w:val="0"/>
    <w:pPr>
      <w:spacing w:after="120"/>
      <w:ind w:left="420" w:leftChars="200"/>
    </w:pPr>
    <w:rPr>
      <w:kern w:val="0"/>
      <w:sz w:val="24"/>
      <w:szCs w:val="20"/>
    </w:rPr>
  </w:style>
  <w:style w:type="paragraph" w:styleId="15">
    <w:name w:val="Plain Text"/>
    <w:basedOn w:val="1"/>
    <w:next w:val="1"/>
    <w:qFormat/>
    <w:uiPriority w:val="0"/>
    <w:pPr>
      <w:widowControl/>
      <w:spacing w:after="60" w:line="360" w:lineRule="auto"/>
      <w:ind w:firstLine="200" w:firstLineChars="200"/>
      <w:jc w:val="left"/>
    </w:pPr>
    <w:rPr>
      <w:rFonts w:ascii="宋体" w:hAnsi="Courier New" w:cs="Courier New"/>
      <w:kern w:val="0"/>
      <w:sz w:val="24"/>
      <w:szCs w:val="21"/>
    </w:rPr>
  </w:style>
  <w:style w:type="paragraph" w:styleId="16">
    <w:name w:val="List Bullet 5"/>
    <w:basedOn w:val="1"/>
    <w:qFormat/>
    <w:uiPriority w:val="0"/>
    <w:pPr>
      <w:numPr>
        <w:ilvl w:val="0"/>
        <w:numId w:val="2"/>
      </w:numPr>
    </w:pPr>
  </w:style>
  <w:style w:type="paragraph" w:styleId="17">
    <w:name w:val="Date"/>
    <w:basedOn w:val="1"/>
    <w:next w:val="1"/>
    <w:qFormat/>
    <w:uiPriority w:val="0"/>
    <w:rPr>
      <w:sz w:val="28"/>
    </w:rPr>
  </w:style>
  <w:style w:type="paragraph" w:styleId="18">
    <w:name w:val="Body Text Indent 2"/>
    <w:basedOn w:val="1"/>
    <w:qFormat/>
    <w:uiPriority w:val="0"/>
    <w:pPr>
      <w:spacing w:line="500" w:lineRule="exact"/>
      <w:ind w:firstLine="556"/>
    </w:pPr>
    <w:rPr>
      <w:bCs/>
      <w:sz w:val="28"/>
    </w:rPr>
  </w:style>
  <w:style w:type="paragraph" w:styleId="19">
    <w:name w:val="footer"/>
    <w:basedOn w:val="1"/>
    <w:qFormat/>
    <w:uiPriority w:val="99"/>
    <w:pPr>
      <w:tabs>
        <w:tab w:val="center" w:pos="4153"/>
        <w:tab w:val="right" w:pos="8306"/>
      </w:tabs>
      <w:snapToGrid w:val="0"/>
      <w:jc w:val="left"/>
    </w:pPr>
    <w:rPr>
      <w:kern w:val="0"/>
      <w:sz w:val="18"/>
      <w:szCs w:val="20"/>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List"/>
    <w:basedOn w:val="1"/>
    <w:qFormat/>
    <w:uiPriority w:val="0"/>
    <w:pPr>
      <w:ind w:left="200" w:hanging="200" w:hangingChars="200"/>
    </w:pPr>
  </w:style>
  <w:style w:type="paragraph" w:styleId="22">
    <w:name w:val="Body Text 2"/>
    <w:basedOn w:val="1"/>
    <w:unhideWhenUsed/>
    <w:qFormat/>
    <w:uiPriority w:val="99"/>
    <w:pPr>
      <w:spacing w:after="120" w:line="480" w:lineRule="auto"/>
    </w:pPr>
  </w:style>
  <w:style w:type="paragraph" w:styleId="23">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24">
    <w:name w:val="Body Text First Indent"/>
    <w:basedOn w:val="12"/>
    <w:qFormat/>
    <w:uiPriority w:val="0"/>
    <w:pPr>
      <w:adjustRightInd w:val="0"/>
      <w:spacing w:beforeLines="50" w:after="0" w:line="360" w:lineRule="auto"/>
      <w:ind w:firstLine="200" w:firstLineChars="200"/>
    </w:pPr>
    <w:rPr>
      <w:sz w:val="24"/>
    </w:rPr>
  </w:style>
  <w:style w:type="paragraph" w:styleId="25">
    <w:name w:val="Body Text First Indent 2"/>
    <w:basedOn w:val="14"/>
    <w:next w:val="1"/>
    <w:qFormat/>
    <w:uiPriority w:val="0"/>
    <w:pPr>
      <w:spacing w:line="520" w:lineRule="exact"/>
      <w:ind w:firstLine="420" w:firstLineChars="200"/>
    </w:pPr>
    <w:rPr>
      <w:kern w:val="2"/>
      <w:sz w:val="28"/>
      <w:szCs w:val="28"/>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qFormat/>
    <w:uiPriority w:val="0"/>
  </w:style>
  <w:style w:type="character" w:styleId="30">
    <w:name w:val="FollowedHyperlink"/>
    <w:basedOn w:val="28"/>
    <w:qFormat/>
    <w:uiPriority w:val="0"/>
    <w:rPr>
      <w:color w:val="800080"/>
      <w:u w:val="single"/>
    </w:rPr>
  </w:style>
  <w:style w:type="character" w:styleId="31">
    <w:name w:val="Hyperlink"/>
    <w:basedOn w:val="28"/>
    <w:qFormat/>
    <w:uiPriority w:val="0"/>
    <w:rPr>
      <w:color w:val="0000FF"/>
      <w:u w:val="single"/>
    </w:rPr>
  </w:style>
  <w:style w:type="character" w:styleId="32">
    <w:name w:val="annotation reference"/>
    <w:semiHidden/>
    <w:qFormat/>
    <w:uiPriority w:val="0"/>
    <w:rPr>
      <w:sz w:val="21"/>
    </w:rPr>
  </w:style>
  <w:style w:type="paragraph" w:customStyle="1" w:styleId="33">
    <w:name w:val="表格"/>
    <w:basedOn w:val="1"/>
    <w:next w:val="1"/>
    <w:qFormat/>
    <w:uiPriority w:val="0"/>
    <w:pPr>
      <w:adjustRightInd w:val="0"/>
      <w:snapToGrid w:val="0"/>
      <w:spacing w:beforeLines="10" w:afterLines="10" w:line="259" w:lineRule="auto"/>
      <w:jc w:val="center"/>
    </w:pPr>
    <w:rPr>
      <w:rFonts w:ascii="宋体"/>
      <w:kern w:val="0"/>
      <w:szCs w:val="20"/>
    </w:rPr>
  </w:style>
  <w:style w:type="paragraph" w:customStyle="1" w:styleId="34">
    <w:name w:val="表头"/>
    <w:basedOn w:val="35"/>
    <w:next w:val="12"/>
    <w:qFormat/>
    <w:uiPriority w:val="0"/>
    <w:pPr>
      <w:widowControl/>
      <w:snapToGrid w:val="0"/>
    </w:pPr>
    <w:rPr>
      <w:rFonts w:hint="eastAsia"/>
      <w:b/>
      <w:szCs w:val="21"/>
    </w:rPr>
  </w:style>
  <w:style w:type="paragraph" w:customStyle="1" w:styleId="35">
    <w:name w:val="报告表格"/>
    <w:qFormat/>
    <w:uiPriority w:val="0"/>
    <w:pPr>
      <w:widowControl w:val="0"/>
      <w:autoSpaceDE w:val="0"/>
      <w:autoSpaceDN w:val="0"/>
      <w:adjustRightInd w:val="0"/>
      <w:spacing w:before="40" w:after="40"/>
      <w:jc w:val="center"/>
      <w:textAlignment w:val="baseline"/>
    </w:pPr>
    <w:rPr>
      <w:rFonts w:ascii="Times New Roman" w:hAnsi="Times New Roman" w:eastAsia="宋体" w:cs="Times New Roman"/>
      <w:sz w:val="28"/>
      <w:lang w:val="en-US" w:eastAsia="zh-CN" w:bidi="ar-SA"/>
    </w:rPr>
  </w:style>
  <w:style w:type="paragraph" w:customStyle="1" w:styleId="36">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szCs w:val="21"/>
    </w:rPr>
  </w:style>
  <w:style w:type="paragraph" w:customStyle="1" w:styleId="37">
    <w:name w:val="Default"/>
    <w:basedOn w:val="38"/>
    <w:qFormat/>
    <w:uiPriority w:val="99"/>
    <w:pPr>
      <w:autoSpaceDE w:val="0"/>
      <w:autoSpaceDN w:val="0"/>
    </w:pPr>
    <w:rPr>
      <w:rFonts w:cs="宋体"/>
      <w:sz w:val="24"/>
      <w:szCs w:val="24"/>
    </w:rPr>
  </w:style>
  <w:style w:type="paragraph" w:customStyle="1" w:styleId="38">
    <w:name w:val="纯文本1"/>
    <w:basedOn w:val="1"/>
    <w:qFormat/>
    <w:uiPriority w:val="0"/>
    <w:pPr>
      <w:adjustRightInd w:val="0"/>
    </w:pPr>
    <w:rPr>
      <w:rFonts w:ascii="宋体" w:hAnsi="Courier New"/>
      <w:szCs w:val="20"/>
    </w:rPr>
  </w:style>
  <w:style w:type="paragraph" w:customStyle="1" w:styleId="39">
    <w:name w:val="1 表头"/>
    <w:basedOn w:val="1"/>
    <w:qFormat/>
    <w:uiPriority w:val="0"/>
    <w:pPr>
      <w:adjustRightInd w:val="0"/>
      <w:snapToGrid w:val="0"/>
      <w:jc w:val="center"/>
    </w:pPr>
    <w:rPr>
      <w:b/>
      <w:color w:val="000000"/>
      <w:szCs w:val="21"/>
    </w:rPr>
  </w:style>
  <w:style w:type="paragraph" w:customStyle="1" w:styleId="40">
    <w:name w:val="标1"/>
    <w:basedOn w:val="1"/>
    <w:qFormat/>
    <w:uiPriority w:val="0"/>
    <w:pPr>
      <w:spacing w:before="60" w:line="460" w:lineRule="exact"/>
      <w:outlineLvl w:val="0"/>
    </w:pPr>
    <w:rPr>
      <w:b/>
      <w:sz w:val="32"/>
    </w:rPr>
  </w:style>
  <w:style w:type="paragraph" w:styleId="41">
    <w:name w:val="No Spacing"/>
    <w:basedOn w:val="21"/>
    <w:next w:val="1"/>
    <w:qFormat/>
    <w:uiPriority w:val="1"/>
    <w:pPr>
      <w:ind w:left="0" w:firstLine="0" w:firstLineChars="0"/>
      <w:jc w:val="center"/>
    </w:pPr>
  </w:style>
  <w:style w:type="paragraph" w:customStyle="1" w:styleId="42">
    <w:name w:val="表格内文字"/>
    <w:qFormat/>
    <w:uiPriority w:val="0"/>
    <w:pPr>
      <w:jc w:val="center"/>
    </w:pPr>
    <w:rPr>
      <w:rFonts w:ascii="Times New Roman" w:hAnsi="Times New Roman" w:eastAsia="宋体" w:cs="Times New Roman"/>
      <w:kern w:val="2"/>
      <w:sz w:val="21"/>
      <w:lang w:val="en-US" w:eastAsia="zh-CN" w:bidi="ar-SA"/>
    </w:rPr>
  </w:style>
  <w:style w:type="paragraph" w:customStyle="1" w:styleId="43">
    <w:name w:val="Table Paragraph"/>
    <w:basedOn w:val="1"/>
    <w:qFormat/>
    <w:uiPriority w:val="1"/>
    <w:pPr>
      <w:autoSpaceDE w:val="0"/>
      <w:autoSpaceDN w:val="0"/>
      <w:adjustRightInd w:val="0"/>
      <w:jc w:val="left"/>
    </w:pPr>
    <w:rPr>
      <w:rFonts w:ascii="宋体" w:cs="宋体"/>
      <w:kern w:val="0"/>
    </w:rPr>
  </w:style>
  <w:style w:type="paragraph" w:customStyle="1" w:styleId="44">
    <w:name w:val="表题"/>
    <w:basedOn w:val="1"/>
    <w:next w:val="1"/>
    <w:qFormat/>
    <w:uiPriority w:val="0"/>
    <w:pPr>
      <w:spacing w:beforeLines="50"/>
      <w:jc w:val="center"/>
    </w:pPr>
    <w:rPr>
      <w:b/>
    </w:rPr>
  </w:style>
  <w:style w:type="paragraph" w:customStyle="1" w:styleId="45">
    <w:name w:val="表格文字2"/>
    <w:basedOn w:val="1"/>
    <w:qFormat/>
    <w:uiPriority w:val="0"/>
    <w:pPr>
      <w:tabs>
        <w:tab w:val="left" w:pos="277"/>
        <w:tab w:val="left" w:pos="600"/>
        <w:tab w:val="left" w:pos="780"/>
        <w:tab w:val="left" w:pos="2517"/>
      </w:tabs>
      <w:adjustRightInd w:val="0"/>
      <w:spacing w:before="60"/>
      <w:jc w:val="center"/>
    </w:pPr>
    <w:rPr>
      <w:rFonts w:ascii="宋体" w:hAnsi="宋体" w:cs="宋体"/>
      <w:bCs/>
      <w:spacing w:val="5"/>
      <w:kern w:val="0"/>
      <w:szCs w:val="21"/>
    </w:rPr>
  </w:style>
  <w:style w:type="paragraph" w:styleId="46">
    <w:name w:val="List Paragraph"/>
    <w:basedOn w:val="1"/>
    <w:qFormat/>
    <w:uiPriority w:val="34"/>
    <w:pPr>
      <w:ind w:firstLine="420"/>
    </w:pPr>
  </w:style>
  <w:style w:type="paragraph" w:customStyle="1" w:styleId="47">
    <w:name w:val="1正文"/>
    <w:qFormat/>
    <w:uiPriority w:val="0"/>
    <w:pPr>
      <w:snapToGrid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48">
    <w:name w:val="B表内字"/>
    <w:basedOn w:val="1"/>
    <w:qFormat/>
    <w:uiPriority w:val="0"/>
    <w:pPr>
      <w:widowControl/>
      <w:jc w:val="center"/>
    </w:pPr>
    <w:rPr>
      <w:rFonts w:cs="宋体"/>
      <w:kern w:val="0"/>
    </w:rPr>
  </w:style>
  <w:style w:type="paragraph" w:customStyle="1" w:styleId="49">
    <w:name w:val="B正文"/>
    <w:basedOn w:val="1"/>
    <w:qFormat/>
    <w:uiPriority w:val="0"/>
    <w:pPr>
      <w:widowControl/>
      <w:ind w:firstLine="480"/>
      <w:jc w:val="left"/>
    </w:pPr>
    <w:rPr>
      <w:rFonts w:ascii="TimesNewRomanPS-BoldMT" w:eastAsia="TimesNewRomanPS-BoldMT" w:cs="TimesNewRomanPS-BoldMT"/>
      <w:b/>
      <w:bCs/>
      <w:kern w:val="0"/>
    </w:rPr>
  </w:style>
  <w:style w:type="paragraph" w:customStyle="1" w:styleId="50">
    <w:name w:val="表中文字"/>
    <w:basedOn w:val="1"/>
    <w:next w:val="1"/>
    <w:qFormat/>
    <w:uiPriority w:val="0"/>
    <w:pPr>
      <w:tabs>
        <w:tab w:val="left" w:pos="2700"/>
      </w:tabs>
      <w:spacing w:line="300" w:lineRule="auto"/>
      <w:jc w:val="center"/>
      <w:textAlignment w:val="center"/>
    </w:pPr>
    <w:rPr>
      <w:szCs w:val="21"/>
    </w:rPr>
  </w:style>
  <w:style w:type="paragraph" w:customStyle="1" w:styleId="51">
    <w:name w:val="样式 样式 (中文) 楷体_GB2312 四号 行距: 固定值 26 磅 +"/>
    <w:basedOn w:val="1"/>
    <w:qFormat/>
    <w:uiPriority w:val="0"/>
    <w:pPr>
      <w:spacing w:line="360" w:lineRule="auto"/>
      <w:ind w:firstLine="480" w:firstLineChars="200"/>
    </w:pPr>
    <w:rPr>
      <w:kern w:val="0"/>
      <w:sz w:val="24"/>
      <w:szCs w:val="20"/>
    </w:rPr>
  </w:style>
  <w:style w:type="paragraph" w:customStyle="1" w:styleId="52">
    <w:name w:val="图表标题"/>
    <w:basedOn w:val="1"/>
    <w:qFormat/>
    <w:uiPriority w:val="0"/>
    <w:pPr>
      <w:jc w:val="center"/>
    </w:pPr>
    <w:rPr>
      <w:b/>
      <w:bCs/>
    </w:rPr>
  </w:style>
  <w:style w:type="paragraph" w:customStyle="1" w:styleId="53">
    <w:name w:val="表内文字"/>
    <w:basedOn w:val="1"/>
    <w:qFormat/>
    <w:uiPriority w:val="0"/>
    <w:pPr>
      <w:adjustRightInd w:val="0"/>
      <w:snapToGrid w:val="0"/>
      <w:jc w:val="center"/>
    </w:pPr>
    <w:rPr>
      <w:szCs w:val="21"/>
    </w:rPr>
  </w:style>
  <w:style w:type="paragraph" w:customStyle="1" w:styleId="54">
    <w:name w:val="1正文段落"/>
    <w:basedOn w:val="1"/>
    <w:qFormat/>
    <w:uiPriority w:val="0"/>
    <w:pPr>
      <w:spacing w:line="360" w:lineRule="auto"/>
      <w:ind w:firstLine="480" w:firstLineChars="200"/>
      <w:jc w:val="left"/>
    </w:pPr>
    <w:rPr>
      <w:snapToGrid w:val="0"/>
      <w:kern w:val="0"/>
      <w:sz w:val="24"/>
    </w:rPr>
  </w:style>
  <w:style w:type="paragraph" w:customStyle="1" w:styleId="55">
    <w:name w:val="表头啊啊啊啊"/>
    <w:basedOn w:val="1"/>
    <w:qFormat/>
    <w:uiPriority w:val="0"/>
    <w:pPr>
      <w:adjustRightInd w:val="0"/>
      <w:snapToGrid w:val="0"/>
      <w:jc w:val="center"/>
    </w:pPr>
    <w:rPr>
      <w:rFonts w:hint="eastAsia" w:cs="宋体"/>
      <w:b/>
      <w:szCs w:val="21"/>
    </w:rPr>
  </w:style>
  <w:style w:type="paragraph" w:customStyle="1" w:styleId="56">
    <w:name w:val="表字1"/>
    <w:basedOn w:val="1"/>
    <w:qFormat/>
    <w:uiPriority w:val="0"/>
    <w:pPr>
      <w:adjustRightInd w:val="0"/>
      <w:snapToGrid w:val="0"/>
      <w:spacing w:line="200" w:lineRule="atLeast"/>
      <w:ind w:left="872"/>
      <w:jc w:val="center"/>
    </w:pPr>
    <w:rPr>
      <w:snapToGrid w:val="0"/>
      <w:kern w:val="0"/>
      <w:szCs w:val="21"/>
    </w:rPr>
  </w:style>
  <w:style w:type="table" w:customStyle="1" w:styleId="57">
    <w:name w:val="TableGrid"/>
    <w:basedOn w:val="26"/>
    <w:qFormat/>
    <w:uiPriority w:val="0"/>
    <w:rPr>
      <w:rFonts w:ascii="等线" w:hAnsi="等线" w:eastAsia="等线" w:cs="等线"/>
      <w:kern w:val="2"/>
      <w:sz w:val="21"/>
      <w:szCs w:val="22"/>
    </w:rPr>
    <w:tblPr>
      <w:tblCellMar>
        <w:left w:w="0" w:type="dxa"/>
        <w:right w:w="0" w:type="dxa"/>
      </w:tblCellMar>
    </w:tblPr>
  </w:style>
  <w:style w:type="paragraph" w:customStyle="1" w:styleId="58">
    <w:name w:val="正文格式啊啊啊啊"/>
    <w:basedOn w:val="1"/>
    <w:qFormat/>
    <w:uiPriority w:val="0"/>
    <w:pPr>
      <w:wordWrap w:val="0"/>
      <w:adjustRightInd w:val="0"/>
      <w:snapToGrid w:val="0"/>
      <w:spacing w:line="520" w:lineRule="exact"/>
      <w:ind w:firstLine="720" w:firstLineChars="200"/>
      <w:jc w:val="left"/>
    </w:pPr>
    <w:rPr>
      <w:rFonts w:cs="宋体"/>
      <w:kern w:val="0"/>
      <w:sz w:val="24"/>
    </w:rPr>
  </w:style>
  <w:style w:type="character" w:customStyle="1" w:styleId="59">
    <w:name w:val="正文啊啊啊 Char"/>
    <w:link w:val="60"/>
    <w:qFormat/>
    <w:uiPriority w:val="0"/>
    <w:rPr>
      <w:rFonts w:hint="eastAsia" w:ascii="Times New Roman" w:hAnsi="Times New Roman" w:eastAsia="宋体" w:cs="宋体"/>
      <w:bCs/>
      <w:kern w:val="2"/>
      <w:sz w:val="24"/>
      <w:szCs w:val="24"/>
      <w:lang w:val="en-US" w:eastAsia="zh-CN" w:bidi="ar-SA"/>
    </w:rPr>
  </w:style>
  <w:style w:type="paragraph" w:customStyle="1" w:styleId="60">
    <w:name w:val="正文啊啊啊"/>
    <w:link w:val="59"/>
    <w:qFormat/>
    <w:uiPriority w:val="0"/>
    <w:pPr>
      <w:widowControl w:val="0"/>
      <w:wordWrap w:val="0"/>
      <w:adjustRightInd w:val="0"/>
      <w:snapToGrid w:val="0"/>
      <w:spacing w:line="520" w:lineRule="exact"/>
      <w:ind w:firstLine="720" w:firstLineChars="200"/>
    </w:pPr>
    <w:rPr>
      <w:rFonts w:hint="eastAsia" w:ascii="Times New Roman" w:hAnsi="Times New Roman" w:eastAsia="宋体" w:cs="宋体"/>
      <w:bCs/>
      <w:kern w:val="2"/>
      <w:sz w:val="24"/>
      <w:szCs w:val="24"/>
      <w:lang w:val="en-US" w:eastAsia="zh-CN" w:bidi="ar-SA"/>
    </w:rPr>
  </w:style>
  <w:style w:type="paragraph" w:customStyle="1" w:styleId="61">
    <w:name w:val="表内文字啊啊啊"/>
    <w:qFormat/>
    <w:uiPriority w:val="0"/>
    <w:pPr>
      <w:widowControl w:val="0"/>
      <w:adjustRightInd w:val="0"/>
      <w:snapToGrid w:val="0"/>
      <w:jc w:val="center"/>
    </w:pPr>
    <w:rPr>
      <w:rFonts w:hint="eastAsia" w:ascii="Times New Roman" w:hAnsi="Times New Roman" w:eastAsiaTheme="minorEastAsia" w:cstheme="minorEastAsia"/>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png"/><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emf"/><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2056"/>
  </customShpExts>
  <extobjs>
    <extobj name="ECB019B1-382A-4266-B25C-5B523AA43C14-1">
      <extobjdata type="ECB019B1-382A-4266-B25C-5B523AA43C14" data="ewoJIkZpbGVJZCIgOiAiMjMzODY3MDk3NTM5IiwKCSJHcm91cElkIiA6ICI0ODkxOTUwNzQiLAoJIkltYWdlIiA6ICJpVkJPUncwS0dnb0FBQUFOU1VoRVVnQUFCQXNBQUFHQkNBWUFBQUFBS1RpdUFBQUFDWEJJV1hNQUFBc1RBQUFMRXdFQW1wd1lBQUFnQUVsRVFWUjRuT3pkZVZ4VTlmN0g4ZmNNTXNnaTRvNGl1R0JxcVpsUW1tYTVWMXBaTjYyc3JHeTlhYVhkdHF2ZHlycGRLODI2NVZKcWRWTmJiTFBNVEcweC9Wbm1WVU96Sk1VbEF4UmxFUkVSV1dkK2Y5RE1CWm1CQVdhRjEvUHg2QkY4ejVsenZvUHpPZWZNNTN5L255TUJ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NQlI3ZjhERWlnTFNlak80OWdBQUFBQVNVVk9SSzVDWUlJPSIsCgkiVGhlbWUiIDogIiIsCgkiVHlwZSIgOiAiZmxvdyIsCgkiVmVyc2lvbiIgOiAiMjMiCn0K"/>
    </extobj>
  </extobjs>
</s:customData>
</file>

<file path=customXml/item2.xml><?xml version="1.0" encoding="utf-8"?>
<contractReview xmlns="http://schemas.wps.cn/vas-ai-hub/contract-review">
  <reviewItems>
    <reviewItem>
      <errorID>db278b63-6415-44de-9fed-02f61eb04b39</errorID>
      <errorWord>-</errorWord>
      <group>L1_Format</group>
      <groupName>格式问题</groupName>
      <ability>L2_HalfPunc</ability>
      <abilityName>全半角检查</abilityName>
      <candidateList>
        <item>－</item>
      </candidateList>
      <explain>文本全半角错误。</explain>
      <paraID>5C85217A</paraID>
      <start>27</start>
      <end>28</end>
      <status>unmodified</status>
      <modifiedWord/>
      <trackRevisions>false</trackRevisions>
    </reviewItem>
    <reviewItem>
      <errorID>052d6f47-119e-4780-9a7a-e070b91d0d6c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2D655F8F</paraID>
      <start>0</start>
      <end>2</end>
      <status>unmodified</status>
      <modifiedWord/>
      <trackRevisions>false</trackRevisions>
    </reviewItem>
    <reviewItem>
      <errorID>e2d60f13-fd47-4c08-8acb-567164f4470d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564C06B3</paraID>
      <start>0</start>
      <end>2</end>
      <status>unmodified</status>
      <modifiedWord/>
      <trackRevisions>false</trackRevisions>
    </reviewItem>
    <reviewItem>
      <errorID>c542a8b7-8116-4a73-af82-6d5106f24181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3B6EA398</paraID>
      <start>0</start>
      <end>2</end>
      <status>unmodified</status>
      <modifiedWord/>
      <trackRevisions>false</trackRevisions>
    </reviewItem>
    <reviewItem>
      <errorID>e9eec72e-6328-480a-9422-add76a62d444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22ACD5F6</paraID>
      <start>0</start>
      <end>2</end>
      <status>unmodified</status>
      <modifiedWord/>
      <trackRevisions>false</trackRevisions>
    </reviewItem>
    <reviewItem>
      <errorID>43137111-80d5-4a81-bb64-8ddbef620d83</errorID>
      <errorWord>上线</errorWord>
      <group>L1_Word</group>
      <groupName>字词问题</groupName>
      <ability>L2_Typo</ability>
      <abilityName>字词错误</abilityName>
      <candidateList>
        <item>上限</item>
      </candidateList>
      <explain/>
      <paraID>15CD79C8</paraID>
      <start>109</start>
      <end>111</end>
      <status>unmodified</status>
      <modifiedWord/>
      <trackRevisions>false</trackRevisions>
    </reviewItem>
    <reviewItem>
      <errorID>9d018a8f-1628-4168-894a-ded8d95c6a36</errorID>
      <errorWord>。</errorWord>
      <group>L1_Grammar</group>
      <groupName>语法问题</groupName>
      <ability>L2_Missing</ability>
      <abilityName>成分残缺</abilityName>
      <candidateList>
        <item>的稳定。</item>
      </candidateList>
      <explain>句子中可能存在主谓宾、修饰语或者必要的词语残缺。</explain>
      <paraID>39FF6F82</paraID>
      <start>64</start>
      <end>65</end>
      <status>unmodified</status>
      <modifiedWord/>
      <trackRevisions>false</trackRevisions>
    </reviewItem>
    <reviewItem>
      <errorID>fce84e09-62b1-4c37-a23d-4bf8c118501d</errorID>
      <errorWord>上线</errorWord>
      <group>L1_Word</group>
      <groupName>字词问题</groupName>
      <ability>L2_Typo</ability>
      <abilityName>字词错误</abilityName>
      <candidateList>
        <item>上限</item>
      </candidateList>
      <explain/>
      <paraID>3E91A93E</paraID>
      <start>29</start>
      <end>31</end>
      <status>unmodified</status>
      <modifiedWord/>
      <trackRevisions>false</trackRevisions>
    </reviewItem>
    <reviewItem>
      <errorID>17586713-dc5c-42a7-bff0-d8915b15ff8e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D4EC9FB</paraID>
      <start>0</start>
      <end>2</end>
      <status>unmodified</status>
      <modifiedWord/>
      <trackRevisions>false</trackRevisions>
    </reviewItem>
    <reviewItem>
      <errorID>2a07b14c-1536-41ae-b264-42503bc96fa0</errorID>
      <errorWord>)</errorWord>
      <group>L1_Format</group>
      <groupName>格式问题</groupName>
      <ability>L2_HalfPunc</ability>
      <abilityName>全半角检查</abilityName>
      <candidateList>
        <item>）</item>
      </candidateList>
      <explain>文本全半角错误。</explain>
      <paraID>7D5AE506</paraID>
      <start>81</start>
      <end>82</end>
      <status>unmodified</status>
      <modifiedWord/>
      <trackRevisions>false</trackRevisions>
    </reviewItem>
    <reviewItem>
      <errorID>faa97249-65d7-4f58-969b-632c0a0568d4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1366741B</paraID>
      <start>0</start>
      <end>2</end>
      <status>unmodified</status>
      <modifiedWord/>
      <trackRevisions>false</trackRevisions>
    </reviewItem>
    <reviewItem>
      <errorID>cb59b057-f338-4e2c-ae8e-ef4d355f7ec7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72DDEA</paraID>
      <start>0</start>
      <end>2</end>
      <status>unmodified</status>
      <modifiedWord/>
      <trackRevisions>false</trackRevisions>
    </reviewItem>
    <reviewItem>
      <errorID>dddf6c9e-1f98-417f-8610-997ab2fb18bd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45645AB</paraID>
      <start>0</start>
      <end>2</end>
      <status>unmodified</status>
      <modifiedWord/>
      <trackRevisions>false</trackRevisions>
    </reviewItem>
    <reviewItem>
      <errorID>01b8f50c-6673-4e71-830d-86369baa0955</errorID>
      <errorWord>上线</errorWord>
      <group>L1_Word</group>
      <groupName>字词问题</groupName>
      <ability>L2_Typo</ability>
      <abilityName>字词错误</abilityName>
      <candidateList>
        <item>上限</item>
      </candidateList>
      <explain/>
      <paraID>2DD1A1A7</paraID>
      <start>53</start>
      <end>55</end>
      <status>unmodified</status>
      <modifiedWord/>
      <trackRevisions>false</trackRevisions>
    </reviewItem>
    <reviewItem>
      <errorID>31c5e5ac-110a-4fc5-98b9-d7ebece7d5da</errorID>
      <errorWord>杆</errorWord>
      <group>L1_Word</group>
      <groupName>字词问题</groupName>
      <ability>L2_Typo</ability>
      <abilityName>字词错误</abilityName>
      <candidateList>
        <item>竿</item>
      </candidateList>
      <explain>存在发音相同字词的误用。</explain>
      <paraID>1BB615B8</paraID>
      <start>12</start>
      <end>13</end>
      <status>unmodified</status>
      <modifiedWord/>
      <trackRevisions>false</trackRevisions>
    </reviewItem>
    <reviewItem>
      <errorID>7259fb69-84b7-4bae-a45f-6195a7d04a74</errorID>
      <errorWord>、</errorWord>
      <group>L1_Punc</group>
      <groupName>标点问题</groupName>
      <ability>L2_Punc</ability>
      <abilityName>标点符号检查</abilityName>
      <candidateList>
        <item>.</item>
      </candidateList>
      <explain/>
      <paraID>161E6101</paraID>
      <start>1</start>
      <end>2</end>
      <status>unmodified</status>
      <modifiedWord/>
      <trackRevisions>false</trackRevisions>
    </reviewItem>
    <reviewItem>
      <errorID>447a751c-f539-42b4-b91d-e9f7012ab74f</errorID>
      <errorWord>-</errorWord>
      <group>L1_Format</group>
      <groupName>格式问题</groupName>
      <ability>L2_HalfPunc</ability>
      <abilityName>全半角检查</abilityName>
      <candidateList>
        <item>－</item>
      </candidateList>
      <explain>文本全半角错误。</explain>
      <paraID>3B494E3B</paraID>
      <start>113</start>
      <end>114</end>
      <status>unmodified</status>
      <modifiedWord/>
      <trackRevisions>false</trackRevisions>
    </reviewItem>
    <reviewItem>
      <errorID>e798259f-4b5d-4cc0-9933-dc92dd3f91fd</errorID>
      <errorWord>-</errorWord>
      <group>L1_Format</group>
      <groupName>格式问题</groupName>
      <ability>L2_HalfPunc</ability>
      <abilityName>全半角检查</abilityName>
      <candidateList>
        <item>－</item>
      </candidateList>
      <explain>文本全半角错误。</explain>
      <paraID>3B494E3B</paraID>
      <start>116</start>
      <end>117</end>
      <status>unmodified</status>
      <modifiedWord/>
      <trackRevisions>false</trackRevisions>
    </reviewItem>
    <reviewItem>
      <errorID>c83ccb14-d781-41b5-a1b3-874afce7bda2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76F50CB</paraID>
      <start>75</start>
      <end>76</end>
      <status>unmodified</status>
      <modifiedWord/>
      <trackRevisions>false</trackRevisions>
    </reviewItem>
    <reviewItem>
      <errorID>ff13c133-0404-45ac-ba6b-fdee3ee982bf</errorID>
      <errorWord>（</errorWord>
      <group>L1_Format</group>
      <groupName>格式问题</groupName>
      <ability>L2_HalfPunc</ability>
      <abilityName>全半角检查</abilityName>
      <candidateList>
        <item>(</item>
      </candidateList>
      <explain>文本全半角错误。</explain>
      <paraID>6968606A</paraID>
      <start>3</start>
      <end>4</end>
      <status>unmodified</status>
      <modifiedWord/>
      <trackRevisions>false</trackRevisions>
    </reviewItem>
    <reviewItem>
      <errorID>127a6883-c811-439c-bb06-e39881e4109f</errorID>
      <errorWord>）</errorWord>
      <group>L1_Format</group>
      <groupName>格式问题</groupName>
      <ability>L2_HalfPunc</ability>
      <abilityName>全半角检查</abilityName>
      <candidateList>
        <item>)</item>
      </candidateList>
      <explain>文本全半角错误。</explain>
      <paraID>6968606A</paraID>
      <start>5</start>
      <end>6</end>
      <status>unmodified</status>
      <modifiedWord/>
      <trackRevisions>false</trackRevisions>
    </reviewItem>
    <reviewItem>
      <errorID>655b3f17-2892-4e3b-ae71-6b7e626ebef9</errorID>
      <errorWord>最</errorWord>
      <group>L1_Word</group>
      <groupName>字词问题</groupName>
      <ability>L2_Typo</ability>
      <abilityName>字词错误</abilityName>
      <candidateList>
        <item>受</item>
      </candidateList>
      <explain>〈动〉❶接受：～贿｜～教育｜～到帮助。❷遭受：～灾｜～批评｜～委屈。❸忍受；禁受：～不了｜～得住。❹适合：～吃（吃着有味）｜～看（看着舒服）｜～听（听着入耳）。</explain>
      <paraID>200843F4</paraID>
      <start>175</start>
      <end>176</end>
      <status>unmodified</status>
      <modifiedWord/>
      <trackRevisions>false</trackRevisions>
    </reviewItem>
    <reviewItem>
      <errorID>6417fc08-deb9-4565-90e5-fc844fb172c6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4A50347E</paraID>
      <start>0</start>
      <end>2</end>
      <status>unmodified</status>
      <modifiedWord/>
      <trackRevisions>false</trackRevisions>
    </reviewItem>
    <reviewItem>
      <errorID>7466bb20-ddd5-4a12-898c-b8cdbefb1bb4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509F1EFD</paraID>
      <start>0</start>
      <end>2</end>
      <status>unmodified</status>
      <modifiedWord/>
      <trackRevisions>false</trackRevisions>
    </reviewItem>
    <reviewItem>
      <errorID>1dfb7794-a2c9-4a5a-8228-ddd3d2c9cfc8</errorID>
      <errorWord>中</errorWord>
      <group>L1_Word</group>
      <groupName>字词问题</groupName>
      <ability>L2_Typo</ability>
      <abilityName>字词错误</abilityName>
      <candidateList>
        <item>中第</item>
      </candidateList>
      <explain/>
      <paraID>382CF16C</paraID>
      <start>42</start>
      <end>43</end>
      <status>unmodified</status>
      <modifiedWord/>
      <trackRevisions>false</trackRevisions>
    </reviewItem>
    <reviewItem>
      <errorID>c5e2eb89-a91d-4caa-a2d1-72602b14bdf7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48B14B98</paraID>
      <start>0</start>
      <end>2</end>
      <status>unmodified</status>
      <modifiedWord/>
      <trackRevisions>false</trackRevisions>
    </reviewItem>
    <reviewItem>
      <errorID>c4b708b1-4f54-448f-9316-8f77e1c63774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74A98365</paraID>
      <start>0</start>
      <end>2</end>
      <status>unmodified</status>
      <modifiedWord/>
      <trackRevisions>false</trackRevisions>
    </reviewItem>
    <reviewItem>
      <errorID>90101fe3-22f3-4108-a322-c33e29588047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26229D6C</paraID>
      <start>0</start>
      <end>2</end>
      <status>unmodified</status>
      <modifiedWord/>
      <trackRevisions>false</trackRevisions>
    </reviewItem>
    <reviewItem>
      <errorID>1da1bede-6cca-4536-a88b-c84339a9ebae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18FE0916</paraID>
      <start>0</start>
      <end>2</end>
      <status>unmodified</status>
      <modifiedWord/>
      <trackRevisions>false</trackRevisions>
    </reviewItem>
    <reviewItem>
      <errorID>598495a9-af5e-43a3-847c-27c8f8d1b073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64AF4417</paraID>
      <start>0</start>
      <end>2</end>
      <status>unmodified</status>
      <modifiedWord/>
      <trackRevisions>false</trackRevisions>
    </reviewItem>
    <reviewItem>
      <errorID>f61c02fd-b9a4-4d95-b651-a8733cc9e3ec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32D421EA</paraID>
      <start>0</start>
      <end>2</end>
      <status>unmodified</status>
      <modifiedWord/>
      <trackRevisions>false</trackRevisions>
    </reviewItem>
    <reviewItem>
      <errorID>6266eca5-1e04-426b-9481-b0983624a7c1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F25D5A4</paraID>
      <start>0</start>
      <end>2</end>
      <status>unmodified</status>
      <modifiedWord/>
      <trackRevisions>false</trackRevisions>
    </reviewItem>
    <reviewItem>
      <errorID>0fc01745-e381-48a3-83d5-7fbcf2f19698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3981C0EE</paraID>
      <start>0</start>
      <end>2</end>
      <status>unmodified</status>
      <modifiedWord/>
      <trackRevisions>false</trackRevisions>
    </reviewItem>
    <reviewItem>
      <errorID>c2bcf376-92f6-42bb-aa3e-7a61cbaa1413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41D347D2</paraID>
      <start>0</start>
      <end>2</end>
      <status>unmodified</status>
      <modifiedWord/>
      <trackRevisions>false</trackRevisions>
    </reviewItem>
    <reviewItem>
      <errorID>37f1ecbb-c216-4126-875b-97558ddc0faa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61772991</paraID>
      <start>0</start>
      <end>2</end>
      <status>unmodified</status>
      <modifiedWord/>
      <trackRevisions>false</trackRevisions>
    </reviewItem>
    <reviewItem>
      <errorID>cdad7930-2745-4db1-828b-335990e7f109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33827731</paraID>
      <start>0</start>
      <end>3</end>
      <status>unmodified</status>
      <modifiedWord/>
      <trackRevisions>false</trackRevisions>
    </reviewItem>
    <reviewItem>
      <errorID>40f92aa0-e957-4a42-b0b0-6b8468189701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7A42C7AA</paraID>
      <start>0</start>
      <end>2</end>
      <status>unmodified</status>
      <modifiedWord/>
      <trackRevisions>false</trackRevisions>
    </reviewItem>
    <reviewItem>
      <errorID>20319f8f-ab81-47ba-8ac3-e8886024ab6b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6EF2BD51</paraID>
      <start>0</start>
      <end>2</end>
      <status>unmodified</status>
      <modifiedWord/>
      <trackRevisions>false</trackRevisions>
    </reviewItem>
    <reviewItem>
      <errorID>b7191056-4215-4ff9-b817-3e9a860bb7d9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7155B04D</paraID>
      <start>0</start>
      <end>2</end>
      <status>unmodified</status>
      <modifiedWord/>
      <trackRevisions>false</trackRevisions>
    </reviewItem>
    <reviewItem>
      <errorID>3d24c188-b828-47ae-af27-70601e5e6c02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7F597F1E</paraID>
      <start>0</start>
      <end>2</end>
      <status>unmodified</status>
      <modifiedWord/>
      <trackRevisions>false</trackRevisions>
    </reviewItem>
    <reviewItem>
      <errorID>2513db36-cefe-4de8-b625-3d76e1f7c305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4F21CDD4</paraID>
      <start>24</start>
      <end>25</end>
      <status>unmodified</status>
      <modifiedWord/>
      <trackRevisions>false</trackRevisions>
    </reviewItem>
    <reviewItem>
      <errorID>63576a3e-aa78-4f39-a3f5-d4c9550b87a6</errorID>
      <errorWord>有</errorWord>
      <group>L1_Word</group>
      <groupName>字词问题</groupName>
      <ability>L2_Typo</ability>
      <abilityName>字词错误</abilityName>
      <candidateList>
        <item>由</item>
      </candidateList>
      <explain>存在发音相同字词的误用。</explain>
      <paraID>707FE19A</paraID>
      <start>71</start>
      <end>72</end>
      <status>modified</status>
      <modifiedWord>由</modifiedWord>
      <trackRevisions>false</trackRevisions>
    </reviewItem>
    <reviewItem>
      <errorID>47aad20e-df53-47cf-b004-e9eec3f9d3f6</errorID>
      <errorWord>IV</errorWord>
      <group>L1_Knowledge</group>
      <groupName>知识性问题</groupName>
      <ability>L2_Knowledge</ability>
      <abilityName>其他知识</abilityName>
      <candidateList>
        <item>Ⅳ</item>
      </candidateList>
      <explain/>
      <paraID>5778866F</paraID>
      <start>2</start>
      <end>4</end>
      <status>unmodified</status>
      <modifiedWord/>
      <trackRevisions>false</trackRevisions>
    </reviewItem>
    <reviewItem>
      <errorID>10f46beb-790c-4216-b22c-0313aef8f2e4</errorID>
      <errorWord>*</errorWord>
      <group>L1_Punc</group>
      <groupName>标点问题</groupName>
      <ability>L2_Punc</ability>
      <abilityName>标点符号检查</abilityName>
      <candidateList/>
      <explain/>
      <paraID>2498D5D7</paraID>
      <start>0</start>
      <end>1</end>
      <status>unmodified</status>
      <modifiedWord/>
      <trackRevisions>false</trackRevisions>
    </reviewItem>
    <reviewItem>
      <errorID>98002a42-afee-47c6-a5a6-0a7747bbdde6</errorID>
      <errorWord>瞬时</errorWord>
      <group>L1_Word</group>
      <groupName>字词问题</groupName>
      <ability>L2_Typo</ability>
      <abilityName>字词错误</abilityName>
      <candidateList>
        <item>时</item>
      </candidateList>
      <explain>（時）shí❶〈名〉指比较长的一段时间：古～｜宋～｜盛极一～。❷〈名〉规定的时候：按～｜准～｜八点出发，过～不候。❸季节：四～｜农～｜应～。❹当前；现在：～下｜～新｜～事。❺时俗；时尚：入～｜合～。❻时辰：卯～｜辰～。❼〈量〉计时的单位，小时（点）：上午八～。❽时机：失～｜待～而动。❾〈副〉时常：～～｜～有出现。</explain>
      <paraID>755F546F</paraID>
      <start>121</start>
      <end>123</end>
      <status>unmodified</status>
      <modifiedWord/>
      <trackRevisions>false</trackRevisions>
    </reviewItem>
    <reviewItem>
      <errorID>fbfe5f31-878b-45ac-8d05-ff76d7fc5dce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2538BD5E</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5727c6-618a-4a82-a829-99210d2403f3}">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15797</Words>
  <Characters>16914</Characters>
  <Lines>272</Lines>
  <Paragraphs>76</Paragraphs>
  <TotalTime>101</TotalTime>
  <ScaleCrop>false</ScaleCrop>
  <LinksUpToDate>false</LinksUpToDate>
  <CharactersWithSpaces>17015</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2025-04-29T02:34:00Z</dcterms:created>
  <dc:creator>Administrator</dc:creator>
  <cp:lastModifiedBy>Administrator</cp:lastModifiedBy>
  <cp:lastPrinted>2025-06-16T04:18:00Z</cp:lastPrinted>
  <dcterms:modified xsi:type="dcterms:W3CDTF">2025-12-25T11:18:22Z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KSOTemplateDocerSaveRecord">
    <vt:lpwstr>eyJoZGlkIjoiNTE1NjFjYjQ1NzVlMzdmMzViZDJiMDNiMzdjNmJjYTAiLCJ1c2VySWQiOiIxMDA5MjQyMjI4In0=</vt:lpwstr>
  </property>
  <property fmtid="{D5CDD505-2E9C-101B-9397-08002B2CF9AE}" pid="4" name="ICV">
    <vt:lpwstr>236AD37E1CC941B5BF175642545D35BB_13</vt:lpwstr>
  </property>
</Properties>
</file>