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hint="default" w:ascii="Times New Roman" w:hAnsi="Times New Roman" w:eastAsia="仿宋_GB2312" w:cs="Times New Roman"/>
          <w:color w:val="auto"/>
          <w:sz w:val="36"/>
          <w:szCs w:val="36"/>
          <w:highlight w:val="none"/>
        </w:rPr>
      </w:pPr>
    </w:p>
    <w:p>
      <w:pPr>
        <w:spacing w:line="240" w:lineRule="auto"/>
        <w:ind w:firstLine="0" w:firstLineChars="0"/>
        <w:rPr>
          <w:rFonts w:hint="default" w:ascii="Times New Roman" w:hAnsi="Times New Roman" w:eastAsia="仿宋_GB2312" w:cs="Times New Roman"/>
          <w:color w:val="auto"/>
          <w:sz w:val="36"/>
          <w:szCs w:val="36"/>
          <w:highlight w:val="none"/>
        </w:rPr>
      </w:pPr>
    </w:p>
    <w:p>
      <w:pPr>
        <w:spacing w:line="240" w:lineRule="auto"/>
        <w:ind w:firstLine="0" w:firstLineChars="0"/>
        <w:rPr>
          <w:rFonts w:hint="default" w:ascii="Times New Roman" w:hAnsi="Times New Roman" w:eastAsia="仿宋_GB2312" w:cs="Times New Roman"/>
          <w:color w:val="auto"/>
          <w:sz w:val="36"/>
          <w:szCs w:val="36"/>
          <w:highlight w:val="none"/>
        </w:rPr>
      </w:pPr>
    </w:p>
    <w:p>
      <w:pPr>
        <w:adjustRightInd w:val="0"/>
        <w:snapToGrid w:val="0"/>
        <w:spacing w:line="240" w:lineRule="auto"/>
        <w:ind w:firstLine="0" w:firstLineChars="0"/>
        <w:jc w:val="center"/>
        <w:outlineLvl w:val="0"/>
        <w:rPr>
          <w:rFonts w:hint="default" w:ascii="Times New Roman" w:hAnsi="Times New Roman" w:eastAsia="方正小标宋_GBK" w:cs="Times New Roman"/>
          <w:bCs/>
          <w:color w:val="auto"/>
          <w:sz w:val="72"/>
          <w:szCs w:val="72"/>
          <w:highlight w:val="none"/>
        </w:rPr>
      </w:pPr>
    </w:p>
    <w:p>
      <w:pPr>
        <w:adjustRightInd w:val="0"/>
        <w:snapToGrid w:val="0"/>
        <w:spacing w:line="240" w:lineRule="auto"/>
        <w:ind w:firstLine="0" w:firstLineChars="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20" w:beforeLines="50" w:line="240" w:lineRule="auto"/>
        <w:ind w:firstLine="0" w:firstLineChars="0"/>
        <w:jc w:val="center"/>
        <w:rPr>
          <w:rFonts w:hint="default" w:ascii="Times New Roman" w:hAnsi="Times New Roman" w:eastAsia="楷体_GB2312" w:cs="Times New Roman"/>
          <w:b/>
          <w:color w:val="auto"/>
          <w:sz w:val="48"/>
          <w:szCs w:val="48"/>
          <w:highlight w:val="none"/>
        </w:rPr>
      </w:pPr>
      <w:r>
        <w:rPr>
          <w:rFonts w:hint="default" w:ascii="Times New Roman" w:hAnsi="Times New Roman" w:eastAsia="楷体_GB2312" w:cs="Times New Roman"/>
          <w:b/>
          <w:color w:val="auto"/>
          <w:sz w:val="48"/>
          <w:szCs w:val="48"/>
          <w:highlight w:val="none"/>
        </w:rPr>
        <w:t>（污染影响类）</w:t>
      </w:r>
    </w:p>
    <w:p>
      <w:pPr>
        <w:spacing w:line="240" w:lineRule="auto"/>
        <w:ind w:firstLine="0" w:firstLineChars="0"/>
        <w:rPr>
          <w:rFonts w:hint="default" w:ascii="Times New Roman" w:hAnsi="Times New Roman" w:eastAsia="仿宋" w:cs="Times New Roman"/>
          <w:color w:val="auto"/>
          <w:sz w:val="52"/>
          <w:szCs w:val="52"/>
          <w:highlight w:val="none"/>
        </w:rPr>
      </w:pPr>
      <w:r>
        <w:rPr>
          <w:color w:val="auto"/>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-2482215</wp:posOffset>
            </wp:positionV>
            <wp:extent cx="5926455" cy="8576310"/>
            <wp:effectExtent l="0" t="0" r="17145" b="152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26455" cy="8576310"/>
                    </a:xfrm>
                    <a:prstGeom prst="rect">
                      <a:avLst/>
                    </a:prstGeom>
                    <a:noFill/>
                    <a:ln>
                      <a:noFill/>
                    </a:ln>
                  </pic:spPr>
                </pic:pic>
              </a:graphicData>
            </a:graphic>
          </wp:anchor>
        </w:drawing>
      </w:r>
    </w:p>
    <w:p>
      <w:pPr>
        <w:spacing w:line="240" w:lineRule="auto"/>
        <w:ind w:firstLine="0" w:firstLineChars="0"/>
        <w:rPr>
          <w:rFonts w:hint="default" w:ascii="Times New Roman" w:hAnsi="Times New Roman" w:eastAsia="仿宋" w:cs="Times New Roman"/>
          <w:color w:val="auto"/>
          <w:sz w:val="44"/>
          <w:szCs w:val="44"/>
          <w:highlight w:val="none"/>
        </w:rPr>
      </w:pPr>
    </w:p>
    <w:p>
      <w:pPr>
        <w:pStyle w:val="27"/>
        <w:rPr>
          <w:rFonts w:hint="default" w:ascii="Times New Roman" w:hAnsi="Times New Roman" w:cs="Times New Roman"/>
          <w:color w:val="auto"/>
          <w:highlight w:val="none"/>
        </w:rPr>
      </w:pPr>
    </w:p>
    <w:p>
      <w:pPr>
        <w:spacing w:line="240" w:lineRule="auto"/>
        <w:ind w:firstLine="0" w:firstLineChars="0"/>
        <w:rPr>
          <w:rFonts w:hint="default" w:ascii="Times New Roman" w:hAnsi="Times New Roman" w:eastAsia="仿宋" w:cs="Times New Roman"/>
          <w:color w:val="auto"/>
          <w:sz w:val="44"/>
          <w:szCs w:val="44"/>
          <w:highlight w:val="none"/>
        </w:rPr>
      </w:pPr>
    </w:p>
    <w:p>
      <w:pPr>
        <w:spacing w:line="240" w:lineRule="auto"/>
        <w:ind w:firstLine="0" w:firstLineChars="0"/>
        <w:rPr>
          <w:rFonts w:hint="default" w:ascii="Times New Roman" w:hAnsi="Times New Roman" w:eastAsia="仿宋" w:cs="Times New Roman"/>
          <w:color w:val="auto"/>
          <w:sz w:val="44"/>
          <w:szCs w:val="44"/>
          <w:highlight w:val="none"/>
        </w:rPr>
      </w:pPr>
    </w:p>
    <w:p>
      <w:pPr>
        <w:spacing w:line="240" w:lineRule="auto"/>
        <w:ind w:firstLine="0" w:firstLineChars="0"/>
        <w:rPr>
          <w:rFonts w:hint="default" w:ascii="Times New Roman" w:hAnsi="Times New Roman" w:eastAsia="仿宋" w:cs="Times New Roman"/>
          <w:color w:val="auto"/>
          <w:sz w:val="44"/>
          <w:szCs w:val="44"/>
          <w:highlight w:val="none"/>
        </w:rPr>
      </w:pPr>
    </w:p>
    <w:p>
      <w:pPr>
        <w:spacing w:line="240" w:lineRule="auto"/>
        <w:ind w:firstLine="0" w:firstLineChars="0"/>
        <w:rPr>
          <w:rFonts w:hint="default" w:ascii="Times New Roman" w:hAnsi="Times New Roman" w:eastAsia="仿宋" w:cs="Times New Roman"/>
          <w:color w:val="auto"/>
          <w:sz w:val="44"/>
          <w:szCs w:val="44"/>
          <w:highlight w:val="none"/>
        </w:rPr>
      </w:pPr>
    </w:p>
    <w:p>
      <w:pPr>
        <w:adjustRightInd w:val="0"/>
        <w:snapToGrid w:val="0"/>
        <w:spacing w:line="288" w:lineRule="auto"/>
        <w:ind w:left="2160" w:leftChars="150" w:hanging="1800" w:hangingChars="500"/>
        <w:rPr>
          <w:rFonts w:hint="default" w:ascii="Times New Roman" w:hAnsi="Times New Roman" w:eastAsia="仿宋" w:cs="Times New Roman"/>
          <w:color w:val="auto"/>
          <w:sz w:val="36"/>
          <w:szCs w:val="36"/>
          <w:highlight w:val="none"/>
        </w:rPr>
      </w:pPr>
    </w:p>
    <w:p>
      <w:pPr>
        <w:adjustRightInd w:val="0"/>
        <w:snapToGrid w:val="0"/>
        <w:spacing w:line="288" w:lineRule="auto"/>
        <w:ind w:left="2160" w:leftChars="150" w:hanging="1800" w:hangingChars="500"/>
        <w:rPr>
          <w:rFonts w:hint="default" w:ascii="Times New Roman" w:hAnsi="Times New Roman" w:eastAsia="仿宋" w:cs="Times New Roman"/>
          <w:color w:val="auto"/>
          <w:sz w:val="36"/>
          <w:szCs w:val="36"/>
          <w:highlight w:val="none"/>
        </w:rPr>
      </w:pPr>
    </w:p>
    <w:p>
      <w:pPr>
        <w:adjustRightInd w:val="0"/>
        <w:snapToGrid w:val="0"/>
        <w:spacing w:line="288" w:lineRule="auto"/>
        <w:ind w:left="2160" w:leftChars="150" w:hanging="1800" w:hangingChars="500"/>
        <w:rPr>
          <w:rFonts w:hint="default" w:ascii="Times New Roman" w:hAnsi="Times New Roman" w:eastAsia="仿宋" w:cs="Times New Roman"/>
          <w:color w:val="auto"/>
          <w:sz w:val="36"/>
          <w:szCs w:val="36"/>
          <w:highlight w:val="none"/>
        </w:rPr>
      </w:pPr>
    </w:p>
    <w:p>
      <w:pPr>
        <w:adjustRightInd w:val="0"/>
        <w:snapToGrid w:val="0"/>
        <w:spacing w:line="288" w:lineRule="auto"/>
        <w:ind w:left="2160" w:leftChars="150" w:hanging="1800" w:hangingChars="500"/>
        <w:rPr>
          <w:rFonts w:hint="default" w:ascii="Times New Roman" w:hAnsi="Times New Roman" w:eastAsia="仿宋" w:cs="Times New Roman"/>
          <w:color w:val="auto"/>
          <w:sz w:val="36"/>
          <w:szCs w:val="36"/>
          <w:highlight w:val="none"/>
          <w:u w:val="single"/>
        </w:rPr>
      </w:pPr>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rPr>
        <w:t xml:space="preserve">新疆森峰达智能装备有限公司新建年产预制舱1000套项目              </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p>
    <w:p>
      <w:pPr>
        <w:adjustRightInd w:val="0"/>
        <w:snapToGrid w:val="0"/>
        <w:spacing w:line="288" w:lineRule="auto"/>
        <w:ind w:left="3330" w:leftChars="150" w:hanging="2970" w:hangingChars="900"/>
        <w:jc w:val="left"/>
        <w:rPr>
          <w:rFonts w:hint="default" w:ascii="Times New Roman" w:hAnsi="Times New Roman" w:eastAsia="仿宋" w:cs="Times New Roman"/>
          <w:color w:val="auto"/>
          <w:spacing w:val="-15"/>
          <w:sz w:val="36"/>
          <w:szCs w:val="36"/>
          <w:highlight w:val="none"/>
          <w:u w:val="single"/>
          <w:lang w:val="en-US" w:eastAsia="zh-CN"/>
        </w:rPr>
      </w:pPr>
      <w:r>
        <w:rPr>
          <w:rFonts w:hint="default" w:ascii="Times New Roman" w:hAnsi="Times New Roman" w:eastAsia="仿宋" w:cs="Times New Roman"/>
          <w:color w:val="auto"/>
          <w:spacing w:val="-15"/>
          <w:sz w:val="36"/>
          <w:szCs w:val="36"/>
          <w:highlight w:val="none"/>
        </w:rPr>
        <w:t>建设单位（盖章）：</w:t>
      </w:r>
      <w:r>
        <w:rPr>
          <w:rFonts w:hint="default" w:ascii="Times New Roman" w:hAnsi="Times New Roman" w:eastAsia="仿宋" w:cs="Times New Roman"/>
          <w:color w:val="auto"/>
          <w:sz w:val="36"/>
          <w:szCs w:val="36"/>
          <w:highlight w:val="none"/>
          <w:u w:val="single"/>
        </w:rPr>
        <w:t>新疆森峰达智能装备有限公司</w:t>
      </w:r>
      <w:r>
        <w:rPr>
          <w:rFonts w:hint="default" w:ascii="Times New Roman" w:hAnsi="Times New Roman" w:eastAsia="仿宋" w:cs="Times New Roman"/>
          <w:color w:val="auto"/>
          <w:sz w:val="36"/>
          <w:szCs w:val="36"/>
          <w:highlight w:val="none"/>
          <w:u w:val="single"/>
          <w:lang w:val="en-US" w:eastAsia="zh-CN"/>
        </w:rPr>
        <w:t xml:space="preserve">                             </w:t>
      </w:r>
    </w:p>
    <w:p>
      <w:pPr>
        <w:spacing w:line="240" w:lineRule="auto"/>
        <w:ind w:firstLine="360" w:firstLineChars="100"/>
        <w:rPr>
          <w:rFonts w:hint="default"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rPr>
        <w:t xml:space="preserve">        二〇</w:t>
      </w:r>
      <w:r>
        <w:rPr>
          <w:rFonts w:hint="default" w:ascii="Times New Roman" w:hAnsi="Times New Roman" w:eastAsia="仿宋" w:cs="Times New Roman"/>
          <w:color w:val="auto"/>
          <w:sz w:val="36"/>
          <w:szCs w:val="36"/>
          <w:highlight w:val="none"/>
          <w:u w:val="single"/>
          <w:lang w:val="en-US" w:eastAsia="zh-CN"/>
        </w:rPr>
        <w:t>二六</w:t>
      </w:r>
      <w:r>
        <w:rPr>
          <w:rFonts w:hint="default" w:ascii="Times New Roman" w:hAnsi="Times New Roman" w:eastAsia="仿宋" w:cs="Times New Roman"/>
          <w:color w:val="auto"/>
          <w:sz w:val="36"/>
          <w:szCs w:val="36"/>
          <w:highlight w:val="none"/>
          <w:u w:val="single"/>
        </w:rPr>
        <w:t>年</w:t>
      </w:r>
      <w:r>
        <w:rPr>
          <w:rFonts w:hint="default" w:ascii="Times New Roman" w:hAnsi="Times New Roman" w:eastAsia="仿宋" w:cs="Times New Roman"/>
          <w:color w:val="auto"/>
          <w:sz w:val="36"/>
          <w:szCs w:val="36"/>
          <w:highlight w:val="none"/>
          <w:u w:val="single"/>
          <w:lang w:val="en-US" w:eastAsia="zh-CN"/>
        </w:rPr>
        <w:t>一</w:t>
      </w:r>
      <w:r>
        <w:rPr>
          <w:rFonts w:hint="default" w:ascii="Times New Roman" w:hAnsi="Times New Roman" w:eastAsia="仿宋" w:cs="Times New Roman"/>
          <w:color w:val="auto"/>
          <w:sz w:val="36"/>
          <w:szCs w:val="36"/>
          <w:highlight w:val="none"/>
          <w:u w:val="single"/>
        </w:rPr>
        <w:t xml:space="preserve">月  </w:t>
      </w:r>
      <w:r>
        <w:rPr>
          <w:rFonts w:hint="default" w:ascii="Times New Roman" w:hAnsi="Times New Roman" w:eastAsia="仿宋_GB2312" w:cs="Times New Roman"/>
          <w:color w:val="auto"/>
          <w:sz w:val="36"/>
          <w:szCs w:val="36"/>
          <w:highlight w:val="none"/>
          <w:u w:val="single"/>
        </w:rPr>
        <w:t xml:space="preserve">              </w:t>
      </w:r>
    </w:p>
    <w:p>
      <w:pPr>
        <w:spacing w:line="240" w:lineRule="auto"/>
        <w:ind w:firstLine="0" w:firstLineChars="0"/>
        <w:rPr>
          <w:rFonts w:hint="default" w:ascii="Times New Roman" w:hAnsi="Times New Roman" w:eastAsia="仿宋" w:cs="Times New Roman"/>
          <w:color w:val="auto"/>
          <w:sz w:val="44"/>
          <w:szCs w:val="44"/>
          <w:highlight w:val="none"/>
        </w:rPr>
      </w:pPr>
    </w:p>
    <w:p>
      <w:pPr>
        <w:adjustRightInd w:val="0"/>
        <w:snapToGrid w:val="0"/>
        <w:spacing w:line="240" w:lineRule="auto"/>
        <w:ind w:firstLine="0" w:firstLineChars="0"/>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ind w:left="0" w:leftChars="0" w:firstLine="0" w:firstLineChars="0"/>
        <w:rPr>
          <w:rFonts w:hint="default" w:ascii="Times New Roman" w:hAnsi="Times New Roman" w:cs="Times New Roman" w:eastAsiaTheme="minorEastAsia"/>
          <w:color w:val="auto"/>
          <w:highlight w:val="none"/>
        </w:rPr>
      </w:pPr>
    </w:p>
    <w:p>
      <w:pPr>
        <w:pStyle w:val="27"/>
        <w:rPr>
          <w:rFonts w:hint="default"/>
          <w:color w:val="auto"/>
          <w:highlight w:val="none"/>
        </w:rPr>
        <w:sectPr>
          <w:headerReference r:id="rId5" w:type="default"/>
          <w:footerReference r:id="rId6" w:type="default"/>
          <w:pgSz w:w="11906" w:h="16838"/>
          <w:pgMar w:top="1701" w:right="1531" w:bottom="1701" w:left="1531" w:header="851" w:footer="1077" w:gutter="0"/>
          <w:pgNumType w:start="1"/>
          <w:cols w:space="720" w:num="1"/>
          <w:docGrid w:linePitch="312" w:charSpace="0"/>
        </w:sectPr>
      </w:pPr>
    </w:p>
    <w:p>
      <w:pPr>
        <w:pStyle w:val="27"/>
        <w:rPr>
          <w:rFonts w:hint="default"/>
          <w:color w:val="auto"/>
          <w:highlight w:val="none"/>
        </w:rPr>
        <w:sectPr>
          <w:pgSz w:w="11906" w:h="16838"/>
          <w:pgMar w:top="1701" w:right="1531" w:bottom="1701" w:left="1531" w:header="851" w:footer="1077" w:gutter="0"/>
          <w:pgNumType w:start="1"/>
          <w:cols w:space="720" w:num="1"/>
          <w:docGrid w:linePitch="312" w:charSpace="0"/>
        </w:sectPr>
      </w:pPr>
      <w:r>
        <w:rPr>
          <w:color w:val="auto"/>
          <w:highlight w:val="none"/>
        </w:rPr>
        <w:drawing>
          <wp:inline distT="0" distB="0" distL="114300" distR="114300">
            <wp:extent cx="5885815" cy="7419975"/>
            <wp:effectExtent l="0" t="0" r="63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885815" cy="7419975"/>
                    </a:xfrm>
                    <a:prstGeom prst="rect">
                      <a:avLst/>
                    </a:prstGeom>
                    <a:noFill/>
                    <a:ln>
                      <a:noFill/>
                    </a:ln>
                  </pic:spPr>
                </pic:pic>
              </a:graphicData>
            </a:graphic>
          </wp:inline>
        </w:drawing>
      </w:r>
    </w:p>
    <w:p>
      <w:pPr>
        <w:rPr>
          <w:rFonts w:hint="default"/>
          <w:color w:val="auto"/>
          <w:highlight w:val="none"/>
        </w:rPr>
      </w:pPr>
    </w:p>
    <w:tbl>
      <w:tblPr>
        <w:tblStyle w:val="21"/>
        <w:tblW w:w="90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0" w:type="dxa"/>
            <w:tcBorders>
              <w:tl2br w:val="nil"/>
              <w:tr2bl w:val="nil"/>
            </w:tcBorders>
            <w:noWrap w:val="0"/>
            <w:vAlign w:val="center"/>
          </w:tcPr>
          <w:p>
            <w:pPr>
              <w:pStyle w:val="17"/>
              <w:snapToGrid w:val="0"/>
              <w:ind w:left="0" w:leftChars="0" w:firstLine="0" w:firstLineChars="0"/>
              <w:jc w:val="both"/>
              <w:outlineLvl w:val="0"/>
              <w:rPr>
                <w:rFonts w:hint="default" w:ascii="Times New Roman" w:hAnsi="Times New Roman" w:eastAsia="宋体" w:cs="Times New Roman"/>
                <w:b/>
                <w:color w:val="auto"/>
                <w:szCs w:val="24"/>
                <w:highlight w:val="none"/>
                <w:lang w:eastAsia="zh-CN"/>
              </w:rPr>
            </w:pPr>
            <w:r>
              <w:rPr>
                <w:rFonts w:hint="default" w:ascii="Times New Roman" w:hAnsi="Times New Roman" w:eastAsia="黑体" w:cs="Times New Roman"/>
                <w:snapToGrid w:val="0"/>
                <w:color w:val="auto"/>
                <w:sz w:val="30"/>
                <w:szCs w:val="30"/>
                <w:highlight w:val="none"/>
              </w:rPr>
              <w:drawing>
                <wp:inline distT="0" distB="0" distL="114300" distR="114300">
                  <wp:extent cx="2729865" cy="2046605"/>
                  <wp:effectExtent l="0" t="0" r="13335" b="10795"/>
                  <wp:docPr id="12" name="图片 12" descr="40f8120222ee97c4049918d3f8e04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0f8120222ee97c4049918d3f8e04a64"/>
                          <pic:cNvPicPr>
                            <a:picLocks noChangeAspect="1"/>
                          </pic:cNvPicPr>
                        </pic:nvPicPr>
                        <pic:blipFill>
                          <a:blip r:embed="rId11"/>
                          <a:stretch>
                            <a:fillRect/>
                          </a:stretch>
                        </pic:blipFill>
                        <pic:spPr>
                          <a:xfrm>
                            <a:off x="0" y="0"/>
                            <a:ext cx="2729865" cy="2046605"/>
                          </a:xfrm>
                          <a:prstGeom prst="rect">
                            <a:avLst/>
                          </a:prstGeom>
                        </pic:spPr>
                      </pic:pic>
                    </a:graphicData>
                  </a:graphic>
                </wp:inline>
              </w:drawing>
            </w:r>
            <w:r>
              <w:rPr>
                <w:rFonts w:hint="default" w:ascii="Times New Roman" w:hAnsi="Times New Roman" w:eastAsia="黑体" w:cs="Times New Roman"/>
                <w:snapToGrid w:val="0"/>
                <w:color w:val="auto"/>
                <w:sz w:val="30"/>
                <w:szCs w:val="30"/>
                <w:highlight w:val="none"/>
              </w:rPr>
              <w:br w:type="page"/>
            </w:r>
          </w:p>
        </w:tc>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baseline"/>
              <w:rPr>
                <w:rFonts w:hint="default" w:ascii="Times New Roman" w:hAnsi="Times New Roman" w:eastAsia="宋体" w:cs="Times New Roman"/>
                <w:b/>
                <w:color w:val="auto"/>
                <w:szCs w:val="24"/>
                <w:highlight w:val="none"/>
                <w:lang w:eastAsia="zh-CN"/>
              </w:rPr>
            </w:pPr>
            <w:r>
              <w:rPr>
                <w:rFonts w:hint="default" w:ascii="Times New Roman" w:hAnsi="Times New Roman" w:eastAsia="宋体" w:cs="Times New Roman"/>
                <w:b/>
                <w:color w:val="auto"/>
                <w:szCs w:val="24"/>
                <w:highlight w:val="none"/>
                <w:lang w:eastAsia="zh-CN"/>
              </w:rPr>
              <w:drawing>
                <wp:inline distT="0" distB="0" distL="114300" distR="114300">
                  <wp:extent cx="2729865" cy="2046605"/>
                  <wp:effectExtent l="0" t="0" r="13335" b="10795"/>
                  <wp:docPr id="4" name="图片 4" descr="3ebddd8d70f38d5e7d9a8d75e2f39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ebddd8d70f38d5e7d9a8d75e2f39b10"/>
                          <pic:cNvPicPr>
                            <a:picLocks noChangeAspect="1"/>
                          </pic:cNvPicPr>
                        </pic:nvPicPr>
                        <pic:blipFill>
                          <a:blip r:embed="rId12"/>
                          <a:stretch>
                            <a:fillRect/>
                          </a:stretch>
                        </pic:blipFill>
                        <pic:spPr>
                          <a:xfrm>
                            <a:off x="0" y="0"/>
                            <a:ext cx="2729865" cy="20466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bCs/>
                <w:color w:val="auto"/>
                <w:sz w:val="28"/>
                <w:szCs w:val="28"/>
                <w:highlight w:val="none"/>
                <w:lang w:val="en-US" w:eastAsia="zh-CN"/>
              </w:rPr>
              <w:t>项目区东侧</w:t>
            </w:r>
          </w:p>
        </w:tc>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bCs/>
                <w:color w:val="auto"/>
                <w:sz w:val="28"/>
                <w:szCs w:val="28"/>
                <w:highlight w:val="none"/>
                <w:lang w:val="en-US" w:eastAsia="zh-CN"/>
              </w:rPr>
              <w:t>项目区南侧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eastAsia="zh-CN"/>
              </w:rPr>
            </w:pPr>
            <w:r>
              <w:rPr>
                <w:rFonts w:hint="default" w:ascii="Times New Roman" w:hAnsi="Times New Roman" w:eastAsia="宋体" w:cs="Times New Roman"/>
                <w:bCs/>
                <w:color w:val="auto"/>
                <w:sz w:val="28"/>
                <w:szCs w:val="28"/>
                <w:highlight w:val="none"/>
                <w:lang w:eastAsia="zh-CN"/>
              </w:rPr>
              <w:drawing>
                <wp:inline distT="0" distB="0" distL="114300" distR="114300">
                  <wp:extent cx="2729865" cy="2046605"/>
                  <wp:effectExtent l="0" t="0" r="13335" b="10795"/>
                  <wp:docPr id="13" name="图片 13" descr="bf6f847e94c29ecf2e91c9f431a5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f6f847e94c29ecf2e91c9f431a57d50"/>
                          <pic:cNvPicPr>
                            <a:picLocks noChangeAspect="1"/>
                          </pic:cNvPicPr>
                        </pic:nvPicPr>
                        <pic:blipFill>
                          <a:blip r:embed="rId13"/>
                          <a:stretch>
                            <a:fillRect/>
                          </a:stretch>
                        </pic:blipFill>
                        <pic:spPr>
                          <a:xfrm>
                            <a:off x="0" y="0"/>
                            <a:ext cx="2729865" cy="2046605"/>
                          </a:xfrm>
                          <a:prstGeom prst="rect">
                            <a:avLst/>
                          </a:prstGeom>
                        </pic:spPr>
                      </pic:pic>
                    </a:graphicData>
                  </a:graphic>
                </wp:inline>
              </w:drawing>
            </w:r>
          </w:p>
        </w:tc>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eastAsia="zh-CN"/>
              </w:rPr>
            </w:pPr>
            <w:r>
              <w:rPr>
                <w:rFonts w:hint="default" w:ascii="Times New Roman" w:hAnsi="Times New Roman" w:eastAsia="黑体" w:cs="Times New Roman"/>
                <w:snapToGrid w:val="0"/>
                <w:color w:val="auto"/>
                <w:sz w:val="30"/>
                <w:szCs w:val="30"/>
                <w:highlight w:val="none"/>
              </w:rPr>
              <w:drawing>
                <wp:inline distT="0" distB="0" distL="114300" distR="114300">
                  <wp:extent cx="2729865" cy="2046605"/>
                  <wp:effectExtent l="0" t="0" r="13335" b="10795"/>
                  <wp:docPr id="10" name="图片 10" descr="aa098f992d45d5276c552c0fa749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a098f992d45d5276c552c0fa749a3b0"/>
                          <pic:cNvPicPr>
                            <a:picLocks noChangeAspect="1"/>
                          </pic:cNvPicPr>
                        </pic:nvPicPr>
                        <pic:blipFill>
                          <a:blip r:embed="rId14"/>
                          <a:stretch>
                            <a:fillRect/>
                          </a:stretch>
                        </pic:blipFill>
                        <pic:spPr>
                          <a:xfrm>
                            <a:off x="0" y="0"/>
                            <a:ext cx="2729865" cy="20466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bCs/>
                <w:color w:val="auto"/>
                <w:sz w:val="28"/>
                <w:szCs w:val="28"/>
                <w:highlight w:val="none"/>
                <w:lang w:val="en-US" w:eastAsia="zh-CN"/>
              </w:rPr>
              <w:t>项目区西侧</w:t>
            </w:r>
          </w:p>
        </w:tc>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项目区</w:t>
            </w:r>
            <w:r>
              <w:rPr>
                <w:rFonts w:hint="default" w:ascii="Times New Roman" w:hAnsi="Times New Roman" w:cs="Times New Roman"/>
                <w:color w:val="auto"/>
                <w:sz w:val="28"/>
                <w:szCs w:val="28"/>
                <w:highlight w:val="none"/>
                <w:lang w:val="en-US" w:eastAsia="zh-CN"/>
              </w:rPr>
              <w:t>北</w:t>
            </w:r>
            <w:r>
              <w:rPr>
                <w:rFonts w:hint="default" w:ascii="Times New Roman" w:hAnsi="Times New Roman" w:eastAsia="宋体" w:cs="Times New Roman"/>
                <w:color w:val="auto"/>
                <w:sz w:val="28"/>
                <w:szCs w:val="28"/>
                <w:highlight w:val="none"/>
                <w:lang w:val="en-US" w:eastAsia="zh-CN"/>
              </w:rPr>
              <w:t>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baseline"/>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drawing>
                <wp:inline distT="0" distB="0" distL="114300" distR="114300">
                  <wp:extent cx="2729865" cy="2046605"/>
                  <wp:effectExtent l="0" t="0" r="13335" b="10795"/>
                  <wp:docPr id="8" name="图片 8" descr="4310242c9b0a3038f14edfa644b27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10242c9b0a3038f14edfa644b2787e"/>
                          <pic:cNvPicPr>
                            <a:picLocks noChangeAspect="1"/>
                          </pic:cNvPicPr>
                        </pic:nvPicPr>
                        <pic:blipFill>
                          <a:blip r:embed="rId15"/>
                          <a:stretch>
                            <a:fillRect/>
                          </a:stretch>
                        </pic:blipFill>
                        <pic:spPr>
                          <a:xfrm>
                            <a:off x="0" y="0"/>
                            <a:ext cx="2729865" cy="2046605"/>
                          </a:xfrm>
                          <a:prstGeom prst="rect">
                            <a:avLst/>
                          </a:prstGeom>
                        </pic:spPr>
                      </pic:pic>
                    </a:graphicData>
                  </a:graphic>
                </wp:inline>
              </w:drawing>
            </w:r>
          </w:p>
        </w:tc>
        <w:tc>
          <w:tcPr>
            <w:tcW w:w="4530" w:type="dxa"/>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color w:val="auto"/>
                <w:highlight w:val="none"/>
              </w:rPr>
              <w:drawing>
                <wp:inline distT="0" distB="0" distL="114300" distR="114300">
                  <wp:extent cx="2472055" cy="2052955"/>
                  <wp:effectExtent l="0" t="0" r="444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472055" cy="20529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060" w:type="dxa"/>
            <w:gridSpan w:val="2"/>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项目区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060" w:type="dxa"/>
            <w:gridSpan w:val="2"/>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after="0"/>
              <w:ind w:left="480" w:firstLine="0" w:firstLineChars="0"/>
              <w:jc w:val="center"/>
              <w:textAlignment w:val="baseline"/>
              <w:rPr>
                <w:rFonts w:hint="default" w:ascii="Times New Roman" w:hAnsi="Times New Roman" w:cs="Times New Roman"/>
                <w:bCs/>
                <w:color w:val="auto"/>
                <w:sz w:val="28"/>
                <w:szCs w:val="28"/>
                <w:highlight w:val="none"/>
              </w:rPr>
            </w:pPr>
            <w:r>
              <w:rPr>
                <w:rFonts w:hint="default" w:ascii="Times New Roman" w:hAnsi="Times New Roman" w:cs="Times New Roman"/>
                <w:b/>
                <w:bCs w:val="0"/>
                <w:color w:val="auto"/>
                <w:sz w:val="28"/>
                <w:szCs w:val="28"/>
                <w:highlight w:val="none"/>
              </w:rPr>
              <w:t>项目区现场</w:t>
            </w:r>
            <w:r>
              <w:rPr>
                <w:rFonts w:hint="default" w:ascii="Times New Roman" w:hAnsi="Times New Roman" w:cs="Times New Roman"/>
                <w:b/>
                <w:bCs w:val="0"/>
                <w:color w:val="auto"/>
                <w:sz w:val="28"/>
                <w:szCs w:val="28"/>
                <w:highlight w:val="none"/>
                <w:lang w:eastAsia="zh-CN"/>
              </w:rPr>
              <w:t>勘察</w:t>
            </w:r>
            <w:r>
              <w:rPr>
                <w:rFonts w:hint="default" w:ascii="Times New Roman" w:hAnsi="Times New Roman" w:cs="Times New Roman"/>
                <w:b/>
                <w:bCs w:val="0"/>
                <w:color w:val="auto"/>
                <w:sz w:val="28"/>
                <w:szCs w:val="28"/>
                <w:highlight w:val="none"/>
              </w:rPr>
              <w:t>图</w:t>
            </w:r>
          </w:p>
        </w:tc>
      </w:tr>
    </w:tbl>
    <w:p>
      <w:pPr>
        <w:tabs>
          <w:tab w:val="left" w:pos="1563"/>
        </w:tabs>
        <w:ind w:left="0" w:leftChars="0" w:firstLine="0" w:firstLineChars="0"/>
        <w:jc w:val="left"/>
        <w:rPr>
          <w:rFonts w:hint="default" w:ascii="Times New Roman" w:hAnsi="Times New Roman" w:eastAsia="黑体" w:cs="Times New Roman"/>
          <w:snapToGrid w:val="0"/>
          <w:color w:val="auto"/>
          <w:sz w:val="30"/>
          <w:szCs w:val="30"/>
          <w:highlight w:val="none"/>
        </w:rPr>
        <w:sectPr>
          <w:pgSz w:w="11906" w:h="16838"/>
          <w:pgMar w:top="1701" w:right="1531" w:bottom="1701" w:left="1531" w:header="851" w:footer="1077" w:gutter="0"/>
          <w:pgNumType w:start="1"/>
          <w:cols w:space="720" w:num="1"/>
          <w:docGrid w:linePitch="312" w:charSpace="0"/>
        </w:sectPr>
      </w:pPr>
    </w:p>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48"/>
        <w:gridCol w:w="2071"/>
        <w:gridCol w:w="2140"/>
        <w:gridCol w:w="2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6922"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新疆森峰达智能装备有限公司新建年产预制舱1000套项目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6922"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071" w:type="dxa"/>
            <w:vAlign w:val="center"/>
          </w:tcPr>
          <w:p>
            <w:pPr>
              <w:pStyle w:val="33"/>
              <w:bidi w:val="0"/>
              <w:ind w:firstLine="0" w:firstLineChars="0"/>
              <w:rPr>
                <w:rFonts w:hint="default" w:ascii="Times New Roman" w:hAnsi="Times New Roman" w:eastAsia="宋体" w:cs="Times New Roman"/>
                <w:b/>
                <w:bCs/>
                <w:color w:val="auto"/>
                <w:szCs w:val="21"/>
                <w:highlight w:val="none"/>
                <w:lang w:val="en-US" w:eastAsia="zh-CN"/>
              </w:rPr>
            </w:pPr>
          </w:p>
        </w:tc>
        <w:tc>
          <w:tcPr>
            <w:tcW w:w="2140" w:type="dxa"/>
            <w:vAlign w:val="center"/>
          </w:tcPr>
          <w:p>
            <w:pPr>
              <w:pStyle w:val="33"/>
              <w:bidi w:val="0"/>
              <w:ind w:firstLine="0" w:firstLineChars="0"/>
              <w:rPr>
                <w:rFonts w:hint="default" w:ascii="Times New Roman" w:hAnsi="Times New Roman" w:cs="Times New Roman"/>
                <w:color w:val="auto"/>
                <w:szCs w:val="21"/>
                <w:highlight w:val="none"/>
              </w:rPr>
            </w:pPr>
          </w:p>
        </w:tc>
        <w:tc>
          <w:tcPr>
            <w:tcW w:w="2711" w:type="dxa"/>
            <w:vAlign w:val="center"/>
          </w:tcPr>
          <w:p>
            <w:pPr>
              <w:pStyle w:val="33"/>
              <w:bidi w:val="0"/>
              <w:ind w:firstLine="0" w:firstLineChars="0"/>
              <w:rPr>
                <w:rFonts w:hint="default" w:ascii="Times New Roman" w:hAnsi="Times New Roman" w:eastAsia="宋体"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6922"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6922" w:type="dxa"/>
            <w:gridSpan w:val="3"/>
            <w:vAlign w:val="center"/>
          </w:tcPr>
          <w:p>
            <w:pPr>
              <w:spacing w:line="240" w:lineRule="auto"/>
              <w:ind w:firstLine="0" w:firstLineChars="0"/>
              <w:jc w:val="center"/>
              <w:rPr>
                <w:rFonts w:hint="default"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071"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C3311金属结构制造</w:t>
            </w:r>
          </w:p>
        </w:tc>
        <w:tc>
          <w:tcPr>
            <w:tcW w:w="2140"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bookmarkStart w:id="0" w:name="_Hlk49843745"/>
            <w:r>
              <w:rPr>
                <w:rFonts w:hint="default" w:ascii="Times New Roman" w:hAnsi="Times New Roman" w:cs="Times New Roman"/>
                <w:color w:val="auto"/>
                <w:szCs w:val="21"/>
                <w:highlight w:val="none"/>
              </w:rPr>
              <w:t>建设项目</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0"/>
          </w:p>
        </w:tc>
        <w:tc>
          <w:tcPr>
            <w:tcW w:w="2711" w:type="dxa"/>
            <w:vAlign w:val="center"/>
          </w:tcPr>
          <w:p>
            <w:pPr>
              <w:adjustRightInd w:val="0"/>
              <w:snapToGrid w:val="0"/>
              <w:spacing w:line="240" w:lineRule="auto"/>
              <w:ind w:firstLine="0" w:firstLineChars="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三十、金属制品业33，66结构性金属制品制造331，其他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仅分割、焊接、组装的除外；年用非溶剂型低V</w:t>
            </w:r>
            <w:r>
              <w:rPr>
                <w:rFonts w:hint="default" w:ascii="Times New Roman" w:hAnsi="Times New Roman" w:cs="Times New Roman"/>
                <w:color w:val="auto"/>
                <w:highlight w:val="none"/>
                <w:lang w:val="en-US" w:eastAsia="zh-CN"/>
              </w:rPr>
              <w:t>O</w:t>
            </w:r>
            <w:r>
              <w:rPr>
                <w:rFonts w:hint="default" w:ascii="Times New Roman" w:hAnsi="Times New Roman" w:cs="Times New Roman"/>
                <w:color w:val="auto"/>
                <w:highlight w:val="none"/>
              </w:rPr>
              <w:t>Cs含量涂料10吨以下的除外</w:t>
            </w:r>
            <w:r>
              <w:rPr>
                <w:rFonts w:hint="default" w:ascii="Times New Roman" w:hAnsi="Times New Roman" w:cs="Times New Roman"/>
                <w:color w:val="auto"/>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071" w:type="dxa"/>
            <w:vAlign w:val="center"/>
          </w:tcPr>
          <w:p>
            <w:pPr>
              <w:spacing w:line="240" w:lineRule="auto"/>
              <w:ind w:firstLine="0"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新建（迁建）</w:t>
            </w:r>
          </w:p>
          <w:p>
            <w:pPr>
              <w:spacing w:line="240" w:lineRule="auto"/>
              <w:ind w:firstLine="0" w:firstLine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改建</w:t>
            </w:r>
          </w:p>
          <w:p>
            <w:pPr>
              <w:spacing w:line="240" w:lineRule="auto"/>
              <w:ind w:firstLine="0" w:firstLine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扩建</w:t>
            </w:r>
          </w:p>
          <w:p>
            <w:pPr>
              <w:spacing w:line="240" w:lineRule="auto"/>
              <w:ind w:firstLine="0" w:firstLine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技术改造</w:t>
            </w:r>
          </w:p>
        </w:tc>
        <w:tc>
          <w:tcPr>
            <w:tcW w:w="2140"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711" w:type="dxa"/>
            <w:vAlign w:val="center"/>
          </w:tcPr>
          <w:p>
            <w:pPr>
              <w:spacing w:line="240" w:lineRule="auto"/>
              <w:ind w:firstLine="0"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首次申报项目</w:t>
            </w:r>
          </w:p>
          <w:p>
            <w:pPr>
              <w:spacing w:line="240" w:lineRule="auto"/>
              <w:ind w:firstLine="0" w:firstLine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不予批准后再次申报项目</w:t>
            </w:r>
          </w:p>
          <w:p>
            <w:pPr>
              <w:spacing w:line="240" w:lineRule="auto"/>
              <w:ind w:firstLine="0" w:firstLineChars="0"/>
              <w:jc w:val="left"/>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超五年重新审核项目</w:t>
            </w:r>
          </w:p>
          <w:p>
            <w:pPr>
              <w:spacing w:line="240" w:lineRule="auto"/>
              <w:ind w:firstLine="0" w:firstLine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071"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轮台县</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发展和改革委员会</w:t>
            </w:r>
          </w:p>
        </w:tc>
        <w:tc>
          <w:tcPr>
            <w:tcW w:w="2140"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711" w:type="dxa"/>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2512251075652822000111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071"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lang w:val="en-US" w:eastAsia="zh-CN"/>
              </w:rPr>
              <w:t>12000</w:t>
            </w:r>
          </w:p>
        </w:tc>
        <w:tc>
          <w:tcPr>
            <w:tcW w:w="2140"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711"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071"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1.075</w:t>
            </w:r>
          </w:p>
        </w:tc>
        <w:tc>
          <w:tcPr>
            <w:tcW w:w="2140"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711"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8"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071" w:type="dxa"/>
            <w:vAlign w:val="center"/>
          </w:tcPr>
          <w:p>
            <w:pPr>
              <w:adjustRightInd w:val="0"/>
              <w:snapToGrid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否</w:t>
            </w:r>
          </w:p>
          <w:p>
            <w:pPr>
              <w:adjustRightInd w:val="0"/>
              <w:snapToGrid w:val="0"/>
              <w:spacing w:line="240" w:lineRule="auto"/>
              <w:ind w:firstLine="0" w:firstLineChars="0"/>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是：</w:t>
            </w:r>
          </w:p>
        </w:tc>
        <w:tc>
          <w:tcPr>
            <w:tcW w:w="2140"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用地（用海）</w:t>
            </w:r>
          </w:p>
          <w:p>
            <w:pPr>
              <w:adjustRightInd w:val="0"/>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szCs w:val="21"/>
                <w:highlight w:val="none"/>
              </w:rPr>
              <w:t>面积（m</w:t>
            </w:r>
            <w:r>
              <w:rPr>
                <w:rFonts w:hint="default" w:ascii="Times New Roman" w:hAnsi="Times New Roman" w:cs="Times New Roman"/>
                <w:color w:val="auto"/>
                <w:spacing w:val="-6"/>
                <w:szCs w:val="21"/>
                <w:highlight w:val="none"/>
                <w:vertAlign w:val="superscript"/>
              </w:rPr>
              <w:t>2</w:t>
            </w:r>
            <w:r>
              <w:rPr>
                <w:rFonts w:hint="default" w:ascii="Times New Roman" w:hAnsi="Times New Roman" w:cs="Times New Roman"/>
                <w:color w:val="auto"/>
                <w:spacing w:val="-6"/>
                <w:szCs w:val="21"/>
                <w:highlight w:val="none"/>
              </w:rPr>
              <w:t>）</w:t>
            </w:r>
          </w:p>
        </w:tc>
        <w:tc>
          <w:tcPr>
            <w:tcW w:w="2711"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120亩（80000）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48"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6922" w:type="dxa"/>
            <w:gridSpan w:val="3"/>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0"/>
                <w:szCs w:val="21"/>
                <w:highlight w:val="none"/>
                <w:lang w:eastAsia="zh-Hans"/>
              </w:rPr>
            </w:pPr>
            <w:r>
              <w:rPr>
                <w:rFonts w:hint="default" w:ascii="Times New Roman" w:hAnsi="Times New Roman" w:cs="Times New Roman"/>
                <w:color w:val="auto"/>
                <w:kern w:val="0"/>
                <w:szCs w:val="21"/>
                <w:highlight w:val="none"/>
                <w:lang w:eastAsia="zh-Hans"/>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1948" w:type="dxa"/>
            <w:vAlign w:val="center"/>
          </w:tcPr>
          <w:p>
            <w:pPr>
              <w:autoSpaceDE w:val="0"/>
              <w:autoSpaceDN w:val="0"/>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6922" w:type="dxa"/>
            <w:gridSpan w:val="3"/>
            <w:vAlign w:val="center"/>
          </w:tcPr>
          <w:p>
            <w:pPr>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规划名称：《轮台工业园区国土空间专项规划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2024-2035年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审批机关：</w:t>
            </w:r>
            <w:r>
              <w:rPr>
                <w:rFonts w:hint="default" w:ascii="Times New Roman" w:hAnsi="Times New Roman" w:cs="Times New Roman"/>
                <w:color w:val="auto"/>
                <w:highlight w:val="none"/>
                <w:lang w:val="en-US" w:eastAsia="zh-CN"/>
              </w:rPr>
              <w:t>轮台县</w:t>
            </w:r>
            <w:r>
              <w:rPr>
                <w:rFonts w:hint="default" w:ascii="Times New Roman" w:hAnsi="Times New Roman" w:cs="Times New Roman"/>
                <w:color w:val="auto"/>
                <w:highlight w:val="none"/>
              </w:rPr>
              <w:t>人民政府</w:t>
            </w:r>
          </w:p>
          <w:p>
            <w:pPr>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审批文件名称：《关于轮台工业园区国土空间专项规划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2024-2035年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948" w:type="dxa"/>
            <w:vAlign w:val="center"/>
          </w:tcPr>
          <w:p>
            <w:pPr>
              <w:adjustRightInd w:val="0"/>
              <w:snapToGrid w:val="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6922" w:type="dxa"/>
            <w:gridSpan w:val="3"/>
            <w:vAlign w:val="center"/>
          </w:tcPr>
          <w:p>
            <w:pPr>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规划环境影响评价文件名称：《轮台工业园区国土空间专项规划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2024-2035年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环境影响报告书》</w:t>
            </w:r>
            <w:r>
              <w:rPr>
                <w:rFonts w:hint="default" w:ascii="Times New Roman" w:hAnsi="Times New Roman" w:cs="Times New Roman"/>
                <w:color w:val="auto"/>
                <w:highlight w:val="none"/>
                <w:lang w:eastAsia="zh-CN"/>
              </w:rPr>
              <w:t>；</w:t>
            </w:r>
          </w:p>
          <w:p>
            <w:pP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审查机关：新疆维吾尔自治区生态环境厅</w:t>
            </w:r>
          </w:p>
          <w:p>
            <w:pP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审查文件名称及文号：《轮台工业园区国土空间专项规划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2024-2035年）环境影响报告书的审查意见》（</w:t>
            </w:r>
            <w:r>
              <w:rPr>
                <w:rFonts w:hint="default" w:ascii="Times New Roman" w:hAnsi="Times New Roman" w:cs="Times New Roman"/>
                <w:color w:val="auto"/>
                <w:highlight w:val="none"/>
                <w:lang w:val="en-US" w:eastAsia="zh-CN"/>
              </w:rPr>
              <w:t>新</w:t>
            </w:r>
            <w:r>
              <w:rPr>
                <w:rFonts w:hint="default" w:ascii="Times New Roman" w:hAnsi="Times New Roman" w:cs="Times New Roman"/>
                <w:color w:val="auto"/>
                <w:highlight w:val="none"/>
              </w:rPr>
              <w:t>环审〔</w:t>
            </w:r>
            <w:r>
              <w:rPr>
                <w:rFonts w:hint="default" w:ascii="Times New Roman" w:hAnsi="Times New Roman" w:cs="Times New Roman"/>
                <w:color w:val="auto"/>
                <w:highlight w:val="none"/>
                <w:lang w:val="en-US" w:eastAsia="zh-CN"/>
              </w:rPr>
              <w:t>2025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135</w:t>
            </w:r>
            <w:r>
              <w:rPr>
                <w:rFonts w:hint="default" w:ascii="Times New Roman" w:hAnsi="Times New Roman" w:cs="Times New Roman"/>
                <w:color w:val="auto"/>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948" w:type="dxa"/>
            <w:vAlign w:val="center"/>
          </w:tcPr>
          <w:p>
            <w:pPr>
              <w:autoSpaceDE w:val="0"/>
              <w:autoSpaceDN w:val="0"/>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w:t>
            </w:r>
          </w:p>
          <w:p>
            <w:pPr>
              <w:autoSpaceDE w:val="0"/>
              <w:autoSpaceDN w:val="0"/>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影响评价符合性分析</w:t>
            </w:r>
          </w:p>
        </w:tc>
        <w:tc>
          <w:tcPr>
            <w:tcW w:w="6922" w:type="dxa"/>
            <w:gridSpan w:val="3"/>
            <w:vAlign w:val="center"/>
          </w:tcPr>
          <w:p>
            <w:pPr>
              <w:pStyle w:val="4"/>
              <w:adjustRightInd w:val="0"/>
              <w:spacing w:beforeLines="50" w:after="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1</w:t>
            </w:r>
            <w:r>
              <w:rPr>
                <w:rFonts w:hint="default" w:ascii="Times New Roman" w:hAnsi="Times New Roman" w:cs="Times New Roman"/>
                <w:color w:val="auto"/>
                <w:sz w:val="24"/>
                <w:szCs w:val="24"/>
                <w:highlight w:val="none"/>
              </w:rPr>
              <w:t>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轮台工业园区国土空间专项规划（2024-2035年）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的符合性</w:t>
            </w:r>
            <w:r>
              <w:rPr>
                <w:rFonts w:hint="default" w:ascii="Times New Roman" w:hAnsi="Times New Roman" w:cs="Times New Roman"/>
                <w:color w:val="auto"/>
                <w:sz w:val="24"/>
                <w:szCs w:val="24"/>
                <w:highlight w:val="none"/>
                <w:lang w:val="en-US" w:eastAsia="zh-CN"/>
              </w:rPr>
              <w:t>分析</w:t>
            </w:r>
          </w:p>
          <w:p>
            <w:pPr>
              <w:pStyle w:val="34"/>
              <w:spacing w:before="1" w:line="359" w:lineRule="auto"/>
              <w:ind w:left="0" w:leftChars="0" w:right="107" w:firstLine="476" w:firstLineChars="200"/>
              <w:jc w:val="both"/>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本次轮台工业园国土空间专项规划范围为轮台县国土空间城镇开发边界面积，规划总面积24.09km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，其中拉依苏石油化工区面积16.11km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（1611.8528公顷），红桥石油服务区面积7.98km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（797.7690公顷）。其中，拉依苏石油化工区四至范围</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北至南疆铁路，南至拉依苏8号路，西至拉依苏西环路，东至巴州天源石油化工有限公司为界。红桥石油服务区四至范围</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北至G314，南至油城路，西至塔里木路揽水小区，东至经五路。</w:t>
            </w:r>
          </w:p>
          <w:p>
            <w:pPr>
              <w:keepNext w:val="0"/>
              <w:keepLines w:val="0"/>
              <w:widowControl/>
              <w:suppressLineNumbers w:val="0"/>
              <w:jc w:val="both"/>
              <w:rPr>
                <w:rFonts w:hint="eastAsia" w:ascii="Times New Roman" w:hAnsi="Times New Roman" w:cs="Times New Roman"/>
                <w:color w:val="auto"/>
                <w:spacing w:val="-1"/>
                <w:highlight w:val="none"/>
                <w:lang w:val="en-US" w:eastAsia="zh-CN"/>
              </w:rPr>
            </w:pPr>
            <w:r>
              <w:rPr>
                <w:rFonts w:hint="eastAsia" w:ascii="Times New Roman" w:hAnsi="Times New Roman" w:cs="Times New Roman"/>
                <w:color w:val="auto"/>
                <w:spacing w:val="-1"/>
                <w:highlight w:val="none"/>
                <w:lang w:val="en-US" w:eastAsia="zh-CN"/>
              </w:rPr>
              <w:t>拉依苏石油化工园区产业定位：发展石油化工、天然气化工、煤化工、盐化工和精细化工电产业；以石油化工能源开发配套技术为主的新技术产业；以铁路、公路为主，以运输油气产品、危化产品为主特征的仓储物流服务业。</w:t>
            </w:r>
          </w:p>
          <w:p>
            <w:pPr>
              <w:keepNext w:val="0"/>
              <w:keepLines w:val="0"/>
              <w:widowControl/>
              <w:suppressLineNumbers w:val="0"/>
              <w:jc w:val="both"/>
              <w:rPr>
                <w:rFonts w:hint="eastAsia"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eastAsia="zh-CN"/>
              </w:rPr>
              <w:t>红桥石油服务区</w:t>
            </w:r>
            <w:r>
              <w:rPr>
                <w:rFonts w:hint="eastAsia" w:ascii="Times New Roman" w:hAnsi="Times New Roman" w:cs="Times New Roman"/>
                <w:color w:val="auto"/>
                <w:spacing w:val="-1"/>
                <w:highlight w:val="none"/>
                <w:lang w:val="en-US" w:eastAsia="zh-CN"/>
              </w:rPr>
              <w:t>产业定位：</w:t>
            </w:r>
            <w:r>
              <w:rPr>
                <w:rFonts w:hint="default" w:ascii="Times New Roman" w:hAnsi="Times New Roman" w:cs="Times New Roman"/>
                <w:color w:val="auto"/>
                <w:spacing w:val="-1"/>
                <w:highlight w:val="none"/>
                <w:lang w:eastAsia="zh-CN"/>
              </w:rPr>
              <w:t>发展以石油机械和制造业为主方向的机械制造业。</w:t>
            </w:r>
          </w:p>
          <w:p>
            <w:pPr>
              <w:keepNext w:val="0"/>
              <w:keepLines w:val="0"/>
              <w:widowControl/>
              <w:suppressLineNumbers w:val="0"/>
              <w:jc w:val="both"/>
              <w:rPr>
                <w:rFonts w:hint="default" w:ascii="Times New Roman" w:hAnsi="Times New Roman" w:cs="Times New Roman"/>
                <w:color w:val="auto"/>
                <w:spacing w:val="-1"/>
                <w:highlight w:val="none"/>
                <w:lang w:eastAsia="zh-CN"/>
              </w:rPr>
            </w:pPr>
            <w:r>
              <w:rPr>
                <w:rFonts w:hint="default" w:ascii="Times New Roman" w:hAnsi="Times New Roman" w:cs="Times New Roman"/>
                <w:color w:val="auto"/>
                <w:spacing w:val="-1"/>
                <w:highlight w:val="none"/>
              </w:rPr>
              <w:t>规划总面积24.09km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按照一园两区</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建设，其中拉依苏石油化工区16.1</w:t>
            </w:r>
            <w:r>
              <w:rPr>
                <w:rFonts w:hint="default" w:ascii="Times New Roman" w:hAnsi="Times New Roman" w:cs="Times New Roman"/>
                <w:color w:val="auto"/>
                <w:spacing w:val="-1"/>
                <w:highlight w:val="none"/>
                <w:lang w:val="en-US" w:eastAsia="zh-CN"/>
              </w:rPr>
              <w:t>1</w:t>
            </w:r>
            <w:r>
              <w:rPr>
                <w:rFonts w:hint="default" w:ascii="Times New Roman" w:hAnsi="Times New Roman" w:cs="Times New Roman"/>
                <w:color w:val="auto"/>
                <w:spacing w:val="-1"/>
                <w:highlight w:val="none"/>
              </w:rPr>
              <w:t>平方千米</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红桥石油服务区7.98平方千米。依苏石油化工区的发展定位是形成以石油天然气化工、硅基新材料产业为主导，以煤化工、现代能源为重点，以盐化工、精细化工为延伸，以资源循环利用为补充的现代化工产业体系。红桥石油服务区发展定位是形成以石油装备制造及技术服务产业和农副产品加工为主导，以建材为重点，以纺织和皮毛为延伸，以现代物流业和非金属矿物质制品业为补充的现代产业体系</w:t>
            </w:r>
            <w:r>
              <w:rPr>
                <w:rFonts w:hint="default" w:ascii="Times New Roman" w:hAnsi="Times New Roman" w:cs="Times New Roman"/>
                <w:color w:val="auto"/>
                <w:spacing w:val="-1"/>
                <w:highlight w:val="none"/>
                <w:lang w:eastAsia="zh-CN"/>
              </w:rPr>
              <w:t>。</w:t>
            </w:r>
          </w:p>
          <w:p>
            <w:pPr>
              <w:keepNext w:val="0"/>
              <w:keepLines w:val="0"/>
              <w:widowControl/>
              <w:suppressLineNumbers w:val="0"/>
              <w:jc w:val="both"/>
              <w:rPr>
                <w:rFonts w:hint="default" w:ascii="Times New Roman" w:hAnsi="Times New Roman" w:cs="Times New Roman"/>
                <w:color w:val="auto"/>
                <w:spacing w:val="-1"/>
                <w:highlight w:val="none"/>
                <w:lang w:eastAsia="zh-CN"/>
              </w:rPr>
            </w:pPr>
            <w:r>
              <w:rPr>
                <w:rFonts w:hint="default" w:ascii="Times New Roman" w:hAnsi="Times New Roman" w:cs="Times New Roman"/>
                <w:color w:val="auto"/>
                <w:spacing w:val="-1"/>
                <w:highlight w:val="none"/>
                <w:lang w:eastAsia="zh-CN"/>
              </w:rPr>
              <w:t>红桥石油服务区规划形成“三轴一心多片区”的功能结构，装备制造和油田技术服务产业布局于G314以南、塔里木路以东、建设路以北、G216以西区域，是红桥石油服务区的主导产业，工业用地面积374.19ha。</w:t>
            </w:r>
          </w:p>
          <w:p>
            <w:pPr>
              <w:pStyle w:val="34"/>
              <w:spacing w:before="1" w:line="359" w:lineRule="auto"/>
              <w:ind w:left="0" w:leftChars="0" w:right="107" w:firstLine="460" w:firstLineChars="200"/>
              <w:jc w:val="both"/>
              <w:rPr>
                <w:rFonts w:hint="default" w:ascii="Times New Roman" w:hAnsi="Times New Roman" w:cs="Times New Roman"/>
                <w:color w:val="auto"/>
                <w:highlight w:val="none"/>
              </w:rPr>
            </w:pPr>
            <w:r>
              <w:rPr>
                <w:rFonts w:hint="default" w:ascii="Times New Roman" w:hAnsi="Times New Roman" w:cs="Times New Roman"/>
                <w:color w:val="auto"/>
                <w:spacing w:val="-5"/>
                <w:highlight w:val="none"/>
              </w:rPr>
              <w:t>本项目位于</w:t>
            </w:r>
            <w:r>
              <w:rPr>
                <w:rFonts w:hint="default" w:ascii="Times New Roman" w:hAnsi="Times New Roman" w:cs="Times New Roman"/>
                <w:color w:val="auto"/>
                <w:spacing w:val="-5"/>
                <w:highlight w:val="none"/>
                <w:lang w:val="en-US" w:eastAsia="zh-CN"/>
              </w:rPr>
              <w:t>轮台县</w:t>
            </w:r>
            <w:r>
              <w:rPr>
                <w:rFonts w:hint="default" w:ascii="Times New Roman" w:hAnsi="Times New Roman" w:cs="Times New Roman"/>
                <w:color w:val="auto"/>
                <w:spacing w:val="-1"/>
                <w:highlight w:val="none"/>
              </w:rPr>
              <w:t>红桥石油服务区</w:t>
            </w:r>
            <w:r>
              <w:rPr>
                <w:rFonts w:hint="default" w:ascii="Times New Roman" w:hAnsi="Times New Roman" w:cs="Times New Roman"/>
                <w:color w:val="auto"/>
                <w:spacing w:val="-1"/>
                <w:highlight w:val="none"/>
                <w:lang w:val="en-US" w:eastAsia="zh-CN"/>
              </w:rPr>
              <w:t>内的装备制造及油田技术服务区</w:t>
            </w:r>
            <w:r>
              <w:rPr>
                <w:rFonts w:hint="default" w:ascii="Times New Roman" w:hAnsi="Times New Roman" w:cs="Times New Roman"/>
                <w:color w:val="auto"/>
                <w:spacing w:val="-5"/>
                <w:highlight w:val="none"/>
              </w:rPr>
              <w:t>，用地</w:t>
            </w:r>
            <w:r>
              <w:rPr>
                <w:rFonts w:hint="default" w:ascii="Times New Roman" w:hAnsi="Times New Roman" w:cs="Times New Roman"/>
                <w:color w:val="auto"/>
                <w:spacing w:val="-2"/>
                <w:highlight w:val="none"/>
              </w:rPr>
              <w:t>属于</w:t>
            </w:r>
            <w:r>
              <w:rPr>
                <w:rFonts w:hint="default" w:ascii="Times New Roman" w:hAnsi="Times New Roman" w:cs="Times New Roman"/>
                <w:color w:val="auto"/>
                <w:spacing w:val="-2"/>
                <w:highlight w:val="none"/>
                <w:lang w:val="en-US" w:eastAsia="zh-CN"/>
              </w:rPr>
              <w:t>二类</w:t>
            </w:r>
            <w:r>
              <w:rPr>
                <w:rFonts w:hint="default" w:ascii="Times New Roman" w:hAnsi="Times New Roman" w:cs="Times New Roman"/>
                <w:color w:val="auto"/>
                <w:spacing w:val="-2"/>
                <w:highlight w:val="none"/>
              </w:rPr>
              <w:t>工业用地符合轮台工业园区</w:t>
            </w:r>
            <w:r>
              <w:rPr>
                <w:rFonts w:hint="default" w:ascii="Times New Roman" w:hAnsi="Times New Roman" w:cs="Times New Roman"/>
                <w:color w:val="auto"/>
                <w:spacing w:val="-3"/>
                <w:highlight w:val="none"/>
              </w:rPr>
              <w:t>产业规划及用地规划</w:t>
            </w:r>
            <w:r>
              <w:rPr>
                <w:rFonts w:hint="eastAsia" w:ascii="Times New Roman" w:hAnsi="Times New Roman" w:cs="Times New Roman"/>
                <w:color w:val="auto"/>
                <w:spacing w:val="-3"/>
                <w:highlight w:val="none"/>
                <w:lang w:eastAsia="zh-CN"/>
              </w:rPr>
              <w:t>。</w:t>
            </w:r>
            <w:r>
              <w:rPr>
                <w:rFonts w:hint="eastAsia" w:ascii="Times New Roman" w:hAnsi="Times New Roman" w:cs="Times New Roman"/>
                <w:color w:val="1D41D5"/>
                <w:spacing w:val="-3"/>
                <w:highlight w:val="none"/>
                <w:lang w:eastAsia="zh-CN"/>
              </w:rPr>
              <w:t>该地块历史上已规划为工业用地，后因土地出让工作未完成，如今用地性质视为其他草地，现阶段地块地表存在明显植被覆盖，</w:t>
            </w:r>
            <w:r>
              <w:rPr>
                <w:rFonts w:hint="eastAsia" w:ascii="Times New Roman" w:hAnsi="Times New Roman" w:cs="Times New Roman"/>
                <w:color w:val="1D41D5"/>
                <w:spacing w:val="-3"/>
                <w:highlight w:val="none"/>
                <w:lang w:val="en-US" w:eastAsia="zh-CN"/>
              </w:rPr>
              <w:t>项目</w:t>
            </w:r>
            <w:r>
              <w:rPr>
                <w:rFonts w:hint="eastAsia" w:ascii="Times New Roman" w:hAnsi="Times New Roman" w:cs="Times New Roman"/>
                <w:color w:val="1D41D5"/>
                <w:spacing w:val="-3"/>
                <w:highlight w:val="none"/>
                <w:lang w:eastAsia="zh-CN"/>
              </w:rPr>
              <w:t>需按要求办理林草用地审批</w:t>
            </w:r>
            <w:r>
              <w:rPr>
                <w:rFonts w:hint="eastAsia" w:ascii="Times New Roman" w:hAnsi="Times New Roman" w:cs="Times New Roman"/>
                <w:color w:val="1D41D5"/>
                <w:spacing w:val="-3"/>
                <w:highlight w:val="none"/>
                <w:lang w:val="en-US" w:eastAsia="zh-CN"/>
              </w:rPr>
              <w:t>等相关</w:t>
            </w:r>
            <w:r>
              <w:rPr>
                <w:rFonts w:hint="eastAsia" w:ascii="Times New Roman" w:hAnsi="Times New Roman" w:cs="Times New Roman"/>
                <w:color w:val="1D41D5"/>
                <w:spacing w:val="-3"/>
                <w:highlight w:val="none"/>
                <w:lang w:eastAsia="zh-CN"/>
              </w:rPr>
              <w:t>手续。</w:t>
            </w:r>
            <w:r>
              <w:rPr>
                <w:rFonts w:hint="default" w:ascii="Times New Roman" w:hAnsi="Times New Roman" w:cs="Times New Roman"/>
                <w:color w:val="auto"/>
                <w:highlight w:val="none"/>
              </w:rPr>
              <w:t>与</w:t>
            </w:r>
            <w:r>
              <w:rPr>
                <w:rFonts w:hint="default" w:ascii="Times New Roman" w:hAnsi="Times New Roman" w:cs="Times New Roman"/>
                <w:color w:val="auto"/>
                <w:spacing w:val="-2"/>
                <w:highlight w:val="none"/>
              </w:rPr>
              <w:t>轮台工业园区（红桥石油服务区）产业布局图</w:t>
            </w:r>
            <w:r>
              <w:rPr>
                <w:rFonts w:hint="default" w:ascii="Times New Roman" w:hAnsi="Times New Roman" w:cs="Times New Roman"/>
                <w:color w:val="auto"/>
                <w:spacing w:val="-3"/>
                <w:highlight w:val="none"/>
                <w:lang w:val="en-US" w:eastAsia="zh-CN"/>
              </w:rPr>
              <w:t>见附图1，</w:t>
            </w:r>
            <w:r>
              <w:rPr>
                <w:rFonts w:hint="default" w:ascii="Times New Roman" w:hAnsi="Times New Roman" w:cs="Times New Roman"/>
                <w:color w:val="auto"/>
                <w:highlight w:val="none"/>
              </w:rPr>
              <w:t>轮台工业园区（红桥石油服务区）土地使用规划图见附图</w:t>
            </w:r>
            <w:r>
              <w:rPr>
                <w:rFonts w:hint="default" w:ascii="Times New Roman" w:hAnsi="Times New Roman" w:cs="Times New Roman"/>
                <w:color w:val="auto"/>
                <w:highlight w:val="none"/>
                <w:lang w:val="en-US" w:eastAsia="zh-CN"/>
              </w:rPr>
              <w:t>2。</w:t>
            </w:r>
          </w:p>
          <w:p>
            <w:pPr>
              <w:pStyle w:val="4"/>
              <w:adjustRightInd w:val="0"/>
              <w:spacing w:before="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2与规划</w:t>
            </w:r>
            <w:r>
              <w:rPr>
                <w:rFonts w:hint="default" w:ascii="Times New Roman" w:hAnsi="Times New Roman" w:cs="Times New Roman"/>
                <w:color w:val="auto"/>
                <w:sz w:val="24"/>
                <w:szCs w:val="24"/>
                <w:highlight w:val="none"/>
                <w:lang w:val="en-US" w:eastAsia="zh-CN"/>
              </w:rPr>
              <w:t>环境影响评价结论及审查意见的</w:t>
            </w:r>
            <w:r>
              <w:rPr>
                <w:rFonts w:hint="default" w:ascii="Times New Roman" w:hAnsi="Times New Roman" w:cs="Times New Roman"/>
                <w:color w:val="auto"/>
                <w:sz w:val="24"/>
                <w:szCs w:val="24"/>
                <w:highlight w:val="none"/>
              </w:rPr>
              <w:t>符合性分析</w:t>
            </w:r>
          </w:p>
          <w:p>
            <w:pPr>
              <w:widowControl/>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sz w:val="24"/>
                <w:szCs w:val="24"/>
                <w:highlight w:val="none"/>
              </w:rPr>
              <w:t>与规划</w:t>
            </w:r>
            <w:r>
              <w:rPr>
                <w:rFonts w:hint="default" w:ascii="Times New Roman" w:hAnsi="Times New Roman" w:cs="Times New Roman"/>
                <w:color w:val="auto"/>
                <w:sz w:val="24"/>
                <w:szCs w:val="24"/>
                <w:highlight w:val="none"/>
                <w:lang w:val="en-US" w:eastAsia="zh-CN"/>
              </w:rPr>
              <w:t>环境影响评价结论的</w:t>
            </w:r>
            <w:r>
              <w:rPr>
                <w:rFonts w:hint="default" w:ascii="Times New Roman" w:hAnsi="Times New Roman" w:cs="Times New Roman"/>
                <w:color w:val="auto"/>
                <w:sz w:val="24"/>
                <w:szCs w:val="24"/>
                <w:highlight w:val="none"/>
              </w:rPr>
              <w:t>符合性分析</w:t>
            </w:r>
          </w:p>
          <w:p>
            <w:pPr>
              <w:widowControl/>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w:t>
            </w:r>
            <w:r>
              <w:rPr>
                <w:rFonts w:hint="default" w:ascii="Times New Roman" w:hAnsi="Times New Roman" w:cs="Times New Roman"/>
                <w:b/>
                <w:bCs/>
                <w:color w:val="auto"/>
                <w:highlight w:val="none"/>
                <w:lang w:val="en-US" w:eastAsia="zh-CN"/>
              </w:rPr>
              <w:t>1与规划环境影响评价结论的符合性分析</w:t>
            </w:r>
            <w:r>
              <w:rPr>
                <w:rFonts w:hint="default" w:ascii="Times New Roman" w:hAnsi="Times New Roman" w:cs="Times New Roman"/>
                <w:b/>
                <w:bCs/>
                <w:color w:val="auto"/>
                <w:highlight w:val="none"/>
              </w:rPr>
              <w:t>一览表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3478"/>
              <w:gridCol w:w="2659"/>
              <w:gridCol w:w="564"/>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595"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规划环评结论</w:t>
                  </w:r>
                  <w:r>
                    <w:rPr>
                      <w:rFonts w:hint="default" w:ascii="Times New Roman" w:hAnsi="Times New Roman" w:cs="Times New Roman"/>
                      <w:b/>
                      <w:bCs/>
                      <w:color w:val="auto"/>
                      <w:sz w:val="21"/>
                      <w:szCs w:val="21"/>
                      <w:highlight w:val="none"/>
                    </w:rPr>
                    <w:t>要求</w:t>
                  </w:r>
                </w:p>
              </w:tc>
              <w:tc>
                <w:tcPr>
                  <w:tcW w:w="1984"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本项目</w:t>
                  </w:r>
                  <w:r>
                    <w:rPr>
                      <w:rFonts w:hint="default" w:ascii="Times New Roman" w:hAnsi="Times New Roman" w:cs="Times New Roman"/>
                      <w:b/>
                      <w:bCs/>
                      <w:color w:val="auto"/>
                      <w:sz w:val="21"/>
                      <w:szCs w:val="21"/>
                      <w:highlight w:val="none"/>
                      <w:lang w:val="en-US" w:eastAsia="zh-CN"/>
                    </w:rPr>
                    <w:t>情况</w:t>
                  </w:r>
                </w:p>
              </w:tc>
              <w:tc>
                <w:tcPr>
                  <w:tcW w:w="420"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规划明确要求入园项目必须符合产业政策作为准入要求，本次集聚区近期产业规划重点项目不存在《产业结构调整指导目录(2024年本)》中限制类、淘汰类产业。</w:t>
                  </w:r>
                </w:p>
              </w:tc>
              <w:tc>
                <w:tcPr>
                  <w:tcW w:w="1984" w:type="pct"/>
                  <w:tcBorders>
                    <w:tl2br w:val="nil"/>
                    <w:tr2bl w:val="nil"/>
                  </w:tcBorders>
                  <w:shd w:val="clear" w:color="auto" w:fill="auto"/>
                  <w:vAlign w:val="center"/>
                </w:tcPr>
                <w:p>
                  <w:pPr>
                    <w:pStyle w:val="35"/>
                    <w:spacing w:line="240" w:lineRule="auto"/>
                    <w:ind w:left="0" w:leftChars="0"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本项目产品为预制舱属于结构性金属制品制造，根据《产业结构调整指导目录（2024年本）》，本项目所使用的生产工艺技术、设备及产品不属于《产业结构调整指导目录（2024年本）》中的限制类、淘汰类、鼓励类，本项目视为允许类。</w:t>
                  </w:r>
                </w:p>
              </w:tc>
              <w:tc>
                <w:tcPr>
                  <w:tcW w:w="420" w:type="pct"/>
                  <w:tcBorders>
                    <w:tl2br w:val="nil"/>
                    <w:tr2bl w:val="nil"/>
                  </w:tcBorders>
                  <w:shd w:val="clear" w:color="auto" w:fill="auto"/>
                  <w:vAlign w:val="center"/>
                </w:tcPr>
                <w:p>
                  <w:pPr>
                    <w:pStyle w:val="35"/>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73" w:hRule="atLeast"/>
                <w:jc w:val="center"/>
              </w:trPr>
              <w:tc>
                <w:tcPr>
                  <w:tcW w:w="25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本次环评围绕产业园区产业定位、布局、结构、</w:t>
                  </w:r>
                  <w:r>
                    <w:rPr>
                      <w:rFonts w:hint="default" w:ascii="Times New Roman" w:hAnsi="Times New Roman" w:cs="Times New Roman"/>
                      <w:color w:val="auto"/>
                      <w:kern w:val="2"/>
                      <w:sz w:val="21"/>
                      <w:szCs w:val="21"/>
                      <w:highlight w:val="none"/>
                      <w:lang w:val="en-US" w:eastAsia="zh-CN" w:bidi="ar-SA"/>
                    </w:rPr>
                    <w:t>规模</w:t>
                  </w:r>
                  <w:r>
                    <w:rPr>
                      <w:rFonts w:hint="default" w:ascii="Times New Roman" w:hAnsi="Times New Roman" w:eastAsia="宋体" w:cs="Times New Roman"/>
                      <w:color w:val="auto"/>
                      <w:kern w:val="2"/>
                      <w:sz w:val="21"/>
                      <w:szCs w:val="21"/>
                      <w:highlight w:val="none"/>
                      <w:lang w:val="en-US" w:eastAsia="zh-CN" w:bidi="ar-SA"/>
                    </w:rPr>
                    <w:t>、实施时序以及产业园区基础设施建设等内容，提出了优化调整建议和减缓不良环境影响的对策措施。同时，本次环评报告提出了规划包含建设项目的环评要求，以产业园区规划环评为依据，重点分析项目环评与规划环评结论及审查意见的符合性，入园建设项目环评审批等应将规划环评结论及审查意见作为重要依据。</w:t>
                  </w:r>
                </w:p>
              </w:tc>
              <w:tc>
                <w:tcPr>
                  <w:tcW w:w="1984" w:type="pct"/>
                  <w:tcBorders>
                    <w:tl2br w:val="nil"/>
                    <w:tr2bl w:val="nil"/>
                  </w:tcBorders>
                  <w:shd w:val="clear" w:color="auto" w:fill="auto"/>
                  <w:vAlign w:val="center"/>
                </w:tcPr>
                <w:p>
                  <w:pPr>
                    <w:pStyle w:val="35"/>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本项目位于轮台工业园区红桥石油服务区内的装备制造及油田技术服务区，产品为预制舱（结构性金属制品制造），符合园区发展定位。项目用地性质为二类工业用地，符合园区集约用地布局要求。</w:t>
                  </w:r>
                </w:p>
              </w:tc>
              <w:tc>
                <w:tcPr>
                  <w:tcW w:w="420" w:type="pct"/>
                  <w:tcBorders>
                    <w:tl2br w:val="nil"/>
                    <w:tr2bl w:val="nil"/>
                  </w:tcBorders>
                  <w:shd w:val="clear" w:color="auto" w:fill="auto"/>
                  <w:vAlign w:val="center"/>
                </w:tcPr>
                <w:p>
                  <w:pPr>
                    <w:pStyle w:val="35"/>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严格按照国家产业政策要求,限制类和淘汰类的项目严禁入园，不符合要求的“两高”项目，严格环评准入。严格落实自治区分解到巴州地区及轮台县的能耗双控目标,新入园高耗能项目必须符合国家产业政策且能效达到行业先进水平。</w:t>
                  </w:r>
                </w:p>
              </w:tc>
              <w:tc>
                <w:tcPr>
                  <w:tcW w:w="1984" w:type="pct"/>
                  <w:tcBorders>
                    <w:tl2br w:val="nil"/>
                    <w:tr2bl w:val="nil"/>
                  </w:tcBorders>
                  <w:shd w:val="clear" w:color="auto" w:fill="auto"/>
                  <w:vAlign w:val="center"/>
                </w:tcPr>
                <w:p>
                  <w:pPr>
                    <w:pStyle w:val="35"/>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本项目严格按照</w:t>
                  </w:r>
                  <w:r>
                    <w:rPr>
                      <w:rFonts w:hint="default" w:ascii="Times New Roman" w:hAnsi="Times New Roman" w:eastAsia="宋体" w:cs="Times New Roman"/>
                      <w:color w:val="auto"/>
                      <w:kern w:val="2"/>
                      <w:sz w:val="21"/>
                      <w:szCs w:val="21"/>
                      <w:highlight w:val="none"/>
                      <w:lang w:val="en-US" w:eastAsia="zh-CN" w:bidi="ar-SA"/>
                    </w:rPr>
                    <w:t>《建设项目环境影响评价分类管理名录（2021年版）》确定的项目环境影响评价类别进行评价。本项目不属于“两高”项目。</w:t>
                  </w:r>
                </w:p>
              </w:tc>
              <w:tc>
                <w:tcPr>
                  <w:tcW w:w="420" w:type="pct"/>
                  <w:tcBorders>
                    <w:tl2br w:val="nil"/>
                    <w:tr2bl w:val="nil"/>
                  </w:tcBorders>
                  <w:shd w:val="clear" w:color="auto" w:fill="auto"/>
                  <w:vAlign w:val="center"/>
                </w:tcPr>
                <w:p>
                  <w:pPr>
                    <w:pStyle w:val="35"/>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严格执行生态保护红线、永久基本农田管控要求，禁止新(改、扩)建化工项目违规占生态保护红线和永久基本农田。在塔里木河、伊犁河、额尔齐斯河干流及主要支流岸线1公里范围内，严格禁止新建、扩建化工项目，不得布局新的化工园区(含化工集中区)。</w:t>
                  </w:r>
                </w:p>
              </w:tc>
              <w:tc>
                <w:tcPr>
                  <w:tcW w:w="1984" w:type="pct"/>
                  <w:tcBorders>
                    <w:tl2br w:val="nil"/>
                    <w:tr2bl w:val="nil"/>
                  </w:tcBorders>
                  <w:shd w:val="clear" w:color="auto" w:fill="auto"/>
                  <w:vAlign w:val="center"/>
                </w:tcPr>
                <w:p>
                  <w:pPr>
                    <w:pStyle w:val="35"/>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本项目位于轮台工业园区红桥石油服务区内的装备制造及油田技术服务区不涉及生态保护红线、永久基本农田管控要求。</w:t>
                  </w:r>
                </w:p>
              </w:tc>
              <w:tc>
                <w:tcPr>
                  <w:tcW w:w="420" w:type="pct"/>
                  <w:tcBorders>
                    <w:tl2br w:val="nil"/>
                    <w:tr2bl w:val="nil"/>
                  </w:tcBorders>
                  <w:shd w:val="clear" w:color="auto" w:fill="auto"/>
                  <w:vAlign w:val="center"/>
                </w:tcPr>
                <w:p>
                  <w:pPr>
                    <w:pStyle w:val="35"/>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规划环评要求入园企业满足清洁生产水平要求，采用先进适用的工艺技术和装备，单位产品物耗、能耗、水耗等达到清洁生产先进水平，国家或地方已出台超低排放要求的“两高”行业建设项目应满足超低排放要求。</w:t>
                  </w:r>
                </w:p>
              </w:tc>
              <w:tc>
                <w:tcPr>
                  <w:tcW w:w="1984" w:type="pct"/>
                  <w:tcBorders>
                    <w:tl2br w:val="nil"/>
                    <w:tr2bl w:val="nil"/>
                  </w:tcBorders>
                  <w:vAlign w:val="center"/>
                </w:tcPr>
                <w:p>
                  <w:pPr>
                    <w:pStyle w:val="35"/>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食堂废水经隔油池处理后，与生活污水一同排入园区污水管网，最终进入轮台县新城区污水处理厂处理</w:t>
                  </w:r>
                  <w:r>
                    <w:rPr>
                      <w:rFonts w:hint="default" w:ascii="Times New Roman" w:hAnsi="Times New Roman" w:eastAsia="宋体" w:cs="Times New Roman"/>
                      <w:color w:val="auto"/>
                      <w:sz w:val="21"/>
                      <w:szCs w:val="21"/>
                      <w:highlight w:val="none"/>
                      <w:lang w:val="en-US" w:eastAsia="zh-CN"/>
                    </w:rPr>
                    <w:t>。不涉及落后生产工艺及装备。</w:t>
                  </w:r>
                  <w:r>
                    <w:rPr>
                      <w:rFonts w:hint="default" w:ascii="Times New Roman" w:hAnsi="Times New Roman" w:eastAsia="宋体" w:cs="Times New Roman"/>
                      <w:color w:val="auto"/>
                      <w:kern w:val="2"/>
                      <w:sz w:val="21"/>
                      <w:szCs w:val="21"/>
                      <w:highlight w:val="none"/>
                      <w:lang w:val="en-US" w:eastAsia="zh-CN" w:bidi="ar-SA"/>
                    </w:rPr>
                    <w:t>本项目不属于“两高”项目。</w:t>
                  </w:r>
                </w:p>
              </w:tc>
              <w:tc>
                <w:tcPr>
                  <w:tcW w:w="420"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轮台工业园区噪声污染源主要为工业噪声、交通噪声，工业噪声是园区环境噪声的主要来源,受工业噪声影响,轮台工业园区区域声环境质量均会有所降低。</w:t>
                  </w:r>
                </w:p>
                <w:p>
                  <w:pPr>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为确保区内各声环境功能区达标,管理部门应对工业项目选址按规划进行合理布局，严格执行噪声控制措施，要求工业企业做到厂界噪声达标，并加大噪声污染综合整治力度，设置绿化隔离带，预计区域环境噪声整体水平会控制在各功能区要求的标准范围内。</w:t>
                  </w:r>
                </w:p>
              </w:tc>
              <w:tc>
                <w:tcPr>
                  <w:tcW w:w="1984" w:type="pct"/>
                  <w:tcBorders>
                    <w:tl2br w:val="nil"/>
                    <w:tr2bl w:val="nil"/>
                  </w:tcBorders>
                  <w:vAlign w:val="center"/>
                </w:tcPr>
                <w:p>
                  <w:pPr>
                    <w:pStyle w:val="35"/>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本项目生产设备均布置在生产车间内，并采取相应的噪声</w:t>
                  </w:r>
                  <w:r>
                    <w:rPr>
                      <w:rFonts w:hint="default" w:ascii="Times New Roman" w:hAnsi="Times New Roman" w:cs="Times New Roman"/>
                      <w:color w:val="auto"/>
                      <w:sz w:val="21"/>
                      <w:szCs w:val="21"/>
                      <w:highlight w:val="none"/>
                      <w:lang w:val="en-US" w:eastAsia="zh-CN"/>
                    </w:rPr>
                    <w:t>减振措施</w:t>
                  </w:r>
                  <w:r>
                    <w:rPr>
                      <w:rFonts w:hint="default" w:ascii="Times New Roman" w:hAnsi="Times New Roman" w:eastAsia="宋体" w:cs="Times New Roman"/>
                      <w:color w:val="auto"/>
                      <w:sz w:val="21"/>
                      <w:szCs w:val="21"/>
                      <w:highlight w:val="none"/>
                      <w:lang w:val="en-US" w:eastAsia="zh-CN"/>
                    </w:rPr>
                    <w:t>。经预测，厂界噪声均能达标排放。</w:t>
                  </w:r>
                </w:p>
              </w:tc>
              <w:tc>
                <w:tcPr>
                  <w:tcW w:w="420"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5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轮台工业园区现有企业产生的危险废物委托具有危险废物处置资质的单位处理。轮台工业园区后期入驻企业产生的危险废物依托具有危险废物处置资质的单位处理。</w:t>
                  </w:r>
                </w:p>
              </w:tc>
              <w:tc>
                <w:tcPr>
                  <w:tcW w:w="1984"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本项目产生固废优先资源化利用，危险废物委托具有危险废物处置资质的单位处理。</w:t>
                  </w:r>
                </w:p>
              </w:tc>
              <w:tc>
                <w:tcPr>
                  <w:tcW w:w="420"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pPr>
              <w:widowControl/>
              <w:ind w:left="0" w:lef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2.2与规划环境影响评价审查意见的符合性分析</w:t>
            </w:r>
          </w:p>
          <w:p>
            <w:pPr>
              <w:widowControl/>
              <w:ind w:left="0" w:leftChars="0"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根据关于《轮台工业园区国土空间专项规划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2024-2035年）环境影响报告书的审查意见》（</w:t>
            </w:r>
            <w:r>
              <w:rPr>
                <w:rFonts w:hint="default" w:ascii="Times New Roman" w:hAnsi="Times New Roman" w:cs="Times New Roman"/>
                <w:color w:val="auto"/>
                <w:highlight w:val="none"/>
                <w:lang w:val="en-US" w:eastAsia="zh-CN"/>
              </w:rPr>
              <w:t>新</w:t>
            </w:r>
            <w:r>
              <w:rPr>
                <w:rFonts w:hint="default" w:ascii="Times New Roman" w:hAnsi="Times New Roman" w:cs="Times New Roman"/>
                <w:color w:val="auto"/>
                <w:highlight w:val="none"/>
              </w:rPr>
              <w:t>环审〔</w:t>
            </w:r>
            <w:r>
              <w:rPr>
                <w:rFonts w:hint="default" w:ascii="Times New Roman" w:hAnsi="Times New Roman" w:cs="Times New Roman"/>
                <w:color w:val="auto"/>
                <w:highlight w:val="none"/>
                <w:lang w:val="en-US" w:eastAsia="zh-CN"/>
              </w:rPr>
              <w:t>2025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135</w:t>
            </w:r>
            <w:r>
              <w:rPr>
                <w:rFonts w:hint="default" w:ascii="Times New Roman" w:hAnsi="Times New Roman" w:cs="Times New Roman"/>
                <w:color w:val="auto"/>
                <w:highlight w:val="none"/>
              </w:rPr>
              <w:t>号）要求</w:t>
            </w:r>
            <w:r>
              <w:rPr>
                <w:rFonts w:hint="default" w:ascii="Times New Roman" w:hAnsi="Times New Roman" w:cs="Times New Roman"/>
                <w:color w:val="auto"/>
                <w:highlight w:val="none"/>
                <w:lang w:eastAsia="zh-CN"/>
              </w:rPr>
              <w:t>。</w:t>
            </w:r>
          </w:p>
          <w:p>
            <w:pPr>
              <w:widowControl/>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与规划环境影响评价审查意见的符合性分析一览表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3109"/>
              <w:gridCol w:w="2641"/>
              <w:gridCol w:w="951"/>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val="en-US" w:eastAsia="zh-CN"/>
                    </w:rPr>
                    <w:t>新环审﹝2025﹞135号要求</w:t>
                  </w:r>
                </w:p>
              </w:tc>
              <w:tc>
                <w:tcPr>
                  <w:tcW w:w="1971"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cs="Times New Roman"/>
                      <w:b/>
                      <w:bCs/>
                      <w:color w:val="auto"/>
                      <w:szCs w:val="21"/>
                      <w:highlight w:val="none"/>
                      <w:lang w:eastAsia="zh-CN"/>
                    </w:rPr>
                  </w:pPr>
                  <w:r>
                    <w:rPr>
                      <w:rFonts w:hint="default" w:ascii="Times New Roman" w:hAnsi="Times New Roman" w:cs="Times New Roman"/>
                      <w:b/>
                      <w:bCs/>
                      <w:color w:val="auto"/>
                      <w:szCs w:val="21"/>
                      <w:highlight w:val="none"/>
                    </w:rPr>
                    <w:t>本项目</w:t>
                  </w:r>
                  <w:r>
                    <w:rPr>
                      <w:rFonts w:hint="default" w:ascii="Times New Roman" w:hAnsi="Times New Roman" w:cs="Times New Roman"/>
                      <w:b/>
                      <w:bCs/>
                      <w:color w:val="auto"/>
                      <w:szCs w:val="21"/>
                      <w:highlight w:val="none"/>
                      <w:lang w:val="en-US" w:eastAsia="zh-CN"/>
                    </w:rPr>
                    <w:t>情况</w:t>
                  </w:r>
                </w:p>
              </w:tc>
              <w:tc>
                <w:tcPr>
                  <w:tcW w:w="709" w:type="pct"/>
                  <w:tcBorders>
                    <w:tl2br w:val="nil"/>
                    <w:tr2bl w:val="nil"/>
                  </w:tcBorders>
                  <w:vAlign w:val="center"/>
                </w:tcPr>
                <w:p>
                  <w:pPr>
                    <w:pStyle w:val="35"/>
                    <w:spacing w:line="240" w:lineRule="auto"/>
                    <w:ind w:left="0" w:leftChars="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w:t>
                  </w:r>
                  <w:r>
                    <w:rPr>
                      <w:rFonts w:hint="default" w:ascii="Times New Roman" w:hAnsi="Times New Roman" w:cs="Times New Roman"/>
                      <w:color w:val="auto"/>
                      <w:sz w:val="21"/>
                      <w:szCs w:val="21"/>
                      <w:highlight w:val="none"/>
                    </w:rPr>
                    <w:t>坚持绿色发展，优化产业结构、规划布局。坚持以环境质量改善为核心，遵循生态优先、绿色发展原则，依据区域环境和资源禀赋条件，合理确定园区各片区，尤其是拉依苏石油化工区发展定位、产业结构和规划布局。切实落实《报告书》提出的规划优化调整意见和生态环境保护对策措施，促进园区发展和环境保护相协调。严格按照集约开发的原则，优化土地用地布局，促进产业集聚，提高土地集约利用效率。</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位于轮台工业园区红桥石油服务区内的装备制造及油田技术服务区，产品为预制舱（结构性金属制品制造），符合该片区“以石油装备制造及技术服务产业为主导”的发展定位。项目用地性质为二类工业用地，符合园区集约用地布局要求，有助于促进产业集聚，提高土地集约利用效率。</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37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衔接生态环保要求，严格环境准入。按照规划产业布局入驻企业，结合区域发展定位、开发布局、生态环境保护目标，实行入园企业生态环境准入审核，不符合产业政策、行业准入条件、生态环境准入清单及国家、自治区明令禁止的项目一律不得入驻园区。引进项目的生产工艺、设备、污染治理技术，以及单位产品能耗、物耗、污染物排放和资源利用效率均需达到同行业国内先进水平</w:t>
                  </w:r>
                  <w:r>
                    <w:rPr>
                      <w:rFonts w:hint="default" w:ascii="Times New Roman" w:hAnsi="Times New Roman" w:cs="Times New Roman"/>
                      <w:color w:val="auto"/>
                      <w:sz w:val="21"/>
                      <w:szCs w:val="21"/>
                      <w:highlight w:val="none"/>
                      <w:lang w:eastAsia="zh-CN"/>
                    </w:rPr>
                    <w:t>。</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本项目为重点管控单元，管控单元名称为</w:t>
                  </w:r>
                  <w:r>
                    <w:rPr>
                      <w:rFonts w:hint="default" w:ascii="Times New Roman" w:hAnsi="Times New Roman" w:cs="Times New Roman"/>
                      <w:color w:val="auto"/>
                      <w:sz w:val="21"/>
                      <w:szCs w:val="21"/>
                      <w:highlight w:val="none"/>
                      <w:lang w:val="en-US" w:eastAsia="zh-CN"/>
                    </w:rPr>
                    <w:t>轮台</w:t>
                  </w:r>
                  <w:r>
                    <w:rPr>
                      <w:rFonts w:hint="default" w:ascii="Times New Roman" w:hAnsi="Times New Roman" w:cs="Times New Roman"/>
                      <w:color w:val="auto"/>
                      <w:sz w:val="21"/>
                      <w:szCs w:val="21"/>
                      <w:highlight w:val="none"/>
                    </w:rPr>
                    <w:t>工业园，单元编号为ZH65282220004，符合</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巴音郭楞蒙古自治州生态环境准入清单（2023年》要求，项目位于轮台工业园区红桥石油服务区内的装备制造及油田技术服务区，用地性质为二类工业用地，符合园区用地规划，各项污染物按要求处理处置，不突破区域生态保护红线、环境质量底线和资源利用上线。</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（三）</w:t>
                  </w:r>
                  <w:r>
                    <w:rPr>
                      <w:rFonts w:hint="default" w:ascii="Times New Roman" w:hAnsi="Times New Roman" w:cs="Times New Roman"/>
                      <w:color w:val="auto"/>
                      <w:sz w:val="21"/>
                      <w:szCs w:val="21"/>
                      <w:highlight w:val="none"/>
                    </w:rPr>
                    <w:t>严守生态保护红线，加强空间管控。衔接巴音郭楞蒙古自治州及轮台县国土空间规划及生态环境分区管控要求，严格控制园区开发范围，明确各功能区用地要求，合理开发利用。重点关注区域大气环境质量、地下水环境、土壤环境、环境风险，对园区内企业提出具体管控要求。根据园区产业结构和产业链，完善生态环境准入清单，落实园区所在生态环境管控单元的管控要求，切实保障规划实施不突破区域生态保护红线、环境质量底线和资源利用上线。</w:t>
                  </w:r>
                </w:p>
              </w:tc>
              <w:tc>
                <w:tcPr>
                  <w:tcW w:w="1971" w:type="pct"/>
                  <w:tcBorders>
                    <w:tl2br w:val="nil"/>
                    <w:tr2bl w:val="nil"/>
                  </w:tcBorders>
                  <w:vAlign w:val="center"/>
                </w:tcPr>
                <w:p>
                  <w:pPr>
                    <w:spacing w:line="240" w:lineRule="atLeast"/>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位于园区已规划的红桥石油服务区装备制造及油田技术服务区，用地性质为二类工业用地，符合国土空间规划及园区功能区布局要求，不涉及生态保护红线。项目将严格落实针对大气、地下水、土壤的环境保护措施及风险防控要求，确保运营不突破环境质量底线和资源利用上线。</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（四）</w:t>
                  </w:r>
                  <w:r>
                    <w:rPr>
                      <w:rFonts w:hint="default" w:ascii="Times New Roman" w:hAnsi="Times New Roman" w:cs="Times New Roman"/>
                      <w:color w:val="auto"/>
                      <w:sz w:val="21"/>
                      <w:szCs w:val="21"/>
                      <w:highlight w:val="none"/>
                    </w:rPr>
                    <w:t>严格管控区域污染物排放。严格控制开发强度，优化项目建设时序，落实污染物总量控制、减排任务。采取有效措施减少氮氧化物、颗粒物、挥发性有机物等污染物排放量，各类污染物排放须满足国家及自治区最新污染物排放标准要求。深入开展应对气候变化工作，提出污染物协同脱除、减污降碳协同控制要求，严格控制温室气体排放。</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本项目运营期主要污染物为</w:t>
                  </w:r>
                  <w:r>
                    <w:rPr>
                      <w:rFonts w:hint="default" w:ascii="Times New Roman" w:hAnsi="Times New Roman" w:cs="Times New Roman"/>
                      <w:color w:val="auto"/>
                      <w:highlight w:val="none"/>
                      <w:lang w:val="en-US" w:eastAsia="zh-CN"/>
                    </w:rPr>
                    <w:t>颗粒物、非甲烷总烃</w:t>
                  </w:r>
                  <w:r>
                    <w:rPr>
                      <w:rFonts w:hint="default" w:ascii="Times New Roman" w:hAnsi="Times New Roman" w:cs="Times New Roman"/>
                      <w:color w:val="auto"/>
                      <w:sz w:val="21"/>
                      <w:szCs w:val="21"/>
                      <w:highlight w:val="none"/>
                    </w:rPr>
                    <w:t>。</w:t>
                  </w:r>
                </w:p>
                <w:p>
                  <w:pPr>
                    <w:pStyle w:val="35"/>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焊接烟尘</w:t>
                  </w:r>
                  <w:r>
                    <w:rPr>
                      <w:rFonts w:hint="default" w:ascii="Times New Roman" w:hAnsi="Times New Roman" w:cs="Times New Roman"/>
                      <w:color w:val="auto"/>
                      <w:sz w:val="21"/>
                      <w:szCs w:val="21"/>
                      <w:highlight w:val="none"/>
                    </w:rPr>
                    <w:t>配置高效焊烟净化器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切割、喷砂工序采用布袋除尘处理；</w:t>
                  </w:r>
                  <w:r>
                    <w:rPr>
                      <w:rFonts w:hint="default" w:ascii="Times New Roman" w:hAnsi="Times New Roman" w:cs="Times New Roman"/>
                      <w:color w:val="auto"/>
                      <w:sz w:val="21"/>
                      <w:szCs w:val="21"/>
                      <w:highlight w:val="none"/>
                    </w:rPr>
                    <w:t>喷涂废气处理系统</w:t>
                  </w:r>
                  <w:r>
                    <w:rPr>
                      <w:rFonts w:hint="default" w:ascii="Times New Roman" w:hAnsi="Times New Roman"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lang w:eastAsia="zh-CN"/>
                    </w:rPr>
                    <w:t>纸盒过滤</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活性炭吸附</w:t>
                  </w:r>
                  <w:r>
                    <w:rPr>
                      <w:rFonts w:hint="default" w:ascii="Times New Roman" w:hAnsi="Times New Roman" w:cs="Times New Roman"/>
                      <w:color w:val="auto"/>
                      <w:sz w:val="21"/>
                      <w:szCs w:val="21"/>
                      <w:highlight w:val="none"/>
                    </w:rPr>
                    <w:t>+催化燃烧装置，确保废气排放满足《大气污染物综合排放标准》（GB16297-1996）等最新标准。通过使用清洁能源、优化工艺降低能耗，实现减污降碳协同控制。</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（五）</w:t>
                  </w:r>
                  <w:r>
                    <w:rPr>
                      <w:rFonts w:hint="default" w:ascii="Times New Roman" w:hAnsi="Times New Roman" w:cs="Times New Roman"/>
                      <w:color w:val="auto"/>
                      <w:sz w:val="21"/>
                      <w:szCs w:val="21"/>
                      <w:highlight w:val="none"/>
                    </w:rPr>
                    <w:t>严格资源利用总量控制，加快基础设施建设。以水资源承载力为基础，坚持“以水定产、以水定量”，合理确定园区用水规模，充分挖掘园区可利用的中水资源，优先采用中水作为水源，提高水资源利用率，最大限度节约新鲜水用量，确保园区工业用水满足水资源“三条红线”指标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完善园区中水回用方案，加快完成园区中水回用系统及回用管网等基础设施建设。加强工业固体废物环境管理，以减量化、资源化、无害化为原则，推进固废资源化利用</w:t>
                  </w:r>
                  <w:r>
                    <w:rPr>
                      <w:rFonts w:hint="default" w:ascii="Times New Roman" w:hAnsi="Times New Roman" w:cs="Times New Roman"/>
                      <w:color w:val="auto"/>
                      <w:sz w:val="21"/>
                      <w:szCs w:val="21"/>
                      <w:highlight w:val="none"/>
                      <w:lang w:eastAsia="zh-CN"/>
                    </w:rPr>
                    <w:t>。</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生活用水为园区管网提供，食堂废水经隔油池处理后，与生活污水一同排入园区污水管网，最终进入轮台县新城区污水处理厂处理。金属边角料、废焊材、除尘灰等一般固废分类收集后外售综合利用；漆渣、废油漆桶、废活性炭、废催化剂、废机油、</w:t>
                  </w:r>
                  <w:r>
                    <w:rPr>
                      <w:rFonts w:hint="eastAsia" w:cs="Times New Roman"/>
                      <w:color w:val="auto"/>
                      <w:sz w:val="21"/>
                      <w:szCs w:val="21"/>
                      <w:highlight w:val="none"/>
                      <w:lang w:val="en-US" w:eastAsia="zh-CN"/>
                    </w:rPr>
                    <w:t>废油桶及含油抹布、手套</w:t>
                  </w:r>
                  <w:r>
                    <w:rPr>
                      <w:rFonts w:hint="default" w:ascii="Times New Roman" w:hAnsi="Times New Roman" w:cs="Times New Roman"/>
                      <w:color w:val="auto"/>
                      <w:sz w:val="21"/>
                      <w:szCs w:val="21"/>
                      <w:highlight w:val="none"/>
                      <w:lang w:val="en-US" w:eastAsia="zh-CN"/>
                    </w:rPr>
                    <w:t>等危险废物委托有资质单位处置，实现固废资源化与无害化。</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（六）</w:t>
                  </w:r>
                  <w:r>
                    <w:rPr>
                      <w:rFonts w:hint="default" w:ascii="Times New Roman" w:hAnsi="Times New Roman" w:cs="Times New Roman"/>
                      <w:color w:val="auto"/>
                      <w:sz w:val="21"/>
                      <w:szCs w:val="21"/>
                      <w:highlight w:val="none"/>
                    </w:rPr>
                    <w:t>强化环境风险监控和管理，健全园区环境风险防控、评估和应急响应体系。强化突发环境事件应急响应联动机制，保障生态环境安全。建立完善的环境空气、地下水、土壤等监控体系，落实园区环境质量跟踪监测计划，定期开展监测和评估，并根据监测评估结果及时对规划进行优化调整。加快编制并不断完善突发环境事件应急预案，关注对周边居民区、红桥河等环境敏感目标影响，足额配备应急物资，定期开展应急演练，提升环境风险防控和应急响应能力，防控园区规划实施可能引发的环境风险，保障区域环境安全。</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将编制突发环境事件应急预案并备案，配备应急物资，定期演练。对危险废物贮存库、喷涂区采用全封闭喷漆房等重点区域采取防渗、泄漏收集等措施。运营期落实环境监测计划，重点关注废气排放及敏感目标影响，与园区风险防控体系联动，保障环境安全。</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（七）</w:t>
                  </w:r>
                  <w:r>
                    <w:rPr>
                      <w:rFonts w:hint="default" w:ascii="Times New Roman" w:hAnsi="Times New Roman" w:cs="Times New Roman"/>
                      <w:color w:val="auto"/>
                      <w:sz w:val="21"/>
                      <w:szCs w:val="21"/>
                      <w:highlight w:val="none"/>
                    </w:rPr>
                    <w:t>建立环境影响跟踪评价制度。定期对潜在环境危害进行调查分析、跟踪评价，在《规划》实施过程中，应开展环境影响跟踪评价，及时调整优化总体发展布局和相关环保对策措施实现可持续发展。</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本项目在运营期间，自主建立环境影响跟踪评价工作，根据跟踪评价结论及监测结果，及时优化调整自身环保措施与管理计划。</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319" w:type="pct"/>
                  <w:tcBorders>
                    <w:tl2br w:val="nil"/>
                    <w:tr2bl w:val="nil"/>
                  </w:tcBorders>
                  <w:vAlign w:val="center"/>
                </w:tcPr>
                <w:p>
                  <w:pPr>
                    <w:widowControl/>
                    <w:spacing w:line="240" w:lineRule="auto"/>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（八）</w:t>
                  </w:r>
                  <w:r>
                    <w:rPr>
                      <w:rFonts w:hint="default" w:ascii="Times New Roman" w:hAnsi="Times New Roman" w:cs="Times New Roman"/>
                      <w:color w:val="auto"/>
                      <w:sz w:val="21"/>
                      <w:szCs w:val="21"/>
                      <w:highlight w:val="none"/>
                    </w:rPr>
                    <w:t>建立畅通的公众参与平台，及时解决公众提出的环境问题，满足公众合理的环保诉求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定期发布园区企业环境信息并主动接受社会监督。</w:t>
                  </w:r>
                </w:p>
              </w:tc>
              <w:tc>
                <w:tcPr>
                  <w:tcW w:w="1971" w:type="pct"/>
                  <w:tcBorders>
                    <w:tl2br w:val="nil"/>
                    <w:tr2bl w:val="nil"/>
                  </w:tcBorders>
                  <w:vAlign w:val="center"/>
                </w:tcPr>
                <w:p>
                  <w:pPr>
                    <w:pStyle w:val="35"/>
                    <w:spacing w:line="240" w:lineRule="auto"/>
                    <w:ind w:left="0" w:leftChars="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本项目运营期将定期公开环境信息，设立意见反馈渠道，及时回应公众关切，接受社会监督。</w:t>
                  </w:r>
                </w:p>
              </w:tc>
              <w:tc>
                <w:tcPr>
                  <w:tcW w:w="709" w:type="pct"/>
                  <w:tcBorders>
                    <w:tl2br w:val="nil"/>
                    <w:tr2bl w:val="nil"/>
                  </w:tcBorders>
                  <w:vAlign w:val="center"/>
                </w:tcPr>
                <w:p>
                  <w:pPr>
                    <w:pStyle w:val="35"/>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widowControl/>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本项目建设基本符合新疆维吾尔自治区生态环境厅《关于&lt;轮台工业园区国土空间专项规划（2024-2035年）环境影响报告书&gt;的审查意见》（新环审﹝</w:t>
            </w:r>
            <w:r>
              <w:rPr>
                <w:rFonts w:hint="default" w:ascii="Times New Roman" w:hAnsi="Times New Roman" w:cs="Times New Roman"/>
                <w:color w:val="auto"/>
                <w:highlight w:val="none"/>
                <w:lang w:val="en-US" w:eastAsia="zh-CN"/>
              </w:rPr>
              <w:t>2025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135</w:t>
            </w:r>
            <w:r>
              <w:rPr>
                <w:rFonts w:hint="default" w:ascii="Times New Roman" w:hAnsi="Times New Roman" w:cs="Times New Roman"/>
                <w:color w:val="auto"/>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8" w:type="dxa"/>
            <w:vAlign w:val="center"/>
          </w:tcPr>
          <w:p>
            <w:pPr>
              <w:autoSpaceDE w:val="0"/>
              <w:autoSpaceDN w:val="0"/>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6922" w:type="dxa"/>
            <w:gridSpan w:val="3"/>
            <w:vAlign w:val="center"/>
          </w:tcPr>
          <w:p>
            <w:pPr>
              <w:pStyle w:val="4"/>
              <w:numPr>
                <w:ilvl w:val="0"/>
                <w:numId w:val="0"/>
              </w:numPr>
              <w:adjustRightInd w:val="0"/>
              <w:spacing w:beforeLines="5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产业政策符合性分析</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本项目产品为</w:t>
            </w:r>
            <w:r>
              <w:rPr>
                <w:rFonts w:hint="default" w:ascii="Times New Roman" w:hAnsi="Times New Roman" w:cs="Times New Roman"/>
                <w:color w:val="auto"/>
                <w:highlight w:val="none"/>
                <w:lang w:val="en-US" w:eastAsia="zh-CN"/>
              </w:rPr>
              <w:t>预制舱属于</w:t>
            </w:r>
            <w:r>
              <w:rPr>
                <w:rFonts w:hint="default" w:ascii="Times New Roman" w:hAnsi="Times New Roman" w:cs="Times New Roman"/>
                <w:color w:val="auto"/>
                <w:highlight w:val="none"/>
              </w:rPr>
              <w:t>结构性金属制品制造，根据《产业结构调整指导目录（2024年本）》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本项目所使用的生产工艺技术、设备及产品不属于《产业结构调整指导目录（2024年本）》中的限制类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淘汰类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鼓励类</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本项目视为</w:t>
            </w:r>
            <w:r>
              <w:rPr>
                <w:rFonts w:hint="default" w:ascii="Times New Roman" w:hAnsi="Times New Roman" w:cs="Times New Roman"/>
                <w:color w:val="auto"/>
                <w:highlight w:val="none"/>
              </w:rPr>
              <w:t>允许类。</w:t>
            </w:r>
          </w:p>
          <w:p>
            <w:pPr>
              <w:adjustRightInd w:val="0"/>
              <w:snapToGrid w:val="0"/>
              <w:ind w:firstLine="48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highlight w:val="none"/>
              </w:rPr>
              <w:t>同时，轮台县发展和改革委员会于</w:t>
            </w:r>
            <w:r>
              <w:rPr>
                <w:rFonts w:hint="default" w:ascii="Times New Roman" w:hAnsi="Times New Roman" w:cs="Times New Roman"/>
                <w:color w:val="auto"/>
                <w:highlight w:val="none"/>
                <w:lang w:val="en-US" w:eastAsia="zh-CN"/>
              </w:rPr>
              <w:t>2025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日对本项目进行了备案，备案</w:t>
            </w:r>
            <w:r>
              <w:rPr>
                <w:rFonts w:hint="default" w:ascii="Times New Roman" w:hAnsi="Times New Roman" w:cs="Times New Roman"/>
                <w:color w:val="auto"/>
                <w:highlight w:val="none"/>
                <w:lang w:val="en-US" w:eastAsia="zh-CN"/>
              </w:rPr>
              <w:t>证</w:t>
            </w:r>
            <w:r>
              <w:rPr>
                <w:rFonts w:hint="default" w:ascii="Times New Roman" w:hAnsi="Times New Roman" w:cs="Times New Roman"/>
                <w:color w:val="auto"/>
                <w:highlight w:val="none"/>
              </w:rPr>
              <w:t>号：</w:t>
            </w:r>
            <w:r>
              <w:rPr>
                <w:rFonts w:hint="default" w:ascii="Times New Roman" w:hAnsi="Times New Roman" w:cs="Times New Roman"/>
                <w:color w:val="auto"/>
                <w:szCs w:val="21"/>
                <w:highlight w:val="none"/>
              </w:rPr>
              <w:t>2512251075652822000111</w:t>
            </w:r>
            <w:r>
              <w:rPr>
                <w:rFonts w:hint="default" w:ascii="Times New Roman" w:hAnsi="Times New Roman" w:cs="Times New Roman"/>
                <w:color w:val="auto"/>
                <w:highlight w:val="none"/>
              </w:rPr>
              <w:t>，同意本项目的建设。</w:t>
            </w:r>
          </w:p>
          <w:p>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与《新疆维吾尔自治区生态环境分区管控动态更新成果方案》（新环环评发〔2024〕157号）符合性分析</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新疆维吾尔自治区生态环境分区管控动态更新成果》（新环环评发〔2024〕157号），将本工程与空间布局约束、污染物排放管控、环境风险防控和资源利用要求等相关要求对比分析，对照上述文件，本项目符合性分析见表1-</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pStyle w:val="9"/>
              <w:spacing w:line="24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本项目与《新疆维吾尔自治区生态环境分区管控动态更新成果》（新环环评发〔2024〕157号）相符性分析一览表</w:t>
            </w:r>
          </w:p>
          <w:tbl>
            <w:tblPr>
              <w:tblStyle w:val="21"/>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7"/>
              <w:gridCol w:w="323"/>
              <w:gridCol w:w="500"/>
              <w:gridCol w:w="3044"/>
              <w:gridCol w:w="2038"/>
              <w:gridCol w:w="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8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工程</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A1空间布局约束</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A1.1禁止开发建设的活动</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【A1.1-1】禁止新建、扩建《产业结构调整指导目录</w:t>
                  </w:r>
                  <w:r>
                    <w:rPr>
                      <w:rFonts w:hint="default" w:ascii="Times New Roman" w:hAnsi="Times New Roman" w:eastAsia="宋体" w:cs="Times New Roman"/>
                      <w:color w:val="auto"/>
                      <w:sz w:val="21"/>
                      <w:szCs w:val="21"/>
                      <w:highlight w:val="none"/>
                      <w:lang w:val="en-US" w:eastAsia="zh-CN"/>
                    </w:rPr>
                    <w:t>（2024年本）</w:t>
                  </w:r>
                  <w:r>
                    <w:rPr>
                      <w:rFonts w:hint="default" w:ascii="Times New Roman" w:hAnsi="Times New Roman" w:eastAsia="宋体" w:cs="Times New Roman"/>
                      <w:color w:val="auto"/>
                      <w:sz w:val="21"/>
                      <w:szCs w:val="21"/>
                      <w:highlight w:val="none"/>
                    </w:rPr>
                    <w:t>》中淘汰类项目。禁止引入《市场准入负面清单</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2022年版</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》禁止准入类事项。</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产品为预制舱属于结构性金属制品制造，根据《产业结构调整指导目录（2024年本）》，本项目所使用的生产工艺技术、设备及产品不属于《产业结构调整指导目录（2024年本）》中的限制类、淘汰类、鼓励类，本项目</w:t>
                  </w:r>
                  <w:r>
                    <w:rPr>
                      <w:rFonts w:hint="default" w:ascii="Times New Roman" w:hAnsi="Times New Roman" w:eastAsia="宋体" w:cs="Times New Roman"/>
                      <w:color w:val="auto"/>
                      <w:sz w:val="21"/>
                      <w:szCs w:val="21"/>
                      <w:highlight w:val="none"/>
                      <w:lang w:val="en-US" w:eastAsia="zh-CN"/>
                    </w:rPr>
                    <w:t>视为</w:t>
                  </w:r>
                  <w:r>
                    <w:rPr>
                      <w:rFonts w:hint="default" w:ascii="Times New Roman" w:hAnsi="Times New Roman" w:eastAsia="宋体" w:cs="Times New Roman"/>
                      <w:color w:val="auto"/>
                      <w:sz w:val="21"/>
                      <w:szCs w:val="21"/>
                      <w:highlight w:val="none"/>
                      <w:lang w:eastAsia="zh-CN"/>
                    </w:rPr>
                    <w:t>允许类。</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【A1.1-2】禁止建设不符合国家和自治区环境保护标准的项目。</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执行标准符合国家和自治区环境保护标准</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【A1.1-3】禁止在饮用水水源保护区、风景名胜区、自然保护区的核心区和缓冲区、城镇居民区、文化教育科学研究区等人口集中区域以及法律法规规定的其他禁止养殖区域建设畜禽养殖场、养殖小区。</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【A1.1-4】禁止在水源涵养区、地下水源、饮用水源、自然保护区、风景名胜区、森林公园、重要湿地及人群密集区等生态敏感区域内进行煤炭、石油、天然气开发。</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占地范围内不</w:t>
                  </w:r>
                  <w:r>
                    <w:rPr>
                      <w:rFonts w:hint="default"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rPr>
                    <w:t>水源涵养区、地下水源、饮用水源、自然保护区、风景名胜区、森林公园、重要湿地及人群密集区等生态敏感区域</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】禁止下列破坏湿地及其生态功能的行为：</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（一）开（围）垦、排干自然湿地，永久性截断自然湿地水源；</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（二）擅自填埋自然湿地，擅自采砂、采矿、取土；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（三）排放不符合水污染物排放标准的工业废水、生活污水及其他污染湿地的废水、污水，倾倒、堆放、丢弃、遗撒固体废物；</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（四）过度放牧或者滥采野生植物，过度捕捞或者灭绝式捕捞，过度施肥、投药、投放饵料等污染湿地的种植养殖行为；</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（五）其他破坏湿地及其生态功能的行为。</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【A1.1-6】禁止在自治区行政区域内引进能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耗不符合相关国家标准中准入值要求且污染物排放和环境风险防控不符合国家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地方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标准及有关产业准入条件的高污染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、高能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耗、高环境风险的工业项目。</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不属于高污染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、高能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耗、高环境风险的工业项目</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【A1.1-7】①坚决遏制高耗能高排放低水平项目盲目发展。严把高耗能高排放低水平项目准入关口，严格落实污染物排放区域削减要求，对不符合规定的项目坚决停批停建。依法依规淘汰落后产能和化解过剩产能。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不属于高耗能高排放低水平项目；不属于重点行业企业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不涉及工业炉窑</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A1.2限制开发建设的活动</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【A1.2-1】严格控制缺水地区、水污染严重区域和敏感区域高耗水高污染行业发展。</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不属于高耗水高污染行业</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不占用基本农田</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本项目用地为工业用地，</w:t>
                  </w:r>
                  <w:r>
                    <w:rPr>
                      <w:rFonts w:hint="default" w:ascii="Times New Roman" w:hAnsi="Times New Roman" w:eastAsia="宋体" w:cs="Times New Roman"/>
                      <w:color w:val="auto"/>
                      <w:sz w:val="21"/>
                      <w:szCs w:val="21"/>
                      <w:highlight w:val="none"/>
                    </w:rPr>
                    <w:t>不涉及住宅、公共管理与公共服务用地</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restart"/>
                  <w:tcBorders>
                    <w:tl2br w:val="nil"/>
                    <w:tr2bl w:val="nil"/>
                  </w:tcBorders>
                  <w:noWrap w:val="0"/>
                  <w:vAlign w:val="center"/>
                </w:tcPr>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A1.3不符</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合空</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间布</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局要</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求活</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动的</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退出</w:t>
                  </w:r>
                </w:p>
                <w:p>
                  <w:pPr>
                    <w:keepNext w:val="0"/>
                    <w:keepLines w:val="0"/>
                    <w:widowControl/>
                    <w:suppressLineNumbers w:val="0"/>
                    <w:spacing w:line="240" w:lineRule="auto"/>
                    <w:ind w:left="0" w:leftChars="0"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shd w:val="clear" w:color="auto" w:fill="auto"/>
                  <w:noWrap w:val="0"/>
                  <w:vAlign w:val="center"/>
                </w:tcPr>
                <w:p>
                  <w:pPr>
                    <w:keepNext w:val="0"/>
                    <w:keepLines w:val="0"/>
                    <w:widowControl/>
                    <w:suppressLineNumbers w:val="0"/>
                    <w:spacing w:line="240" w:lineRule="auto"/>
                    <w:ind w:firstLine="420" w:firstLineChars="20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bCs w:val="0"/>
                      <w:color w:val="auto"/>
                      <w:kern w:val="0"/>
                      <w:sz w:val="21"/>
                      <w:szCs w:val="21"/>
                      <w:highlight w:val="none"/>
                      <w:lang w:val="en-US" w:eastAsia="zh-CN" w:bidi="ar"/>
                    </w:rPr>
                    <w:t>A1.3-1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bCs w:val="0"/>
                      <w:color w:val="auto"/>
                      <w:kern w:val="0"/>
                      <w:sz w:val="21"/>
                      <w:szCs w:val="21"/>
                      <w:highlight w:val="none"/>
                      <w:lang w:val="en-US" w:eastAsia="zh-CN" w:bidi="ar"/>
                    </w:rPr>
                    <w:t>任何单位和个人不得在水源涵养区、饮用水水源保护区内和河流、湖泊、水库周围建设重化工、涉重金属等工业污染项目：对已建成的工业污染项目，当地人民政府应当组织限期搬迁。</w:t>
                  </w:r>
                </w:p>
              </w:tc>
              <w:tc>
                <w:tcPr>
                  <w:tcW w:w="1527" w:type="pct"/>
                  <w:tcBorders>
                    <w:tl2br w:val="nil"/>
                    <w:tr2bl w:val="nil"/>
                  </w:tcBorders>
                  <w:shd w:val="clear" w:color="auto" w:fill="auto"/>
                  <w:noWrap w:val="0"/>
                  <w:vAlign w:val="center"/>
                </w:tcPr>
                <w:p>
                  <w:pPr>
                    <w:pStyle w:val="18"/>
                    <w:adjustRightInd w:val="0"/>
                    <w:snapToGrid w:val="0"/>
                    <w:spacing w:line="240" w:lineRule="auto"/>
                    <w:ind w:left="0" w:leftChars="0" w:firstLine="420" w:firstLineChars="20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本项</w:t>
                  </w:r>
                  <w:r>
                    <w:rPr>
                      <w:rFonts w:hint="default" w:ascii="Times New Roman" w:hAnsi="Times New Roman" w:cs="Times New Roman"/>
                      <w:b w:val="0"/>
                      <w:bCs w:val="0"/>
                      <w:color w:val="auto"/>
                      <w:sz w:val="21"/>
                      <w:szCs w:val="21"/>
                      <w:highlight w:val="none"/>
                      <w:lang w:val="en-US" w:eastAsia="zh-CN"/>
                    </w:rPr>
                    <w:t>目不涉及在</w:t>
                  </w:r>
                  <w:r>
                    <w:rPr>
                      <w:rFonts w:hint="default" w:ascii="Times New Roman" w:hAnsi="Times New Roman" w:eastAsia="宋体" w:cs="Times New Roman"/>
                      <w:b w:val="0"/>
                      <w:bCs w:val="0"/>
                      <w:color w:val="auto"/>
                      <w:sz w:val="21"/>
                      <w:szCs w:val="21"/>
                      <w:highlight w:val="none"/>
                      <w:lang w:val="en-US" w:eastAsia="zh-CN"/>
                    </w:rPr>
                    <w:t>水源涵养区、饮用水水源保护区内和河流、湖泊、水库周围建设重化工、涉重金属等工业污染项目。</w:t>
                  </w:r>
                </w:p>
              </w:tc>
              <w:tc>
                <w:tcPr>
                  <w:tcW w:w="328" w:type="pct"/>
                  <w:tcBorders>
                    <w:tl2br w:val="nil"/>
                    <w:tr2bl w:val="nil"/>
                  </w:tcBorders>
                  <w:shd w:val="clear" w:color="auto" w:fill="auto"/>
                  <w:noWrap w:val="0"/>
                  <w:vAlign w:val="center"/>
                </w:tcPr>
                <w:p>
                  <w:pPr>
                    <w:pStyle w:val="18"/>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〔A1.3-2〕对不符合国家产业政策、严重污染水环境的生产项目全部予以取缔。</w:t>
                  </w:r>
                </w:p>
              </w:tc>
              <w:tc>
                <w:tcPr>
                  <w:tcW w:w="1527" w:type="pct"/>
                  <w:tcBorders>
                    <w:tl2br w:val="nil"/>
                    <w:tr2bl w:val="nil"/>
                  </w:tcBorders>
                  <w:noWrap w:val="0"/>
                  <w:vAlign w:val="center"/>
                </w:tcPr>
                <w:p>
                  <w:pPr>
                    <w:pStyle w:val="18"/>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本项目产品为预制舱属于结构性金属制品制造</w:t>
                  </w:r>
                  <w:r>
                    <w:rPr>
                      <w:rFonts w:hint="default" w:ascii="Times New Roman" w:hAnsi="Times New Roman" w:eastAsia="宋体" w:cs="Times New Roman"/>
                      <w:b w:val="0"/>
                      <w:bCs w:val="0"/>
                      <w:color w:val="auto"/>
                      <w:sz w:val="21"/>
                      <w:szCs w:val="21"/>
                      <w:highlight w:val="none"/>
                      <w:lang w:val="en-US" w:eastAsia="zh-CN"/>
                    </w:rPr>
                    <w:t>，不属于不符合国家产业政策、严重污染水环境的生产项目。</w:t>
                  </w:r>
                </w:p>
              </w:tc>
              <w:tc>
                <w:tcPr>
                  <w:tcW w:w="328" w:type="pct"/>
                  <w:tcBorders>
                    <w:tl2br w:val="nil"/>
                    <w:tr2bl w:val="nil"/>
                  </w:tcBorders>
                  <w:noWrap w:val="0"/>
                  <w:vAlign w:val="center"/>
                </w:tcPr>
                <w:p>
                  <w:pPr>
                    <w:pStyle w:val="18"/>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p>
                  <w:pPr>
                    <w:pStyle w:val="54"/>
                    <w:adjustRightInd w:val="0"/>
                    <w:snapToGrid w:val="0"/>
                    <w:spacing w:after="0" w:line="240" w:lineRule="auto"/>
                    <w:ind w:firstLine="420" w:firstLineChars="200"/>
                    <w:jc w:val="both"/>
                    <w:rPr>
                      <w:rFonts w:hint="default" w:ascii="Times New Roman" w:hAnsi="Times New Roman" w:eastAsia="宋体" w:cs="Times New Roman"/>
                      <w:color w:val="auto"/>
                      <w:sz w:val="21"/>
                      <w:szCs w:val="21"/>
                      <w:highlight w:val="none"/>
                    </w:rPr>
                  </w:pPr>
                </w:p>
              </w:tc>
              <w:tc>
                <w:tcPr>
                  <w:tcW w:w="1527" w:type="pct"/>
                  <w:tcBorders>
                    <w:tl2br w:val="nil"/>
                    <w:tr2bl w:val="nil"/>
                  </w:tcBorders>
                  <w:noWrap w:val="0"/>
                  <w:vAlign w:val="center"/>
                </w:tcPr>
                <w:p>
                  <w:pPr>
                    <w:pStyle w:val="18"/>
                    <w:adjustRightInd w:val="0"/>
                    <w:snapToGrid w:val="0"/>
                    <w:spacing w:line="240" w:lineRule="auto"/>
                    <w:ind w:left="0" w:lef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本工程不涉及重金属落后产能和化解过剩产能。</w:t>
                  </w:r>
                </w:p>
              </w:tc>
              <w:tc>
                <w:tcPr>
                  <w:tcW w:w="328" w:type="pct"/>
                  <w:tcBorders>
                    <w:tl2br w:val="nil"/>
                    <w:tr2bl w:val="nil"/>
                  </w:tcBorders>
                  <w:noWrap w:val="0"/>
                  <w:vAlign w:val="center"/>
                </w:tcPr>
                <w:p>
                  <w:pPr>
                    <w:pStyle w:val="18"/>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〔A1.3-4〕城市建成区、重点流域内已建成投产化工企业和危险化学品生产企业应加快退城入园，搬入化工园区前企业不应实施改扩建工程扩大生产规模。</w:t>
                  </w:r>
                </w:p>
              </w:tc>
              <w:tc>
                <w:tcPr>
                  <w:tcW w:w="1527" w:type="pct"/>
                  <w:tcBorders>
                    <w:tl2br w:val="nil"/>
                    <w:tr2bl w:val="nil"/>
                  </w:tcBorders>
                  <w:noWrap w:val="0"/>
                  <w:vAlign w:val="center"/>
                </w:tcPr>
                <w:p>
                  <w:pPr>
                    <w:pStyle w:val="18"/>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本项目不涉及生产危险化学品。</w:t>
                  </w:r>
                </w:p>
              </w:tc>
              <w:tc>
                <w:tcPr>
                  <w:tcW w:w="328" w:type="pct"/>
                  <w:tcBorders>
                    <w:tl2br w:val="nil"/>
                    <w:tr2bl w:val="nil"/>
                  </w:tcBorders>
                  <w:noWrap w:val="0"/>
                  <w:vAlign w:val="center"/>
                </w:tcPr>
                <w:p>
                  <w:pPr>
                    <w:pStyle w:val="18"/>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A1.4</w:t>
                  </w:r>
                  <w:r>
                    <w:rPr>
                      <w:rFonts w:hint="default"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布局要求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【A1.4-1】一切开发建设活动应符合国家、自治区主体功能区规划自治区和各地颁布实施的生态环境功能</w:t>
                  </w:r>
                  <w:r>
                    <w:rPr>
                      <w:rFonts w:hint="default" w:ascii="Times New Roman" w:hAnsi="Times New Roman" w:eastAsia="宋体" w:cs="Times New Roman"/>
                      <w:color w:val="auto"/>
                      <w:sz w:val="21"/>
                      <w:szCs w:val="21"/>
                      <w:highlight w:val="none"/>
                      <w:lang w:val="en-US" w:eastAsia="zh-CN"/>
                    </w:rPr>
                    <w:t>规</w:t>
                  </w:r>
                  <w:r>
                    <w:rPr>
                      <w:rFonts w:hint="default" w:ascii="Times New Roman" w:hAnsi="Times New Roman" w:eastAsia="宋体" w:cs="Times New Roman"/>
                      <w:color w:val="auto"/>
                      <w:sz w:val="21"/>
                      <w:szCs w:val="21"/>
                      <w:highlight w:val="none"/>
                    </w:rPr>
                    <w:t>划、国民经济发展规划、产业发展规划、国土空间规划等相关规划及重点生态功能区负面清单要求，符合区域或产业规划环评要求。</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与区域主体功能区划目标相协调，符合规划及规划环评</w:t>
                  </w:r>
                  <w:r>
                    <w:rPr>
                      <w:rFonts w:hint="default" w:ascii="Times New Roman" w:hAnsi="Times New Roman" w:eastAsia="宋体" w:cs="Times New Roman"/>
                      <w:color w:val="auto"/>
                      <w:sz w:val="21"/>
                      <w:szCs w:val="21"/>
                      <w:highlight w:val="none"/>
                      <w:lang w:val="en-US" w:eastAsia="zh-CN"/>
                    </w:rPr>
                    <w:t>要求。</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A2污染物排放管控</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A2.1污染物削减/替代要求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2.1-1】新、改、扩建重点行业建设项目应符合“三线一单”、产业政策、区域环评、规划环评和行业环境准入管控要求。重点区域的新、改、扩建重点行业建设项目应遵循重点重金属污染物排放“减量替代”原则。</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不属于重点行业建设项目</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本项目排放污染物主要为颗粒物</w:t>
                  </w: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lang w:val="en-US" w:eastAsia="zh-CN"/>
                    </w:rPr>
                    <w:t>袋式除尘</w:t>
                  </w:r>
                  <w:r>
                    <w:rPr>
                      <w:rFonts w:hint="default" w:ascii="Times New Roman" w:hAnsi="Times New Roman" w:eastAsia="宋体" w:cs="Times New Roman"/>
                      <w:color w:val="auto"/>
                      <w:sz w:val="21"/>
                      <w:szCs w:val="21"/>
                      <w:highlight w:val="none"/>
                      <w:lang w:eastAsia="zh-CN"/>
                    </w:rPr>
                    <w:t>器</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rPr>
                    <w:t>喷涂工序的漆物颗粒、VOCs采用纸盒过滤+活性炭吸附+催化燃烧装置确保达标排放。</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A2.2污染控制措施要求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-2】实施重点行业氮氧化物等污染物深度治理。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【A2.2-4】强化用水定额管理。推进地下水超采综合治理。开展河湖生态流量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确定工作，强化生态用水保障。</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本项目运营期间主要为</w:t>
                  </w:r>
                  <w:r>
                    <w:rPr>
                      <w:rFonts w:hint="eastAsia" w:cs="Times New Roman"/>
                      <w:color w:val="auto"/>
                      <w:sz w:val="21"/>
                      <w:szCs w:val="21"/>
                      <w:highlight w:val="none"/>
                      <w:lang w:val="en-US" w:eastAsia="zh-CN"/>
                    </w:rPr>
                    <w:t>生活用水、食堂用水</w:t>
                  </w:r>
                  <w:r>
                    <w:rPr>
                      <w:rFonts w:hint="default" w:ascii="Times New Roman" w:hAnsi="Times New Roman" w:eastAsia="宋体" w:cs="Times New Roman"/>
                      <w:color w:val="auto"/>
                      <w:sz w:val="21"/>
                      <w:szCs w:val="21"/>
                      <w:highlight w:val="none"/>
                      <w:lang w:val="en-US" w:eastAsia="zh-CN"/>
                    </w:rPr>
                    <w:t>，食堂废水经隔油池处理后，与生活污水一同排入园区污水管网，最终进入轮台县新城区污水处理厂处理</w:t>
                  </w:r>
                  <w:r>
                    <w:rPr>
                      <w:rFonts w:hint="default" w:ascii="Times New Roman" w:hAnsi="Times New Roman" w:cs="Times New Roman"/>
                      <w:color w:val="auto"/>
                      <w:sz w:val="21"/>
                      <w:szCs w:val="21"/>
                      <w:highlight w:val="none"/>
                      <w:lang w:val="en-US" w:eastAsia="zh-CN"/>
                    </w:rPr>
                    <w:t>。不涉及开采地下水</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56"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A2.2污染控制措施要求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本项目运营期间主要为</w:t>
                  </w:r>
                  <w:r>
                    <w:rPr>
                      <w:rFonts w:hint="eastAsia" w:cs="Times New Roman"/>
                      <w:color w:val="auto"/>
                      <w:sz w:val="21"/>
                      <w:szCs w:val="21"/>
                      <w:highlight w:val="none"/>
                      <w:lang w:val="en-US" w:eastAsia="zh-CN"/>
                    </w:rPr>
                    <w:t>生活用水、食堂用水</w:t>
                  </w:r>
                  <w:r>
                    <w:rPr>
                      <w:rFonts w:hint="default" w:ascii="Times New Roman" w:hAnsi="Times New Roman" w:eastAsia="宋体" w:cs="Times New Roman"/>
                      <w:color w:val="auto"/>
                      <w:sz w:val="21"/>
                      <w:szCs w:val="21"/>
                      <w:highlight w:val="none"/>
                      <w:lang w:val="en-US" w:eastAsia="zh-CN"/>
                    </w:rPr>
                    <w:t>，食堂废水经隔油池处理后，与生活污水一同排入园区污水管网，最终进入轮台县新城区污水处理厂处理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不会超过用水总量控制指标</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A2污染物排放管控</w:t>
                  </w: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A2.2污染控制措施要求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A3环境风险防控</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A3.1人居环境要求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【A3.1-1】建立和完善重污染天气兵地联合应急预案、预报预警应急机制和会商联动机制。“乌一昌一石”区域内可能影响相邻行政区域大气环境的项目，兵地间、城市间必须相互征求意见。</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【A3.1-3】强化重污染天气监测预报预警能力，建立和完善重污染天气兵地联合应急预案、预警应急机制和会商联动机制，加强轻、中度污染天气管控。</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【A3.2-2】依法推行农用地分类管理制度，强化受污染耕地安全利用和风险管控。因地制宜制定实施安全利用方案，鼓励采取种植结构调整等措施，确保受污染耕地全部实现安全利用。</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A3环境风险防控</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联防联控要求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-4】加强环境风险预警防控。加强涉危险物企业、涉重金属企业、化工园区、集中式饮用水水源地及重点流域环境风险调查评估，实施分类分级风险管控，协同推进重点区域、流域生态环境污染综合防治、风险防控与生态修复。</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本项目生产</w:t>
                  </w:r>
                  <w:r>
                    <w:rPr>
                      <w:rFonts w:hint="default" w:ascii="Times New Roman" w:hAnsi="Times New Roman" w:cs="Times New Roman"/>
                      <w:color w:val="auto"/>
                      <w:sz w:val="21"/>
                      <w:szCs w:val="21"/>
                      <w:highlight w:val="none"/>
                      <w:lang w:val="en-US" w:eastAsia="zh-CN"/>
                    </w:rPr>
                    <w:t>过程产生危险废物漆渣、废纸盒滤芯、废油漆桶、废活性炭、废催化剂、废机油、</w:t>
                  </w:r>
                  <w:r>
                    <w:rPr>
                      <w:rFonts w:hint="eastAsia" w:cs="Times New Roman"/>
                      <w:color w:val="auto"/>
                      <w:sz w:val="21"/>
                      <w:szCs w:val="21"/>
                      <w:highlight w:val="none"/>
                      <w:lang w:val="en-US" w:eastAsia="zh-CN"/>
                    </w:rPr>
                    <w:t>废油桶及含油抹布、手套</w:t>
                  </w:r>
                  <w:r>
                    <w:rPr>
                      <w:rFonts w:hint="eastAsia" w:ascii="Times New Roman" w:hAnsi="Times New Roman" w:cs="Times New Roman"/>
                      <w:color w:val="auto"/>
                      <w:sz w:val="21"/>
                      <w:szCs w:val="21"/>
                      <w:highlight w:val="none"/>
                      <w:lang w:val="en-US" w:eastAsia="zh-CN"/>
                    </w:rPr>
                    <w:t>，统一收集暂存，定期交由有资质的单位处理</w:t>
                  </w:r>
                  <w:r>
                    <w:rPr>
                      <w:rFonts w:hint="default" w:ascii="Times New Roman" w:hAnsi="Times New Roman" w:eastAsia="宋体" w:cs="Times New Roman"/>
                      <w:color w:val="auto"/>
                      <w:sz w:val="21"/>
                      <w:szCs w:val="21"/>
                      <w:highlight w:val="none"/>
                      <w:lang w:val="en-US"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企业依法编制突发环境事件应急预案。完善应急处置物资储备系统，委托有资质第三方开展应急监测，定期开展应急演练，增强实战能力。</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A4资源</w:t>
                  </w:r>
                  <w:r>
                    <w:rPr>
                      <w:rFonts w:hint="default" w:ascii="Times New Roman" w:hAnsi="Times New Roman" w:eastAsia="宋体" w:cs="Times New Roman"/>
                      <w:color w:val="auto"/>
                      <w:sz w:val="21"/>
                      <w:szCs w:val="21"/>
                      <w:highlight w:val="none"/>
                      <w:lang w:val="en-US" w:eastAsia="zh-CN"/>
                    </w:rPr>
                    <w:t>利用要求</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水资源</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【A4.1-1】自治区用水总量2025年、2030年控制在国家下达的指标内。</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本项目运营期间主要为</w:t>
                  </w:r>
                  <w:r>
                    <w:rPr>
                      <w:rFonts w:hint="eastAsia" w:cs="Times New Roman"/>
                      <w:color w:val="auto"/>
                      <w:sz w:val="21"/>
                      <w:szCs w:val="21"/>
                      <w:highlight w:val="none"/>
                      <w:lang w:val="en-US" w:eastAsia="zh-CN"/>
                    </w:rPr>
                    <w:t>生活用水、食堂用水</w:t>
                  </w:r>
                  <w:r>
                    <w:rPr>
                      <w:rFonts w:hint="default" w:ascii="Times New Roman" w:hAnsi="Times New Roman" w:eastAsia="宋体" w:cs="Times New Roman"/>
                      <w:color w:val="auto"/>
                      <w:sz w:val="21"/>
                      <w:szCs w:val="21"/>
                      <w:highlight w:val="none"/>
                      <w:lang w:val="en-US" w:eastAsia="zh-CN"/>
                    </w:rPr>
                    <w:t>，食堂废水经隔油池处理后，与生活污水一同排入园区污水管网，最终进入轮台县新城区污水处理厂处理</w:t>
                  </w:r>
                  <w:r>
                    <w:rPr>
                      <w:rFonts w:hint="default" w:ascii="Times New Roman" w:hAnsi="Times New Roman" w:cs="Times New Roman"/>
                      <w:color w:val="auto"/>
                      <w:sz w:val="21"/>
                      <w:szCs w:val="21"/>
                      <w:highlight w:val="none"/>
                      <w:lang w:val="en-US"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【A4.1-2】加大城镇污水再生利用工程建设力度，推进区域再生水循环利用，到2025年，城市生活污水再生利用率力争达到60%。</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【A4.1-3】加强农村水利基础设施建设，推进农村供水保障工程，农村自来水普及率、集中供水率分别达到99.3%、99.7%。</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r>
                    <w:rPr>
                      <w:rFonts w:hint="eastAsia"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p>
                  <w:pPr>
                    <w:bidi w:val="0"/>
                    <w:jc w:val="center"/>
                    <w:rPr>
                      <w:rFonts w:hint="default" w:ascii="Times New Roman" w:hAnsi="Times New Roman" w:eastAsia="宋体" w:cs="Times New Roman"/>
                      <w:color w:val="auto"/>
                      <w:kern w:val="2"/>
                      <w:sz w:val="24"/>
                      <w:szCs w:val="24"/>
                      <w:highlight w:val="none"/>
                      <w:lang w:val="en-US" w:eastAsia="zh-CN" w:bidi="ar-SA"/>
                    </w:rPr>
                  </w:pPr>
                </w:p>
                <w:p>
                  <w:pPr>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新疆维吾尔自治区总体管控要求</w:t>
                  </w: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】地下水资源利用实行总量控制和水位控制。取用地下水资源，应当按照国家和自治区有关规定申请取水许可。地下水利用应当以浅层地下水为主。</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本项目用水为园区供水管网提供，不取用地下水。</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A4.2土地资源</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【A4.2-1】土地资源上线指标控制在最终批复的国土空间规划控制指标内。</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对土地资源占用较少，土地资源消耗符合要求</w:t>
                  </w:r>
                  <w:r>
                    <w:rPr>
                      <w:rFonts w:hint="default" w:ascii="Times New Roman" w:hAnsi="Times New Roman" w:eastAsia="宋体" w:cs="Times New Roman"/>
                      <w:color w:val="auto"/>
                      <w:sz w:val="21"/>
                      <w:szCs w:val="21"/>
                      <w:highlight w:val="none"/>
                      <w:lang w:eastAsia="zh-CN"/>
                    </w:rPr>
                    <w:t>。</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A4.3能源利用</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【A4.3-1】单位地区生产总值二氧化碳排放降低水平完成国家下达指标。</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【A4.3-2】到2025年，自治区万元国内生产总值能耗比2020年下降14.5%。</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【A4.3-3】到2025年，非化石能源占一次能源消费比重达18%以上</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【A4.3-4】鼓励使用清洁能源或电厂热力、工业余热等替代锅炉炉窑燃料用煤。</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A4.4禁燃区要求</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【A4.4-1】在禁燃区内，禁止销售、燃用高污染燃料；禁止新建、扩建燃用高污染燃料的设施。已建成的，应当在规定期限内改用清洁能源。</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不涉及</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A4.5资源综合利用</w:t>
                  </w: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生活垃圾处理设施，到2025年，全疆城市生活垃圾无害化处理率达到99%以上。</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项目生产过程中产生的金属边角料、废焊材、除尘灰等一般固废分类收集后外售综合利用；漆渣、废油漆桶、废活性炭、废催化剂、废机油、</w:t>
                  </w:r>
                  <w:r>
                    <w:rPr>
                      <w:rFonts w:hint="eastAsia" w:cs="Times New Roman"/>
                      <w:color w:val="auto"/>
                      <w:sz w:val="21"/>
                      <w:szCs w:val="21"/>
                      <w:highlight w:val="none"/>
                      <w:lang w:val="en-US" w:eastAsia="zh-CN"/>
                    </w:rPr>
                    <w:t>废油桶及含油抹布、手套及含油、抹布</w:t>
                  </w:r>
                  <w:r>
                    <w:rPr>
                      <w:rFonts w:hint="default" w:ascii="Times New Roman" w:hAnsi="Times New Roman" w:cs="Times New Roman"/>
                      <w:color w:val="auto"/>
                      <w:sz w:val="21"/>
                      <w:szCs w:val="21"/>
                      <w:highlight w:val="none"/>
                      <w:lang w:val="en-US" w:eastAsia="zh-CN"/>
                    </w:rPr>
                    <w:t>等危险废物委托有资质单位处置，实现固废资源化与无害化。</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【A4.5-2】推动工业固废按元素价值综合开发利用，加快推进尾矿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共伴生矿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项目生产过程中产生的金属边角料、废焊材、除尘灰等一般固废分类收集后外售综合利用；漆渣、废油漆桶、废活性炭、废催化剂、废机油、</w:t>
                  </w:r>
                  <w:r>
                    <w:rPr>
                      <w:rFonts w:hint="eastAsia" w:cs="Times New Roman"/>
                      <w:color w:val="auto"/>
                      <w:sz w:val="21"/>
                      <w:szCs w:val="21"/>
                      <w:highlight w:val="none"/>
                      <w:lang w:val="en-US" w:eastAsia="zh-CN"/>
                    </w:rPr>
                    <w:t>废油桶及含油抹布、手套</w:t>
                  </w:r>
                  <w:r>
                    <w:rPr>
                      <w:rFonts w:hint="default" w:ascii="Times New Roman" w:hAnsi="Times New Roman" w:cs="Times New Roman"/>
                      <w:color w:val="auto"/>
                      <w:sz w:val="21"/>
                      <w:szCs w:val="21"/>
                      <w:highlight w:val="none"/>
                      <w:lang w:val="en-US" w:eastAsia="zh-CN"/>
                    </w:rPr>
                    <w:t>等危险废物委托有资质单位处置，实现固废资源化与无害化。</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2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w:t>
                  </w:r>
                  <w:r>
                    <w:rPr>
                      <w:rFonts w:hint="default" w:ascii="Times New Roman" w:hAnsi="Times New Roman" w:cs="Times New Roman"/>
                      <w:color w:val="auto"/>
                      <w:sz w:val="21"/>
                      <w:szCs w:val="21"/>
                      <w:highlight w:val="none"/>
                      <w:lang w:eastAsia="zh-CN"/>
                    </w:rPr>
                    <w:t>有机</w:t>
                  </w:r>
                  <w:r>
                    <w:rPr>
                      <w:rFonts w:hint="default" w:ascii="Times New Roman" w:hAnsi="Times New Roman" w:eastAsia="宋体" w:cs="Times New Roman"/>
                      <w:color w:val="auto"/>
                      <w:sz w:val="21"/>
                      <w:szCs w:val="21"/>
                      <w:highlight w:val="none"/>
                    </w:rPr>
                    <w:t>组分、生产建材、筑路、生态修复、土壤治理等领域的规模化利用。</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项目生产过程中产生的金属边角料、废焊材、除尘灰等一般固废分类收集后外售综合利用；漆渣、废油漆桶、废活性炭、废催化剂、废机油、</w:t>
                  </w:r>
                  <w:r>
                    <w:rPr>
                      <w:rFonts w:hint="eastAsia" w:cs="Times New Roman"/>
                      <w:color w:val="auto"/>
                      <w:sz w:val="21"/>
                      <w:szCs w:val="21"/>
                      <w:highlight w:val="none"/>
                      <w:lang w:val="en-US" w:eastAsia="zh-CN"/>
                    </w:rPr>
                    <w:t>废油桶及含油抹布、手套</w:t>
                  </w:r>
                  <w:r>
                    <w:rPr>
                      <w:rFonts w:hint="default" w:ascii="Times New Roman" w:hAnsi="Times New Roman" w:cs="Times New Roman"/>
                      <w:color w:val="auto"/>
                      <w:sz w:val="21"/>
                      <w:szCs w:val="21"/>
                      <w:highlight w:val="none"/>
                      <w:lang w:val="en-US" w:eastAsia="zh-CN"/>
                    </w:rPr>
                    <w:t>等危险废物委托有资质单位处置，实现固废资源化与无害化。</w:t>
                  </w:r>
                </w:p>
              </w:tc>
              <w:tc>
                <w:tcPr>
                  <w:tcW w:w="3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与《巴音郭楞蒙古自治州生态环境准入清单（2023年）》符合性分析</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snapToGrid w:val="0"/>
                <w:color w:val="auto"/>
                <w:spacing w:val="0"/>
                <w:kern w:val="0"/>
                <w:sz w:val="24"/>
                <w:szCs w:val="24"/>
                <w:highlight w:val="none"/>
                <w:lang w:val="en-US" w:eastAsia="zh-CN"/>
              </w:rPr>
            </w:pPr>
            <w:r>
              <w:rPr>
                <w:rFonts w:hint="default" w:ascii="Times New Roman" w:hAnsi="Times New Roman" w:cs="Times New Roman"/>
                <w:b w:val="0"/>
                <w:snapToGrid w:val="0"/>
                <w:color w:val="auto"/>
                <w:spacing w:val="0"/>
                <w:kern w:val="0"/>
                <w:sz w:val="24"/>
                <w:szCs w:val="24"/>
                <w:highlight w:val="none"/>
                <w:lang w:val="en-US" w:eastAsia="zh-CN"/>
              </w:rPr>
              <w:t>2024年12月9日</w:t>
            </w:r>
            <w:r>
              <w:rPr>
                <w:rFonts w:hint="default" w:ascii="Times New Roman" w:hAnsi="Times New Roman" w:eastAsia="宋体" w:cs="Times New Roman"/>
                <w:b w:val="0"/>
                <w:snapToGrid w:val="0"/>
                <w:color w:val="auto"/>
                <w:spacing w:val="0"/>
                <w:kern w:val="0"/>
                <w:sz w:val="24"/>
                <w:szCs w:val="24"/>
                <w:highlight w:val="none"/>
                <w:lang w:val="en-US" w:eastAsia="zh-CN"/>
              </w:rPr>
              <w:t>，巴音郭楞蒙古自治州人民政府办公室发布了关于印发《巴音郭楞蒙古自治州</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三线一单</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生态环境分区管控动态更新成果（2023年）的通知》（巴政办发〔2024〕32号）；根据生态环境部（原环境保护部）《关于以改善环境质量为核心加强环境影响评价管理的通知》（环环评〔2016〕150号）：</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为适应以改善环境质量为核心的环境管理要求，切实加强环境影响评价管理，落实：生态保护红线、环境质量底线、资源利用上线和生态环境准入清单约束</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pacing w:val="-1"/>
                <w:highlight w:val="none"/>
              </w:rPr>
            </w:pPr>
            <w:r>
              <w:rPr>
                <w:rFonts w:hint="default" w:ascii="Times New Roman" w:hAnsi="Times New Roman" w:eastAsia="宋体" w:cs="Times New Roman"/>
                <w:b w:val="0"/>
                <w:snapToGrid w:val="0"/>
                <w:color w:val="auto"/>
                <w:spacing w:val="0"/>
                <w:kern w:val="0"/>
                <w:sz w:val="24"/>
                <w:szCs w:val="24"/>
                <w:highlight w:val="none"/>
                <w:lang w:val="en-US" w:eastAsia="zh-CN"/>
              </w:rPr>
              <w:t>本项目位于轮台工业园，根据《巴音郭楞蒙古自治州生态环境准入清单（2023年）》可知本项目所在区域为重点管控单元</w:t>
            </w:r>
            <w:r>
              <w:rPr>
                <w:rFonts w:hint="default" w:ascii="Times New Roman" w:hAnsi="Times New Roman" w:cs="Times New Roman"/>
                <w:b w:val="0"/>
                <w:snapToGrid w:val="0"/>
                <w:color w:val="auto"/>
                <w:spacing w:val="0"/>
                <w:kern w:val="0"/>
                <w:sz w:val="24"/>
                <w:szCs w:val="24"/>
                <w:highlight w:val="none"/>
                <w:lang w:val="en-US" w:eastAsia="zh-CN"/>
              </w:rPr>
              <w:t>，环境管控单元名单为轮台工业园区</w:t>
            </w:r>
            <w:r>
              <w:rPr>
                <w:rFonts w:hint="default" w:ascii="Times New Roman" w:hAnsi="Times New Roman" w:cs="Times New Roman"/>
                <w:b w:val="0"/>
                <w:i/>
                <w:iCs/>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单元编码：ZH65282220004。</w:t>
            </w:r>
          </w:p>
          <w:p>
            <w:pPr>
              <w:pStyle w:val="34"/>
              <w:spacing w:before="11" w:line="358" w:lineRule="auto"/>
              <w:ind w:left="0" w:leftChars="0" w:right="45" w:firstLine="476" w:firstLineChars="200"/>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本项目与《巴音郭楞蒙古自治州生态环境准入清单（2023年）》符合性分析见表1-</w:t>
            </w:r>
            <w:r>
              <w:rPr>
                <w:rFonts w:hint="eastAsia" w:ascii="Times New Roman" w:hAnsi="Times New Roman" w:cs="Times New Roman"/>
                <w:color w:val="auto"/>
                <w:spacing w:val="-1"/>
                <w:highlight w:val="none"/>
                <w:lang w:val="en-US" w:eastAsia="zh-CN"/>
              </w:rPr>
              <w:t>4</w:t>
            </w:r>
            <w:r>
              <w:rPr>
                <w:rFonts w:hint="default" w:ascii="Times New Roman" w:hAnsi="Times New Roman" w:cs="Times New Roman"/>
                <w:color w:val="auto"/>
                <w:spacing w:val="-1"/>
                <w:highlight w:val="none"/>
              </w:rPr>
              <w:t>，项目环境管控单元分布图见附图3。</w:t>
            </w:r>
          </w:p>
          <w:p>
            <w:pPr>
              <w:pStyle w:val="9"/>
              <w:spacing w:line="240" w:lineRule="atLeas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表1-</w:t>
            </w:r>
            <w:r>
              <w:rPr>
                <w:rFonts w:hint="eastAsia" w:cs="Times New Roman"/>
                <w:color w:val="auto"/>
                <w:highlight w:val="none"/>
                <w:lang w:val="en-US" w:eastAsia="zh-CN"/>
              </w:rPr>
              <w:t>4</w:t>
            </w:r>
            <w:r>
              <w:rPr>
                <w:rFonts w:hint="default" w:ascii="Times New Roman" w:hAnsi="Times New Roman" w:cs="Times New Roman"/>
                <w:color w:val="auto"/>
                <w:highlight w:val="none"/>
              </w:rPr>
              <w:t>本项目与《巴音郭楞蒙古自治州生态环境准入清单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2023年）》符合性</w:t>
            </w:r>
            <w:r>
              <w:rPr>
                <w:rFonts w:hint="default" w:ascii="Times New Roman" w:hAnsi="Times New Roman" w:cs="Times New Roman"/>
                <w:color w:val="auto"/>
                <w:highlight w:val="none"/>
                <w:lang w:val="en-US" w:eastAsia="zh-CN"/>
              </w:rPr>
              <w:t>分析</w:t>
            </w:r>
          </w:p>
          <w:tbl>
            <w:tblPr>
              <w:tblStyle w:val="21"/>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077"/>
              <w:gridCol w:w="2051"/>
              <w:gridCol w:w="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6" w:type="pct"/>
                  <w:tcBorders>
                    <w:tl2br w:val="nil"/>
                    <w:tr2bl w:val="nil"/>
                  </w:tcBorders>
                  <w:shd w:val="pct20" w:color="auto" w:fill="auto"/>
                  <w:vAlign w:val="center"/>
                </w:tcPr>
                <w:p>
                  <w:pPr>
                    <w:pStyle w:val="35"/>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管控</w:t>
                  </w:r>
                </w:p>
                <w:p>
                  <w:pPr>
                    <w:pStyle w:val="35"/>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维度</w:t>
                  </w:r>
                </w:p>
              </w:tc>
              <w:tc>
                <w:tcPr>
                  <w:tcW w:w="2296" w:type="pct"/>
                  <w:tcBorders>
                    <w:tl2br w:val="nil"/>
                    <w:tr2bl w:val="nil"/>
                  </w:tcBorders>
                  <w:shd w:val="pct20" w:color="auto" w:fill="auto"/>
                  <w:vAlign w:val="center"/>
                </w:tcPr>
                <w:p>
                  <w:pPr>
                    <w:pStyle w:val="35"/>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管控要求</w:t>
                  </w:r>
                </w:p>
              </w:tc>
              <w:tc>
                <w:tcPr>
                  <w:tcW w:w="1531" w:type="pct"/>
                  <w:tcBorders>
                    <w:tl2br w:val="nil"/>
                    <w:tr2bl w:val="nil"/>
                  </w:tcBorders>
                  <w:shd w:val="pct20" w:color="auto" w:fill="auto"/>
                  <w:vAlign w:val="center"/>
                </w:tcPr>
                <w:p>
                  <w:pPr>
                    <w:pStyle w:val="35"/>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符合性分析</w:t>
                  </w:r>
                </w:p>
              </w:tc>
              <w:tc>
                <w:tcPr>
                  <w:tcW w:w="605" w:type="pct"/>
                  <w:tcBorders>
                    <w:tl2br w:val="nil"/>
                    <w:tr2bl w:val="nil"/>
                  </w:tcBorders>
                  <w:shd w:val="pct20" w:color="auto" w:fill="auto"/>
                  <w:vAlign w:val="center"/>
                </w:tcPr>
                <w:p>
                  <w:pPr>
                    <w:pStyle w:val="35"/>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6"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296"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禁止引进能（水）耗不符合相关国家标准中准入值要求，且污染物排放和环境风险防控不符合国家（地方）标准及有关产业准入条件的高污染（排放）、高能（水）耗、高环境风险的工业项目。</w:t>
                  </w:r>
                </w:p>
              </w:tc>
              <w:tc>
                <w:tcPr>
                  <w:tcW w:w="1531" w:type="pct"/>
                  <w:tcBorders>
                    <w:tl2br w:val="nil"/>
                    <w:tr2bl w:val="nil"/>
                  </w:tcBorders>
                  <w:vAlign w:val="center"/>
                </w:tcPr>
                <w:p>
                  <w:pPr>
                    <w:spacing w:line="240" w:lineRule="exac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本项目为金属制品制造，</w:t>
                  </w:r>
                  <w:r>
                    <w:rPr>
                      <w:rFonts w:hint="default" w:ascii="Times New Roman" w:hAnsi="Times New Roman" w:cs="Times New Roman"/>
                      <w:color w:val="auto"/>
                      <w:sz w:val="21"/>
                      <w:szCs w:val="21"/>
                      <w:highlight w:val="none"/>
                      <w:lang w:val="en-US" w:eastAsia="zh-CN"/>
                    </w:rPr>
                    <w:t>不属于高污染（排放）、高能（水）耗、高环境风险的工业项目。</w:t>
                  </w:r>
                </w:p>
              </w:tc>
              <w:tc>
                <w:tcPr>
                  <w:tcW w:w="605" w:type="pct"/>
                  <w:tcBorders>
                    <w:tl2br w:val="nil"/>
                    <w:tr2bl w:val="nil"/>
                  </w:tcBorders>
                  <w:vAlign w:val="center"/>
                </w:tcPr>
                <w:p>
                  <w:pPr>
                    <w:spacing w:line="240" w:lineRule="exact"/>
                    <w:ind w:firstLine="420"/>
                    <w:rPr>
                      <w:rFonts w:hint="default" w:ascii="Times New Roman" w:hAnsi="Times New Roman" w:cs="Times New Roman"/>
                      <w:color w:val="auto"/>
                      <w:sz w:val="21"/>
                      <w:szCs w:val="21"/>
                      <w:highlight w:val="none"/>
                    </w:rPr>
                  </w:pPr>
                </w:p>
                <w:p>
                  <w:pPr>
                    <w:spacing w:line="24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93" w:hRule="atLeast"/>
              </w:trPr>
              <w:tc>
                <w:tcPr>
                  <w:tcW w:w="566"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296"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1.大气排放污染物的企业事业单位和其他生产经营者应当履行大气污染防治的法定义务，执行大气污染物排放标准，遵守大气污染物排放总量控制要求。</w:t>
                  </w:r>
                </w:p>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实施挥发性有机物及恶臭治理。加快石化企业脱硫以及动力车间脱硫、脱硝工作，加强罐区油气治理、装卸储运油气回收以及工艺废气挥发性有机物治理、恶臭治理。积极推进陶瓷、玻璃、砖瓦等建材行业二氧化硫、烟粉尘控制。在石化、有机化工、煤化工等重点行业开展挥发性有机物综合治理，在石化行业开展“泄漏检测与修复”技术改造。建立挥发性有机物重点监管企业名录。积极推进加油站、储油库和油罐车开展油气回收，完成所有加油站、储油库和油罐车油气回收治理。</w:t>
                  </w:r>
                </w:p>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3.防治地下水污染。石化生产存贮销售企业和工业园区等区域应进行必要的防渗处理。加油站地下油罐全部更新为双层罐或完成防渗池设置。</w:t>
                  </w:r>
                </w:p>
              </w:tc>
              <w:tc>
                <w:tcPr>
                  <w:tcW w:w="1531" w:type="pct"/>
                  <w:tcBorders>
                    <w:tl2br w:val="nil"/>
                    <w:tr2bl w:val="nil"/>
                  </w:tcBorders>
                  <w:vAlign w:val="center"/>
                </w:tcPr>
                <w:p>
                  <w:pPr>
                    <w:pStyle w:val="11"/>
                    <w:spacing w:line="240" w:lineRule="auto"/>
                    <w:ind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主要污染物为</w:t>
                  </w:r>
                  <w:r>
                    <w:rPr>
                      <w:rFonts w:hint="default" w:ascii="Times New Roman" w:hAnsi="Times New Roman" w:cs="Times New Roman"/>
                      <w:color w:val="auto"/>
                      <w:sz w:val="21"/>
                      <w:szCs w:val="21"/>
                      <w:highlight w:val="none"/>
                      <w:lang w:val="en-US" w:eastAsia="zh-CN"/>
                    </w:rPr>
                    <w:t>颗粒物</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采用布袋除尘进行处理；</w:t>
                  </w:r>
                </w:p>
                <w:p>
                  <w:pPr>
                    <w:pStyle w:val="11"/>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喷涂</w:t>
                  </w:r>
                  <w:r>
                    <w:rPr>
                      <w:rFonts w:hint="default" w:ascii="Times New Roman" w:hAnsi="Times New Roman" w:cs="Times New Roman"/>
                      <w:color w:val="auto"/>
                      <w:sz w:val="21"/>
                      <w:szCs w:val="21"/>
                      <w:highlight w:val="none"/>
                      <w:lang w:val="en-US" w:eastAsia="zh-CN"/>
                    </w:rPr>
                    <w:t>工序的漆物颗粒、</w:t>
                  </w:r>
                  <w:r>
                    <w:rPr>
                      <w:rFonts w:hint="default" w:ascii="Times New Roman" w:hAnsi="Times New Roman" w:cs="Times New Roman"/>
                      <w:color w:val="auto"/>
                      <w:sz w:val="21"/>
                      <w:szCs w:val="21"/>
                      <w:highlight w:val="none"/>
                    </w:rPr>
                    <w:t>VOCs</w:t>
                  </w:r>
                  <w:r>
                    <w:rPr>
                      <w:rFonts w:hint="default" w:ascii="Times New Roman" w:hAnsi="Times New Roman" w:cs="Times New Roman"/>
                      <w:color w:val="auto"/>
                      <w:sz w:val="21"/>
                      <w:szCs w:val="21"/>
                      <w:highlight w:val="none"/>
                      <w:lang w:val="en-US" w:eastAsia="zh-CN"/>
                    </w:rPr>
                    <w:t>采用</w:t>
                  </w:r>
                  <w:r>
                    <w:rPr>
                      <w:rStyle w:val="46"/>
                      <w:rFonts w:hint="default" w:ascii="Times New Roman" w:hAnsi="Times New Roman" w:cs="Times New Roman"/>
                      <w:color w:val="auto"/>
                      <w:highlight w:val="none"/>
                      <w:lang w:val="en-US" w:eastAsia="zh-CN" w:bidi="ar"/>
                    </w:rPr>
                    <w:t>纸盒过滤</w:t>
                  </w:r>
                  <w:r>
                    <w:rPr>
                      <w:rStyle w:val="46"/>
                      <w:rFonts w:hint="default" w:ascii="Times New Roman" w:hAnsi="Times New Roman" w:cs="Times New Roman"/>
                      <w:color w:val="auto"/>
                      <w:highlight w:val="none"/>
                      <w:lang w:bidi="ar"/>
                    </w:rPr>
                    <w:t>+</w:t>
                  </w:r>
                  <w:r>
                    <w:rPr>
                      <w:rStyle w:val="46"/>
                      <w:rFonts w:hint="default" w:ascii="Times New Roman" w:hAnsi="Times New Roman" w:cs="Times New Roman"/>
                      <w:color w:val="auto"/>
                      <w:highlight w:val="none"/>
                      <w:lang w:eastAsia="zh-CN" w:bidi="ar"/>
                    </w:rPr>
                    <w:t>活性炭吸附</w:t>
                  </w:r>
                  <w:r>
                    <w:rPr>
                      <w:rStyle w:val="46"/>
                      <w:rFonts w:hint="default" w:ascii="Times New Roman" w:hAnsi="Times New Roman" w:cs="Times New Roman"/>
                      <w:color w:val="auto"/>
                      <w:highlight w:val="none"/>
                      <w:lang w:bidi="ar"/>
                    </w:rPr>
                    <w:t>+催化燃烧装置</w:t>
                  </w:r>
                  <w:r>
                    <w:rPr>
                      <w:rFonts w:hint="default" w:ascii="Times New Roman" w:hAnsi="Times New Roman" w:cs="Times New Roman"/>
                      <w:color w:val="auto"/>
                      <w:sz w:val="21"/>
                      <w:szCs w:val="21"/>
                      <w:highlight w:val="none"/>
                    </w:rPr>
                    <w:t>确保达标排放。</w:t>
                  </w:r>
                </w:p>
                <w:p>
                  <w:pPr>
                    <w:pStyle w:val="11"/>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项目不涉及石化、有机化工、煤化工等</w:t>
                  </w:r>
                  <w:r>
                    <w:rPr>
                      <w:rFonts w:hint="default" w:ascii="Times New Roman" w:hAnsi="Times New Roman" w:cs="Times New Roman"/>
                      <w:color w:val="auto"/>
                      <w:sz w:val="21"/>
                      <w:szCs w:val="21"/>
                      <w:highlight w:val="none"/>
                    </w:rPr>
                    <w:t>。</w:t>
                  </w:r>
                </w:p>
                <w:p>
                  <w:pPr>
                    <w:pStyle w:val="11"/>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val="en-US" w:eastAsia="zh-CN"/>
                    </w:rPr>
                    <w:t>危险废物贮存库</w:t>
                  </w:r>
                  <w:r>
                    <w:rPr>
                      <w:rFonts w:hint="default" w:ascii="Times New Roman" w:hAnsi="Times New Roman" w:cs="Times New Roman"/>
                      <w:color w:val="auto"/>
                      <w:sz w:val="21"/>
                      <w:szCs w:val="21"/>
                      <w:highlight w:val="none"/>
                    </w:rPr>
                    <w:t>、喷涂</w:t>
                  </w:r>
                  <w:r>
                    <w:rPr>
                      <w:rFonts w:hint="default" w:ascii="Times New Roman" w:hAnsi="Times New Roman" w:cs="Times New Roman"/>
                      <w:color w:val="auto"/>
                      <w:sz w:val="21"/>
                      <w:szCs w:val="21"/>
                      <w:highlight w:val="none"/>
                      <w:lang w:val="en-US" w:eastAsia="zh-CN"/>
                    </w:rPr>
                    <w:t>区域</w:t>
                  </w:r>
                  <w:r>
                    <w:rPr>
                      <w:rFonts w:hint="default" w:ascii="Times New Roman" w:hAnsi="Times New Roman" w:cs="Times New Roman"/>
                      <w:color w:val="auto"/>
                      <w:sz w:val="21"/>
                      <w:szCs w:val="21"/>
                      <w:highlight w:val="none"/>
                    </w:rPr>
                    <w:t>等实施重点防渗，防止地下水污染。</w:t>
                  </w:r>
                </w:p>
              </w:tc>
              <w:tc>
                <w:tcPr>
                  <w:tcW w:w="605" w:type="pct"/>
                  <w:tcBorders>
                    <w:tl2br w:val="nil"/>
                    <w:tr2bl w:val="nil"/>
                  </w:tcBorders>
                  <w:vAlign w:val="center"/>
                </w:tcPr>
                <w:p>
                  <w:pPr>
                    <w:spacing w:line="24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6"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296"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1.定期评估地下水环境安全隐患，检查重点工业企业周边地下水污染状况，并定期公布污染地下水的企业名单。公布环境风险大、严重影响公众健康的地下水污染场地清单，开展修复试点。</w:t>
                  </w:r>
                </w:p>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2.重点排污单位应当根据所在地重污染天气应急预案，编制本单位重污染天气应急响应方案。</w:t>
                  </w:r>
                </w:p>
                <w:p>
                  <w:pPr>
                    <w:numPr>
                      <w:ilvl w:val="0"/>
                      <w:numId w:val="0"/>
                    </w:num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3.土壤环境重点监管企业全部纳入监督性环境监测范围，重点监测污染物为镉、汞、珅、铅、</w:t>
                  </w:r>
                  <w:r>
                    <w:rPr>
                      <w:rFonts w:hint="eastAsia" w:ascii="Times New Roman" w:hAnsi="Times New Roman" w:cs="Times New Roman"/>
                      <w:color w:val="auto"/>
                      <w:sz w:val="21"/>
                      <w:szCs w:val="21"/>
                      <w:highlight w:val="none"/>
                      <w:lang w:eastAsia="zh-CN"/>
                    </w:rPr>
                    <w:t>铬</w:t>
                  </w:r>
                  <w:r>
                    <w:rPr>
                      <w:rFonts w:hint="default" w:ascii="Times New Roman" w:hAnsi="Times New Roman" w:cs="Times New Roman"/>
                      <w:color w:val="auto"/>
                      <w:sz w:val="21"/>
                      <w:szCs w:val="21"/>
                      <w:highlight w:val="none"/>
                    </w:rPr>
                    <w:t>等重金属和多环芳烃、石油类等有机污染物。土壤环境监管重点行业企业拆除生产设施设备、构筑物和污染治理设施，要事先制定残留污染物清理和安全处置方案，并报所在地环境保护、工业和信息化部门备案；要严格按照有关规定实施安全处理处置，防范拆除活动污染土壤。</w:t>
                  </w:r>
                </w:p>
              </w:tc>
              <w:tc>
                <w:tcPr>
                  <w:tcW w:w="1531" w:type="pct"/>
                  <w:tcBorders>
                    <w:tl2br w:val="nil"/>
                    <w:tr2bl w:val="nil"/>
                  </w:tcBorders>
                  <w:vAlign w:val="center"/>
                </w:tcPr>
                <w:p>
                  <w:pPr>
                    <w:spacing w:line="240" w:lineRule="exact"/>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本项目水源为园区供水管网</w:t>
                  </w:r>
                  <w:r>
                    <w:rPr>
                      <w:rFonts w:hint="default" w:ascii="Times New Roman" w:hAnsi="Times New Roman" w:eastAsia="宋体" w:cs="Times New Roman"/>
                      <w:color w:val="auto"/>
                      <w:sz w:val="21"/>
                      <w:szCs w:val="21"/>
                      <w:highlight w:val="none"/>
                      <w:lang w:val="en-US" w:eastAsia="zh-CN"/>
                    </w:rPr>
                    <w:t>，运营期间主要为</w:t>
                  </w:r>
                  <w:r>
                    <w:rPr>
                      <w:rFonts w:hint="eastAsia" w:cs="Times New Roman"/>
                      <w:color w:val="auto"/>
                      <w:sz w:val="21"/>
                      <w:szCs w:val="21"/>
                      <w:highlight w:val="none"/>
                      <w:lang w:val="en-US" w:eastAsia="zh-CN"/>
                    </w:rPr>
                    <w:t>生活用水、食堂用水</w:t>
                  </w:r>
                  <w:r>
                    <w:rPr>
                      <w:rFonts w:hint="default" w:ascii="Times New Roman" w:hAnsi="Times New Roman" w:eastAsia="宋体" w:cs="Times New Roman"/>
                      <w:color w:val="auto"/>
                      <w:sz w:val="21"/>
                      <w:szCs w:val="21"/>
                      <w:highlight w:val="none"/>
                      <w:lang w:val="en-US" w:eastAsia="zh-CN"/>
                    </w:rPr>
                    <w:t>，食堂废水经隔油池处理后，与生活污水一同排入园区污水管网，最终进入轮台县新城区污水处理厂处理</w:t>
                  </w:r>
                  <w:r>
                    <w:rPr>
                      <w:rFonts w:hint="eastAsia" w:ascii="Times New Roman" w:hAnsi="Times New Roman" w:eastAsia="宋体" w:cs="Times New Roman"/>
                      <w:color w:val="auto"/>
                      <w:sz w:val="21"/>
                      <w:szCs w:val="21"/>
                      <w:highlight w:val="none"/>
                      <w:lang w:val="en-US" w:eastAsia="zh-CN"/>
                    </w:rPr>
                    <w:t>。</w:t>
                  </w:r>
                </w:p>
                <w:p>
                  <w:pPr>
                    <w:spacing w:line="240" w:lineRule="exact"/>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2.企业依法编制突发环境事件应急预案。完善应急处置物资储备系统，委托有资质第三方开展应急监测，定期开展应急演练，增强实战能力。</w:t>
                  </w:r>
                </w:p>
                <w:p>
                  <w:pPr>
                    <w:spacing w:line="240" w:lineRule="exact"/>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val="en-US" w:eastAsia="zh-CN"/>
                    </w:rPr>
                    <w:t>本项目位于轮台县红桥石油服务区内的装备制造及油田技术服务区，对地面进行硬化处理，对土壤环境污染较小</w:t>
                  </w:r>
                  <w:r>
                    <w:rPr>
                      <w:rFonts w:hint="default" w:ascii="Times New Roman" w:hAnsi="Times New Roman" w:cs="Times New Roman"/>
                      <w:color w:val="auto"/>
                      <w:sz w:val="21"/>
                      <w:szCs w:val="21"/>
                      <w:highlight w:val="none"/>
                    </w:rPr>
                    <w:t>。</w:t>
                  </w:r>
                </w:p>
              </w:tc>
              <w:tc>
                <w:tcPr>
                  <w:tcW w:w="605" w:type="pct"/>
                  <w:tcBorders>
                    <w:tl2br w:val="nil"/>
                    <w:tr2bl w:val="nil"/>
                  </w:tcBorders>
                  <w:vAlign w:val="center"/>
                </w:tcPr>
                <w:p>
                  <w:pPr>
                    <w:spacing w:line="24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6"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2296" w:type="pct"/>
                  <w:tcBorders>
                    <w:tl2br w:val="nil"/>
                    <w:tr2bl w:val="nil"/>
                  </w:tcBorders>
                  <w:vAlign w:val="center"/>
                </w:tcPr>
                <w:p>
                  <w:pPr>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化工业水循环利用。推进加强洗煤废水循环利用。在高耗水行业开展试点示范，筛选具有明显经济效益的节水治污技术。鼓励纺织印染、石油石化、煤化工等高耗水企业废水深度处理回用。具备使用再生水条件但未充分利用的项目，不得批准其新增取水许可。</w:t>
                  </w:r>
                </w:p>
              </w:tc>
              <w:tc>
                <w:tcPr>
                  <w:tcW w:w="1531" w:type="pct"/>
                  <w:tcBorders>
                    <w:tl2br w:val="nil"/>
                    <w:tr2bl w:val="nil"/>
                  </w:tcBorders>
                  <w:vAlign w:val="center"/>
                </w:tcPr>
                <w:p>
                  <w:pPr>
                    <w:spacing w:line="240" w:lineRule="exact"/>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本项目运营期间主要为</w:t>
                  </w:r>
                  <w:r>
                    <w:rPr>
                      <w:rFonts w:hint="eastAsia" w:cs="Times New Roman"/>
                      <w:color w:val="auto"/>
                      <w:sz w:val="21"/>
                      <w:szCs w:val="21"/>
                      <w:highlight w:val="none"/>
                      <w:lang w:val="en-US" w:eastAsia="zh-CN"/>
                    </w:rPr>
                    <w:t>生活用水、食堂用水</w:t>
                  </w:r>
                  <w:r>
                    <w:rPr>
                      <w:rFonts w:hint="default" w:ascii="Times New Roman" w:hAnsi="Times New Roman" w:eastAsia="宋体" w:cs="Times New Roman"/>
                      <w:color w:val="auto"/>
                      <w:sz w:val="21"/>
                      <w:szCs w:val="21"/>
                      <w:highlight w:val="none"/>
                      <w:lang w:val="en-US" w:eastAsia="zh-CN"/>
                    </w:rPr>
                    <w:t>，食堂废水经隔油池处理后，与生活污水一同排入园区污水管网，最终进入轮台县新城区污水处理厂处理</w:t>
                  </w:r>
                  <w:r>
                    <w:rPr>
                      <w:rFonts w:hint="default" w:ascii="Times New Roman" w:hAnsi="Times New Roman" w:cs="Times New Roman"/>
                      <w:color w:val="auto"/>
                      <w:sz w:val="21"/>
                      <w:szCs w:val="21"/>
                      <w:highlight w:val="none"/>
                    </w:rPr>
                    <w:t>。</w:t>
                  </w:r>
                </w:p>
                <w:p>
                  <w:pPr>
                    <w:spacing w:line="240" w:lineRule="exac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选用节能设备与工艺，降低能耗。生产过程以电力为主，供热采用电采暖</w:t>
                  </w:r>
                  <w:r>
                    <w:rPr>
                      <w:rFonts w:hint="default" w:ascii="Times New Roman" w:hAnsi="Times New Roman" w:cs="Times New Roman"/>
                      <w:color w:val="auto"/>
                      <w:sz w:val="21"/>
                      <w:szCs w:val="21"/>
                      <w:highlight w:val="none"/>
                      <w:lang w:eastAsia="zh-CN"/>
                    </w:rPr>
                    <w:t>。</w:t>
                  </w:r>
                </w:p>
              </w:tc>
              <w:tc>
                <w:tcPr>
                  <w:tcW w:w="605" w:type="pct"/>
                  <w:tcBorders>
                    <w:tl2br w:val="nil"/>
                    <w:tr2bl w:val="nil"/>
                  </w:tcBorders>
                  <w:vAlign w:val="center"/>
                </w:tcPr>
                <w:p>
                  <w:pPr>
                    <w:spacing w:line="24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color w:val="auto"/>
                <w:highlight w:val="none"/>
              </w:rPr>
              <w:t>综上所述，本项目与《巴音郭楞蒙古自治州生态环境准入清单（2023年）》相符。</w:t>
            </w:r>
          </w:p>
          <w:p>
            <w:pPr>
              <w:numPr>
                <w:ilvl w:val="0"/>
                <w:numId w:val="0"/>
              </w:numPr>
              <w:rPr>
                <w:rFonts w:hint="default" w:ascii="Times New Roman" w:hAnsi="Times New Roman" w:cs="Times New Roman"/>
                <w:color w:val="auto"/>
                <w:highlight w:val="none"/>
              </w:rPr>
            </w:pP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与《新疆生态环境保护“十四五”规划》符合性分析</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根据关于印发《新疆生态环境保护“十四五”规划》的通知“第四章应对气候变化，控制温室气体排放。控制重点领域二氧化碳排放。推动能源、钢铁、建材、有色、电力、化工等重点领域技术升级，控制工业过程温室气体排放，推动工业领域绿色低碳发展。积极鼓励发展二氧化碳捕集利用与封存等低碳技术。</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持续推进交通领域、建筑领域二氧化碳控排，提升清洁能源动力的交通工具比例，推动运输工具装备低碳转型，推广“公转铁”多式联运，构建绿色高效交通运输体系；强化绿色建筑要求，加强既有建筑节能改造，深化建筑领域清洁能源利用，推动城乡建设绿色低碳转型。加大低碳技术创新支持力度，积极开展绿色低碳产品推广试点。促进大气污染物与温室气体协同控制。实施污染物和温室气体协同控制，实现减污降碳协同效应。开展工业、农业温室气体和污染减排协同控制研究，减少温室气体和污染物排放。</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强化污水、垃圾等集中处置设施环境管理，协同控制氢氟碳化物、甲烷、氧化亚氮等温室气体。加强节约能源与大气污染防治协同有效衔接，促进大气污染防治协同增效。推动区域低碳示范。</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推动低碳城市、低碳园区、低碳企业试点示范，积极发挥低碳试点城市示范引领作用。进一步创建自治区低碳城市、社区，探索开展碳中和试点示范。控制非二氧化碳温室气体排放。</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控制工业生产过程氢氟碳化物、氧化亚氮、全氟化碳与六氟化硫排放。推进化肥、农药减量增效，推进标准化规模养殖，加强畜禽粪污资源化利用，控制畜禽养殖和农田甲烷、氧化亚氮排放。加强废弃物资源化利用和低碳化处理，提高资源回收利用效率。</w:t>
            </w:r>
          </w:p>
          <w:p>
            <w:pPr>
              <w:pStyle w:val="34"/>
              <w:spacing w:before="1" w:line="359" w:lineRule="auto"/>
              <w:ind w:left="0" w:leftChars="0" w:right="45" w:firstLine="464" w:firstLineChars="200"/>
              <w:jc w:val="both"/>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本项目在喷漆工艺处进行调漆、喷漆、烘干均在</w:t>
            </w:r>
            <w:r>
              <w:rPr>
                <w:rFonts w:hint="default" w:ascii="Times New Roman" w:hAnsi="Times New Roman" w:cs="Times New Roman"/>
                <w:color w:val="auto"/>
                <w:spacing w:val="-4"/>
                <w:highlight w:val="none"/>
                <w:lang w:val="en-US" w:eastAsia="zh-CN"/>
              </w:rPr>
              <w:t>封闭式</w:t>
            </w:r>
            <w:r>
              <w:rPr>
                <w:rFonts w:hint="default" w:ascii="Times New Roman" w:hAnsi="Times New Roman" w:cs="Times New Roman"/>
                <w:color w:val="auto"/>
                <w:spacing w:val="-4"/>
                <w:highlight w:val="none"/>
              </w:rPr>
              <w:t>喷漆房内进行，</w:t>
            </w:r>
            <w:r>
              <w:rPr>
                <w:rFonts w:hint="default" w:ascii="Times New Roman" w:hAnsi="Times New Roman" w:cs="Times New Roman"/>
                <w:color w:val="auto"/>
                <w:spacing w:val="-4"/>
                <w:highlight w:val="none"/>
                <w:lang w:val="en-US" w:eastAsia="zh-CN"/>
              </w:rPr>
              <w:t>烘干</w:t>
            </w:r>
            <w:r>
              <w:rPr>
                <w:rFonts w:hint="default" w:ascii="Times New Roman" w:hAnsi="Times New Roman" w:cs="Times New Roman"/>
                <w:color w:val="auto"/>
                <w:spacing w:val="-4"/>
                <w:highlight w:val="none"/>
              </w:rPr>
              <w:t>采用</w:t>
            </w:r>
            <w:r>
              <w:rPr>
                <w:rFonts w:hint="default" w:ascii="Times New Roman" w:hAnsi="Times New Roman" w:cs="Times New Roman"/>
                <w:color w:val="auto"/>
                <w:spacing w:val="-4"/>
                <w:highlight w:val="none"/>
                <w:lang w:val="en-US" w:eastAsia="zh-CN"/>
              </w:rPr>
              <w:t>电加热</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喷漆、烘干</w:t>
            </w:r>
            <w:r>
              <w:rPr>
                <w:rFonts w:hint="default" w:ascii="Times New Roman" w:hAnsi="Times New Roman" w:cs="Times New Roman"/>
                <w:color w:val="auto"/>
                <w:spacing w:val="-4"/>
                <w:highlight w:val="none"/>
              </w:rPr>
              <w:t>所产生的废气经集气罩收集后</w:t>
            </w:r>
            <w:r>
              <w:rPr>
                <w:rFonts w:hint="default" w:ascii="Times New Roman" w:hAnsi="Times New Roman" w:cs="Times New Roman"/>
                <w:color w:val="auto"/>
                <w:spacing w:val="-4"/>
                <w:highlight w:val="none"/>
                <w:lang w:eastAsia="zh-CN"/>
              </w:rPr>
              <w:t>，</w:t>
            </w:r>
            <w:r>
              <w:rPr>
                <w:rFonts w:hint="default" w:ascii="Times New Roman" w:hAnsi="Times New Roman" w:cs="Times New Roman"/>
                <w:color w:val="auto"/>
                <w:spacing w:val="-4"/>
                <w:highlight w:val="none"/>
                <w:lang w:val="en-US" w:eastAsia="zh-CN"/>
              </w:rPr>
              <w:t>由</w:t>
            </w:r>
            <w:r>
              <w:rPr>
                <w:rFonts w:hint="default" w:ascii="Times New Roman" w:hAnsi="Times New Roman" w:cs="Times New Roman"/>
                <w:color w:val="auto"/>
                <w:spacing w:val="-4"/>
                <w:highlight w:val="none"/>
                <w:lang w:eastAsia="zh-CN"/>
              </w:rPr>
              <w:t>纸盒过滤</w:t>
            </w:r>
            <w:r>
              <w:rPr>
                <w:rFonts w:hint="default" w:ascii="Times New Roman" w:hAnsi="Times New Roman" w:cs="Times New Roman"/>
                <w:color w:val="auto"/>
                <w:spacing w:val="-4"/>
                <w:highlight w:val="none"/>
              </w:rPr>
              <w:t>+活性炭吸附+催化燃烧装置，经</w:t>
            </w:r>
            <w:r>
              <w:rPr>
                <w:rFonts w:hint="default" w:ascii="Times New Roman" w:hAnsi="Times New Roman" w:cs="Times New Roman"/>
                <w:color w:val="auto"/>
                <w:spacing w:val="-4"/>
                <w:highlight w:val="none"/>
                <w:lang w:eastAsia="zh-CN"/>
              </w:rPr>
              <w:t>15m</w:t>
            </w:r>
            <w:r>
              <w:rPr>
                <w:rFonts w:hint="default" w:ascii="Times New Roman" w:hAnsi="Times New Roman" w:cs="Times New Roman"/>
                <w:color w:val="auto"/>
                <w:spacing w:val="-4"/>
                <w:highlight w:val="none"/>
              </w:rPr>
              <w:t>高的排气筒进行高空排放，产生的废气经有效治理后可达标排放，符合《新疆生态环境保护“十四五”规划》要求。</w:t>
            </w:r>
          </w:p>
          <w:p>
            <w:pPr>
              <w:pStyle w:val="55"/>
              <w:spacing w:line="360" w:lineRule="auto"/>
              <w:ind w:firstLine="0" w:firstLineChars="0"/>
              <w:rPr>
                <w:rFonts w:hint="default" w:ascii="Times New Roman" w:hAnsi="Times New Roman" w:cs="Times New Roman"/>
                <w:b/>
                <w:color w:val="auto"/>
                <w:sz w:val="24"/>
                <w:szCs w:val="24"/>
                <w:highlight w:val="none"/>
                <w:lang w:bidi="ar"/>
              </w:rPr>
            </w:pPr>
            <w:r>
              <w:rPr>
                <w:rFonts w:hint="default" w:ascii="Times New Roman" w:hAnsi="Times New Roman" w:cs="Times New Roman"/>
                <w:b/>
                <w:color w:val="auto"/>
                <w:sz w:val="24"/>
                <w:szCs w:val="24"/>
                <w:highlight w:val="none"/>
                <w:lang w:val="en-US" w:eastAsia="zh-CN" w:bidi="ar"/>
              </w:rPr>
              <w:t>5</w:t>
            </w:r>
            <w:r>
              <w:rPr>
                <w:rFonts w:hint="default" w:ascii="Times New Roman" w:hAnsi="Times New Roman" w:eastAsia="宋体" w:cs="Times New Roman"/>
                <w:b/>
                <w:color w:val="auto"/>
                <w:sz w:val="24"/>
                <w:szCs w:val="24"/>
                <w:highlight w:val="none"/>
                <w:lang w:bidi="ar"/>
              </w:rPr>
              <w:t>与</w:t>
            </w:r>
            <w:r>
              <w:rPr>
                <w:rFonts w:hint="default" w:ascii="Times New Roman" w:hAnsi="Times New Roman" w:cs="Times New Roman"/>
                <w:b/>
                <w:color w:val="auto"/>
                <w:sz w:val="24"/>
                <w:szCs w:val="24"/>
                <w:highlight w:val="none"/>
                <w:lang w:bidi="ar"/>
              </w:rPr>
              <w:t>《巴音郭楞蒙古自治州生态环境“十四五”规划》符合性</w:t>
            </w:r>
          </w:p>
          <w:p>
            <w:pPr>
              <w:pStyle w:val="36"/>
              <w:spacing w:line="360" w:lineRule="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规划》提出“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w:t>
            </w:r>
          </w:p>
          <w:p>
            <w:pPr>
              <w:spacing w:line="360" w:lineRule="auto"/>
              <w:ind w:firstLine="48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pacing w:val="-4"/>
                <w:highlight w:val="none"/>
              </w:rPr>
              <w:t>本项目在喷漆工艺处进行调漆、喷漆、烘干均在</w:t>
            </w:r>
            <w:r>
              <w:rPr>
                <w:rFonts w:hint="default" w:ascii="Times New Roman" w:hAnsi="Times New Roman" w:cs="Times New Roman"/>
                <w:color w:val="auto"/>
                <w:spacing w:val="-4"/>
                <w:highlight w:val="none"/>
                <w:lang w:val="en-US" w:eastAsia="zh-CN"/>
              </w:rPr>
              <w:t>封闭式</w:t>
            </w:r>
            <w:r>
              <w:rPr>
                <w:rFonts w:hint="default" w:ascii="Times New Roman" w:hAnsi="Times New Roman" w:cs="Times New Roman"/>
                <w:color w:val="auto"/>
                <w:spacing w:val="-4"/>
                <w:highlight w:val="none"/>
              </w:rPr>
              <w:t>喷漆房内进行，</w:t>
            </w:r>
            <w:r>
              <w:rPr>
                <w:rFonts w:hint="default" w:ascii="Times New Roman" w:hAnsi="Times New Roman" w:cs="Times New Roman"/>
                <w:color w:val="auto"/>
                <w:spacing w:val="-4"/>
                <w:highlight w:val="none"/>
                <w:lang w:val="en-US" w:eastAsia="zh-CN"/>
              </w:rPr>
              <w:t>烘干</w:t>
            </w:r>
            <w:r>
              <w:rPr>
                <w:rFonts w:hint="default" w:ascii="Times New Roman" w:hAnsi="Times New Roman" w:cs="Times New Roman"/>
                <w:color w:val="auto"/>
                <w:spacing w:val="-4"/>
                <w:highlight w:val="none"/>
              </w:rPr>
              <w:t>采用</w:t>
            </w:r>
            <w:r>
              <w:rPr>
                <w:rFonts w:hint="default" w:ascii="Times New Roman" w:hAnsi="Times New Roman" w:cs="Times New Roman"/>
                <w:color w:val="auto"/>
                <w:spacing w:val="-4"/>
                <w:highlight w:val="none"/>
                <w:lang w:val="en-US" w:eastAsia="zh-CN"/>
              </w:rPr>
              <w:t>电加热</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喷漆、烘干</w:t>
            </w:r>
            <w:r>
              <w:rPr>
                <w:rFonts w:hint="default" w:ascii="Times New Roman" w:hAnsi="Times New Roman" w:cs="Times New Roman"/>
                <w:color w:val="auto"/>
                <w:spacing w:val="-4"/>
                <w:highlight w:val="none"/>
              </w:rPr>
              <w:t>所产生的废气经集气罩收集后</w:t>
            </w:r>
            <w:r>
              <w:rPr>
                <w:rFonts w:hint="default" w:ascii="Times New Roman" w:hAnsi="Times New Roman" w:cs="Times New Roman"/>
                <w:color w:val="auto"/>
                <w:spacing w:val="-4"/>
                <w:highlight w:val="none"/>
                <w:lang w:eastAsia="zh-CN"/>
              </w:rPr>
              <w:t>，</w:t>
            </w:r>
            <w:r>
              <w:rPr>
                <w:rFonts w:hint="default" w:ascii="Times New Roman" w:hAnsi="Times New Roman" w:cs="Times New Roman"/>
                <w:color w:val="auto"/>
                <w:spacing w:val="-4"/>
                <w:highlight w:val="none"/>
                <w:lang w:val="en-US" w:eastAsia="zh-CN"/>
              </w:rPr>
              <w:t>由</w:t>
            </w:r>
            <w:r>
              <w:rPr>
                <w:rFonts w:hint="default" w:ascii="Times New Roman" w:hAnsi="Times New Roman" w:cs="Times New Roman"/>
                <w:color w:val="auto"/>
                <w:spacing w:val="-4"/>
                <w:highlight w:val="none"/>
                <w:lang w:eastAsia="zh-CN"/>
              </w:rPr>
              <w:t>纸盒过滤</w:t>
            </w:r>
            <w:r>
              <w:rPr>
                <w:rFonts w:hint="default" w:ascii="Times New Roman" w:hAnsi="Times New Roman" w:cs="Times New Roman"/>
                <w:color w:val="auto"/>
                <w:spacing w:val="-4"/>
                <w:highlight w:val="none"/>
              </w:rPr>
              <w:t>+活性炭吸附+催化燃烧装置</w:t>
            </w:r>
            <w:r>
              <w:rPr>
                <w:rFonts w:hint="default" w:ascii="Times New Roman" w:hAnsi="Times New Roman" w:cs="Times New Roman"/>
                <w:color w:val="auto"/>
                <w:spacing w:val="-4"/>
                <w:highlight w:val="none"/>
                <w:lang w:val="en-US" w:eastAsia="zh-CN"/>
              </w:rPr>
              <w:t>处理后</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最终由</w:t>
            </w:r>
            <w:r>
              <w:rPr>
                <w:rFonts w:hint="default" w:ascii="Times New Roman" w:hAnsi="Times New Roman" w:cs="Times New Roman"/>
                <w:color w:val="auto"/>
                <w:spacing w:val="-4"/>
                <w:highlight w:val="none"/>
                <w:lang w:eastAsia="zh-CN"/>
              </w:rPr>
              <w:t>15m</w:t>
            </w:r>
            <w:r>
              <w:rPr>
                <w:rFonts w:hint="default" w:ascii="Times New Roman" w:hAnsi="Times New Roman" w:cs="Times New Roman"/>
                <w:color w:val="auto"/>
                <w:spacing w:val="-4"/>
                <w:highlight w:val="none"/>
              </w:rPr>
              <w:t>高的排气筒进行高空排放，产生的废气经有效治理后可达标排放，</w:t>
            </w:r>
            <w:r>
              <w:rPr>
                <w:rFonts w:hint="default" w:ascii="Times New Roman" w:hAnsi="Times New Roman" w:cs="Times New Roman"/>
                <w:color w:val="auto"/>
                <w:sz w:val="24"/>
                <w:szCs w:val="24"/>
                <w:highlight w:val="none"/>
              </w:rPr>
              <w:t>符合《巴音郭楞蒙古自治州生态环境“十四五”规划》要求。</w:t>
            </w:r>
          </w:p>
          <w:p>
            <w:pPr>
              <w:pStyle w:val="55"/>
              <w:ind w:firstLine="0" w:firstLineChars="0"/>
              <w:rPr>
                <w:rFonts w:hint="default" w:ascii="Times New Roman" w:hAnsi="Times New Roman" w:eastAsia="宋体" w:cs="Times New Roman"/>
                <w:b/>
                <w:color w:val="auto"/>
                <w:highlight w:val="none"/>
                <w:lang w:bidi="ar"/>
              </w:rPr>
            </w:pPr>
            <w:r>
              <w:rPr>
                <w:rFonts w:hint="default" w:ascii="Times New Roman" w:hAnsi="Times New Roman" w:cs="Times New Roman"/>
                <w:b/>
                <w:color w:val="auto"/>
                <w:highlight w:val="none"/>
                <w:lang w:val="en-US" w:eastAsia="zh-CN" w:bidi="ar"/>
              </w:rPr>
              <w:t>6</w:t>
            </w:r>
            <w:r>
              <w:rPr>
                <w:rFonts w:hint="default" w:ascii="Times New Roman" w:hAnsi="Times New Roman" w:eastAsia="宋体" w:cs="Times New Roman"/>
                <w:b/>
                <w:color w:val="auto"/>
                <w:highlight w:val="none"/>
                <w:lang w:val="en-US" w:eastAsia="zh-CN" w:bidi="ar"/>
              </w:rPr>
              <w:t>与</w:t>
            </w:r>
            <w:r>
              <w:rPr>
                <w:rFonts w:hint="default" w:ascii="Times New Roman" w:hAnsi="Times New Roman" w:eastAsia="宋体" w:cs="Times New Roman"/>
                <w:b/>
                <w:color w:val="auto"/>
                <w:highlight w:val="none"/>
                <w:lang w:bidi="ar"/>
              </w:rPr>
              <w:t>《国务院关于印发〈空气质量持续改善行动计划〉的通知》（国发〔2023〕24号）</w:t>
            </w:r>
            <w:r>
              <w:rPr>
                <w:rFonts w:hint="default" w:ascii="Times New Roman" w:hAnsi="Times New Roman" w:eastAsia="宋体" w:cs="Times New Roman"/>
                <w:b/>
                <w:color w:val="auto"/>
                <w:highlight w:val="none"/>
                <w:lang w:val="en-US" w:eastAsia="zh-CN" w:bidi="ar"/>
              </w:rPr>
              <w:t>的</w:t>
            </w:r>
            <w:r>
              <w:rPr>
                <w:rFonts w:hint="default" w:ascii="Times New Roman" w:hAnsi="Times New Roman" w:eastAsia="宋体" w:cs="Times New Roman"/>
                <w:b/>
                <w:color w:val="auto"/>
                <w:highlight w:val="none"/>
                <w:lang w:bidi="ar"/>
              </w:rPr>
              <w:t>符合性</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计划</w:t>
            </w:r>
            <w:r>
              <w:rPr>
                <w:rFonts w:hint="default" w:ascii="Times New Roman" w:hAnsi="Times New Roman" w:eastAsia="宋体" w:cs="Times New Roman"/>
                <w:color w:val="auto"/>
                <w:highlight w:val="none"/>
                <w:lang w:val="en-US"/>
              </w:rPr>
              <w:t>》提出</w:t>
            </w:r>
            <w:r>
              <w:rPr>
                <w:rFonts w:hint="default" w:ascii="Times New Roman" w:hAnsi="Times New Roman" w:eastAsia="宋体" w:cs="Times New Roman"/>
                <w:color w:val="auto"/>
                <w:highlight w:val="none"/>
                <w:lang w:val="en-US" w:eastAsia="zh-CN"/>
              </w:rPr>
              <w:t>“推动绿色环保产业健康发展。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p>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spacing w:val="-4"/>
                <w:highlight w:val="none"/>
              </w:rPr>
              <w:t>本项目在喷漆工艺处进行调漆、喷漆、烘干均在</w:t>
            </w:r>
            <w:r>
              <w:rPr>
                <w:rFonts w:hint="default" w:ascii="Times New Roman" w:hAnsi="Times New Roman" w:cs="Times New Roman"/>
                <w:color w:val="auto"/>
                <w:spacing w:val="-4"/>
                <w:highlight w:val="none"/>
                <w:lang w:val="en-US" w:eastAsia="zh-CN"/>
              </w:rPr>
              <w:t>封闭式</w:t>
            </w:r>
            <w:r>
              <w:rPr>
                <w:rFonts w:hint="default" w:ascii="Times New Roman" w:hAnsi="Times New Roman" w:cs="Times New Roman"/>
                <w:color w:val="auto"/>
                <w:spacing w:val="-4"/>
                <w:highlight w:val="none"/>
              </w:rPr>
              <w:t>喷漆房内进行，</w:t>
            </w:r>
            <w:r>
              <w:rPr>
                <w:rFonts w:hint="default" w:ascii="Times New Roman" w:hAnsi="Times New Roman" w:cs="Times New Roman"/>
                <w:color w:val="auto"/>
                <w:spacing w:val="-4"/>
                <w:highlight w:val="none"/>
                <w:lang w:val="en-US" w:eastAsia="zh-CN"/>
              </w:rPr>
              <w:t>烘干</w:t>
            </w:r>
            <w:r>
              <w:rPr>
                <w:rFonts w:hint="default" w:ascii="Times New Roman" w:hAnsi="Times New Roman" w:cs="Times New Roman"/>
                <w:color w:val="auto"/>
                <w:spacing w:val="-4"/>
                <w:highlight w:val="none"/>
              </w:rPr>
              <w:t>采用</w:t>
            </w:r>
            <w:r>
              <w:rPr>
                <w:rFonts w:hint="default" w:ascii="Times New Roman" w:hAnsi="Times New Roman" w:cs="Times New Roman"/>
                <w:color w:val="auto"/>
                <w:spacing w:val="-4"/>
                <w:highlight w:val="none"/>
                <w:lang w:val="en-US" w:eastAsia="zh-CN"/>
              </w:rPr>
              <w:t>电加热</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喷漆、烘干</w:t>
            </w:r>
            <w:r>
              <w:rPr>
                <w:rFonts w:hint="default" w:ascii="Times New Roman" w:hAnsi="Times New Roman" w:cs="Times New Roman"/>
                <w:color w:val="auto"/>
                <w:spacing w:val="-4"/>
                <w:highlight w:val="none"/>
              </w:rPr>
              <w:t>所产生的废气经集气罩收集后</w:t>
            </w:r>
            <w:r>
              <w:rPr>
                <w:rFonts w:hint="default" w:ascii="Times New Roman" w:hAnsi="Times New Roman" w:cs="Times New Roman"/>
                <w:color w:val="auto"/>
                <w:spacing w:val="-4"/>
                <w:highlight w:val="none"/>
                <w:lang w:eastAsia="zh-CN"/>
              </w:rPr>
              <w:t>，</w:t>
            </w:r>
            <w:r>
              <w:rPr>
                <w:rFonts w:hint="default" w:ascii="Times New Roman" w:hAnsi="Times New Roman" w:cs="Times New Roman"/>
                <w:color w:val="auto"/>
                <w:spacing w:val="-4"/>
                <w:highlight w:val="none"/>
                <w:lang w:val="en-US" w:eastAsia="zh-CN"/>
              </w:rPr>
              <w:t>由</w:t>
            </w:r>
            <w:r>
              <w:rPr>
                <w:rFonts w:hint="default" w:ascii="Times New Roman" w:hAnsi="Times New Roman" w:cs="Times New Roman"/>
                <w:color w:val="auto"/>
                <w:spacing w:val="-4"/>
                <w:highlight w:val="none"/>
                <w:lang w:eastAsia="zh-CN"/>
              </w:rPr>
              <w:t>纸盒过滤</w:t>
            </w:r>
            <w:r>
              <w:rPr>
                <w:rFonts w:hint="default" w:ascii="Times New Roman" w:hAnsi="Times New Roman" w:cs="Times New Roman"/>
                <w:color w:val="auto"/>
                <w:spacing w:val="-4"/>
                <w:highlight w:val="none"/>
              </w:rPr>
              <w:t>+活性炭吸附+催化燃烧装置</w:t>
            </w:r>
            <w:r>
              <w:rPr>
                <w:rFonts w:hint="default" w:ascii="Times New Roman" w:hAnsi="Times New Roman" w:cs="Times New Roman"/>
                <w:color w:val="auto"/>
                <w:spacing w:val="-4"/>
                <w:highlight w:val="none"/>
                <w:lang w:val="en-US" w:eastAsia="zh-CN"/>
              </w:rPr>
              <w:t>处理后</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最终由</w:t>
            </w:r>
            <w:r>
              <w:rPr>
                <w:rFonts w:hint="default" w:ascii="Times New Roman" w:hAnsi="Times New Roman" w:cs="Times New Roman"/>
                <w:color w:val="auto"/>
                <w:spacing w:val="-4"/>
                <w:highlight w:val="none"/>
                <w:lang w:eastAsia="zh-CN"/>
              </w:rPr>
              <w:t>15m</w:t>
            </w:r>
            <w:r>
              <w:rPr>
                <w:rFonts w:hint="default" w:ascii="Times New Roman" w:hAnsi="Times New Roman" w:cs="Times New Roman"/>
                <w:color w:val="auto"/>
                <w:spacing w:val="-4"/>
                <w:highlight w:val="none"/>
              </w:rPr>
              <w:t>高的排气筒进行高空排放，</w:t>
            </w:r>
            <w:r>
              <w:rPr>
                <w:rFonts w:hint="default" w:ascii="Times New Roman" w:hAnsi="Times New Roman" w:cs="Times New Roman"/>
                <w:color w:val="auto"/>
                <w:kern w:val="0"/>
                <w:szCs w:val="22"/>
                <w:highlight w:val="none"/>
                <w:lang w:val="zh-CN"/>
              </w:rPr>
              <w:t>废气经有效治理后可达标排放</w:t>
            </w:r>
            <w:r>
              <w:rPr>
                <w:rFonts w:hint="default" w:ascii="Times New Roman" w:hAnsi="Times New Roman" w:cs="Times New Roman"/>
                <w:color w:val="auto"/>
                <w:highlight w:val="none"/>
              </w:rPr>
              <w:t>符合</w:t>
            </w:r>
            <w:r>
              <w:rPr>
                <w:rFonts w:hint="default" w:ascii="Times New Roman" w:hAnsi="Times New Roman" w:cs="Times New Roman"/>
                <w:color w:val="auto"/>
                <w:highlight w:val="none"/>
                <w:lang w:val="en-US" w:eastAsia="zh-CN"/>
              </w:rPr>
              <w:t>要求。</w:t>
            </w:r>
          </w:p>
          <w:p>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rPr>
              <w:t>与《挥发性有机物污染防治技术政策》符合性分析</w:t>
            </w:r>
          </w:p>
          <w:p>
            <w:pPr>
              <w:pStyle w:val="34"/>
              <w:spacing w:before="1" w:line="359" w:lineRule="auto"/>
              <w:ind w:right="45"/>
              <w:jc w:val="both"/>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2013年5月24日国家环境保护部发布了《挥发性有机物污染防治技术政策》，其中要求：“含VOCs产品的使用过程中，应采取废气收集措施，提高废气收集效率，减少废气的无组织排放与逸散，并对收集后的废气进行回收或处理后达标排放。”</w:t>
            </w:r>
          </w:p>
          <w:p>
            <w:pPr>
              <w:pStyle w:val="34"/>
              <w:spacing w:before="1" w:line="359" w:lineRule="auto"/>
              <w:ind w:right="45"/>
              <w:jc w:val="both"/>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从规划角度分析，本项目在挥发性有机物治理方面的举措符合区域大气环境管控的相关规划要求，有助于提升区域整体的大气环境质量，保障区域内各类产业在符合环保要求的框架下可持续发展。从周边环境保护目标分布情况来看，通过对挥发性有机物的有效控制，进一步降低了对周边可能存在的少量敏感目标（即便距离较远但仍需保护其环境质量）在大气环境方面的潜在影响，确保项目运营与周边环境和谐共生。</w:t>
            </w:r>
          </w:p>
          <w:p>
            <w:pPr>
              <w:pStyle w:val="34"/>
              <w:spacing w:before="1" w:line="359" w:lineRule="auto"/>
              <w:ind w:right="45"/>
              <w:jc w:val="both"/>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综上所述，综合考虑项目用地合理性、与饮用水源保护地相关规划的相符性以及与挥发性有机物污染防治政策的符合性等多方面因素，同时结合规划要求以及周边环境保护目标分布情况，项目选址整体上是合理的，能够在满足环保要求和遵循相关规划的基础上实现良好运营与发展。</w:t>
            </w:r>
          </w:p>
          <w:p>
            <w:pPr>
              <w:pStyle w:val="34"/>
              <w:spacing w:before="1" w:line="359" w:lineRule="auto"/>
              <w:ind w:right="45"/>
              <w:jc w:val="both"/>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rPr>
              <w:t>本项目在喷漆工艺处进行调漆、喷漆、烘干均在</w:t>
            </w:r>
            <w:r>
              <w:rPr>
                <w:rFonts w:hint="default" w:ascii="Times New Roman" w:hAnsi="Times New Roman" w:cs="Times New Roman"/>
                <w:color w:val="auto"/>
                <w:spacing w:val="-4"/>
                <w:highlight w:val="none"/>
                <w:lang w:val="en-US" w:eastAsia="zh-CN"/>
              </w:rPr>
              <w:t>封闭式</w:t>
            </w:r>
            <w:r>
              <w:rPr>
                <w:rFonts w:hint="default" w:ascii="Times New Roman" w:hAnsi="Times New Roman" w:cs="Times New Roman"/>
                <w:color w:val="auto"/>
                <w:spacing w:val="-4"/>
                <w:highlight w:val="none"/>
              </w:rPr>
              <w:t>喷漆房内进行，</w:t>
            </w:r>
            <w:r>
              <w:rPr>
                <w:rFonts w:hint="default" w:ascii="Times New Roman" w:hAnsi="Times New Roman" w:cs="Times New Roman"/>
                <w:color w:val="auto"/>
                <w:spacing w:val="-4"/>
                <w:highlight w:val="none"/>
                <w:lang w:val="en-US" w:eastAsia="zh-CN"/>
              </w:rPr>
              <w:t>烘干</w:t>
            </w:r>
            <w:r>
              <w:rPr>
                <w:rFonts w:hint="default" w:ascii="Times New Roman" w:hAnsi="Times New Roman" w:cs="Times New Roman"/>
                <w:color w:val="auto"/>
                <w:spacing w:val="-4"/>
                <w:highlight w:val="none"/>
              </w:rPr>
              <w:t>采用</w:t>
            </w:r>
            <w:r>
              <w:rPr>
                <w:rFonts w:hint="default" w:ascii="Times New Roman" w:hAnsi="Times New Roman" w:cs="Times New Roman"/>
                <w:color w:val="auto"/>
                <w:spacing w:val="-4"/>
                <w:highlight w:val="none"/>
                <w:lang w:val="en-US" w:eastAsia="zh-CN"/>
              </w:rPr>
              <w:t>电加热</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喷漆、烘干</w:t>
            </w:r>
            <w:r>
              <w:rPr>
                <w:rFonts w:hint="default" w:ascii="Times New Roman" w:hAnsi="Times New Roman" w:cs="Times New Roman"/>
                <w:color w:val="auto"/>
                <w:spacing w:val="-4"/>
                <w:highlight w:val="none"/>
              </w:rPr>
              <w:t>所产生的废气经集气罩收集后</w:t>
            </w:r>
            <w:r>
              <w:rPr>
                <w:rFonts w:hint="default" w:ascii="Times New Roman" w:hAnsi="Times New Roman" w:cs="Times New Roman"/>
                <w:color w:val="auto"/>
                <w:spacing w:val="-4"/>
                <w:highlight w:val="none"/>
                <w:lang w:eastAsia="zh-CN"/>
              </w:rPr>
              <w:t>，</w:t>
            </w:r>
            <w:r>
              <w:rPr>
                <w:rFonts w:hint="default" w:ascii="Times New Roman" w:hAnsi="Times New Roman" w:cs="Times New Roman"/>
                <w:color w:val="auto"/>
                <w:spacing w:val="-4"/>
                <w:highlight w:val="none"/>
                <w:lang w:val="en-US" w:eastAsia="zh-CN"/>
              </w:rPr>
              <w:t>由</w:t>
            </w:r>
            <w:r>
              <w:rPr>
                <w:rFonts w:hint="default" w:ascii="Times New Roman" w:hAnsi="Times New Roman" w:cs="Times New Roman"/>
                <w:color w:val="auto"/>
                <w:spacing w:val="-4"/>
                <w:highlight w:val="none"/>
                <w:lang w:eastAsia="zh-CN"/>
              </w:rPr>
              <w:t>纸盒过滤</w:t>
            </w:r>
            <w:r>
              <w:rPr>
                <w:rFonts w:hint="default" w:ascii="Times New Roman" w:hAnsi="Times New Roman" w:cs="Times New Roman"/>
                <w:color w:val="auto"/>
                <w:spacing w:val="-4"/>
                <w:highlight w:val="none"/>
              </w:rPr>
              <w:t>+活性炭吸附+催化燃烧装置</w:t>
            </w:r>
            <w:r>
              <w:rPr>
                <w:rFonts w:hint="default" w:ascii="Times New Roman" w:hAnsi="Times New Roman" w:cs="Times New Roman"/>
                <w:color w:val="auto"/>
                <w:spacing w:val="-4"/>
                <w:highlight w:val="none"/>
                <w:lang w:val="en-US" w:eastAsia="zh-CN"/>
              </w:rPr>
              <w:t>处理后</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最终由</w:t>
            </w:r>
            <w:r>
              <w:rPr>
                <w:rFonts w:hint="default" w:ascii="Times New Roman" w:hAnsi="Times New Roman" w:cs="Times New Roman"/>
                <w:color w:val="auto"/>
                <w:spacing w:val="-4"/>
                <w:highlight w:val="none"/>
                <w:lang w:eastAsia="zh-CN"/>
              </w:rPr>
              <w:t>15m</w:t>
            </w:r>
            <w:r>
              <w:rPr>
                <w:rFonts w:hint="default" w:ascii="Times New Roman" w:hAnsi="Times New Roman" w:cs="Times New Roman"/>
                <w:color w:val="auto"/>
                <w:spacing w:val="-4"/>
                <w:highlight w:val="none"/>
              </w:rPr>
              <w:t>高的排气筒进行高空排放，</w:t>
            </w:r>
            <w:r>
              <w:rPr>
                <w:rFonts w:hint="default" w:ascii="Times New Roman" w:hAnsi="Times New Roman" w:cs="Times New Roman"/>
                <w:color w:val="auto"/>
                <w:spacing w:val="-4"/>
                <w:highlight w:val="none"/>
                <w:lang w:val="en-US" w:eastAsia="zh-CN"/>
              </w:rPr>
              <w:t>从而减少挥发性有机物的排放。本项目位于巴州大气环境重点管控区，废气采取相关措施后均可满足《大气污染物综合排放标准》（GB16297-1996）表2中限值。</w:t>
            </w:r>
          </w:p>
          <w:p>
            <w:pPr>
              <w:pStyle w:val="55"/>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8</w:t>
            </w:r>
            <w:r>
              <w:rPr>
                <w:rFonts w:hint="default" w:ascii="Times New Roman" w:hAnsi="Times New Roman" w:cs="Times New Roman"/>
                <w:b/>
                <w:color w:val="auto"/>
                <w:highlight w:val="none"/>
              </w:rPr>
              <w:t>与《</w:t>
            </w:r>
            <w:r>
              <w:rPr>
                <w:rFonts w:hint="default" w:ascii="Times New Roman" w:hAnsi="Times New Roman" w:cs="Times New Roman"/>
                <w:b/>
                <w:color w:val="auto"/>
                <w:highlight w:val="none"/>
                <w:lang w:bidi="ar"/>
              </w:rPr>
              <w:t>巴音郭楞蒙古自治州大气污染防治办法</w:t>
            </w:r>
            <w:r>
              <w:rPr>
                <w:rFonts w:hint="default" w:ascii="Times New Roman" w:hAnsi="Times New Roman" w:cs="Times New Roman"/>
                <w:b/>
                <w:color w:val="auto"/>
                <w:highlight w:val="none"/>
              </w:rPr>
              <w:t>》符合性</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根据《巴音郭楞蒙古自治州大气污染防治办法</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rPr>
              <w:t>要求，“禁止新建、改建、扩建严重污染大气环境的项目” “向大气排放污染物的企业事业单位和其他生产经营者应当履行大气污染防治的法定义务，执行大气污染物排放标准，遵守大气污染物排放总量控制要求”。</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本项目不属于严重污染大气环境的项目，</w:t>
            </w:r>
            <w:r>
              <w:rPr>
                <w:rFonts w:hint="default" w:ascii="Times New Roman" w:hAnsi="Times New Roman" w:cs="Times New Roman"/>
                <w:color w:val="auto"/>
                <w:spacing w:val="-4"/>
                <w:highlight w:val="none"/>
              </w:rPr>
              <w:t>在喷漆工艺处进行调漆、喷漆、烘干均在</w:t>
            </w:r>
            <w:r>
              <w:rPr>
                <w:rFonts w:hint="default" w:ascii="Times New Roman" w:hAnsi="Times New Roman" w:cs="Times New Roman"/>
                <w:color w:val="auto"/>
                <w:spacing w:val="-4"/>
                <w:highlight w:val="none"/>
                <w:lang w:val="en-US" w:eastAsia="zh-CN"/>
              </w:rPr>
              <w:t>封闭式</w:t>
            </w:r>
            <w:r>
              <w:rPr>
                <w:rFonts w:hint="default" w:ascii="Times New Roman" w:hAnsi="Times New Roman" w:cs="Times New Roman"/>
                <w:color w:val="auto"/>
                <w:spacing w:val="-4"/>
                <w:highlight w:val="none"/>
              </w:rPr>
              <w:t>喷漆房内进行，</w:t>
            </w:r>
            <w:r>
              <w:rPr>
                <w:rFonts w:hint="default" w:ascii="Times New Roman" w:hAnsi="Times New Roman" w:cs="Times New Roman"/>
                <w:color w:val="auto"/>
                <w:spacing w:val="-4"/>
                <w:highlight w:val="none"/>
                <w:lang w:val="en-US" w:eastAsia="zh-CN"/>
              </w:rPr>
              <w:t>烘干</w:t>
            </w:r>
            <w:r>
              <w:rPr>
                <w:rFonts w:hint="default" w:ascii="Times New Roman" w:hAnsi="Times New Roman" w:cs="Times New Roman"/>
                <w:color w:val="auto"/>
                <w:spacing w:val="-4"/>
                <w:highlight w:val="none"/>
              </w:rPr>
              <w:t>采用</w:t>
            </w:r>
            <w:r>
              <w:rPr>
                <w:rFonts w:hint="default" w:ascii="Times New Roman" w:hAnsi="Times New Roman" w:cs="Times New Roman"/>
                <w:color w:val="auto"/>
                <w:spacing w:val="-4"/>
                <w:highlight w:val="none"/>
                <w:lang w:val="en-US" w:eastAsia="zh-CN"/>
              </w:rPr>
              <w:t>电加热</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喷漆、烘干</w:t>
            </w:r>
            <w:r>
              <w:rPr>
                <w:rFonts w:hint="default" w:ascii="Times New Roman" w:hAnsi="Times New Roman" w:cs="Times New Roman"/>
                <w:color w:val="auto"/>
                <w:spacing w:val="-4"/>
                <w:highlight w:val="none"/>
              </w:rPr>
              <w:t>所产生的废气经集气罩收集后</w:t>
            </w:r>
            <w:r>
              <w:rPr>
                <w:rFonts w:hint="default" w:ascii="Times New Roman" w:hAnsi="Times New Roman" w:cs="Times New Roman"/>
                <w:color w:val="auto"/>
                <w:spacing w:val="-4"/>
                <w:highlight w:val="none"/>
                <w:lang w:eastAsia="zh-CN"/>
              </w:rPr>
              <w:t>，</w:t>
            </w:r>
            <w:r>
              <w:rPr>
                <w:rFonts w:hint="default" w:ascii="Times New Roman" w:hAnsi="Times New Roman" w:cs="Times New Roman"/>
                <w:color w:val="auto"/>
                <w:spacing w:val="-4"/>
                <w:highlight w:val="none"/>
                <w:lang w:val="en-US" w:eastAsia="zh-CN"/>
              </w:rPr>
              <w:t>由</w:t>
            </w:r>
            <w:r>
              <w:rPr>
                <w:rFonts w:hint="default" w:ascii="Times New Roman" w:hAnsi="Times New Roman" w:cs="Times New Roman"/>
                <w:color w:val="auto"/>
                <w:spacing w:val="-4"/>
                <w:highlight w:val="none"/>
                <w:lang w:eastAsia="zh-CN"/>
              </w:rPr>
              <w:t>纸盒过滤</w:t>
            </w:r>
            <w:r>
              <w:rPr>
                <w:rFonts w:hint="default" w:ascii="Times New Roman" w:hAnsi="Times New Roman" w:cs="Times New Roman"/>
                <w:color w:val="auto"/>
                <w:spacing w:val="-4"/>
                <w:highlight w:val="none"/>
              </w:rPr>
              <w:t>+活性炭吸附+催化燃烧装置</w:t>
            </w:r>
            <w:r>
              <w:rPr>
                <w:rFonts w:hint="default" w:ascii="Times New Roman" w:hAnsi="Times New Roman" w:cs="Times New Roman"/>
                <w:color w:val="auto"/>
                <w:spacing w:val="-4"/>
                <w:highlight w:val="none"/>
                <w:lang w:val="en-US" w:eastAsia="zh-CN"/>
              </w:rPr>
              <w:t>处理后</w:t>
            </w:r>
            <w:r>
              <w:rPr>
                <w:rFonts w:hint="default" w:ascii="Times New Roman" w:hAnsi="Times New Roman" w:cs="Times New Roman"/>
                <w:color w:val="auto"/>
                <w:spacing w:val="-4"/>
                <w:highlight w:val="none"/>
              </w:rPr>
              <w:t>，</w:t>
            </w:r>
            <w:r>
              <w:rPr>
                <w:rFonts w:hint="default" w:ascii="Times New Roman" w:hAnsi="Times New Roman" w:cs="Times New Roman"/>
                <w:color w:val="auto"/>
                <w:spacing w:val="-4"/>
                <w:highlight w:val="none"/>
                <w:lang w:val="en-US" w:eastAsia="zh-CN"/>
              </w:rPr>
              <w:t>最终由</w:t>
            </w:r>
            <w:r>
              <w:rPr>
                <w:rFonts w:hint="default" w:ascii="Times New Roman" w:hAnsi="Times New Roman" w:cs="Times New Roman"/>
                <w:color w:val="auto"/>
                <w:spacing w:val="-4"/>
                <w:highlight w:val="none"/>
                <w:lang w:eastAsia="zh-CN"/>
              </w:rPr>
              <w:t>15m</w:t>
            </w:r>
            <w:r>
              <w:rPr>
                <w:rFonts w:hint="default" w:ascii="Times New Roman" w:hAnsi="Times New Roman" w:cs="Times New Roman"/>
                <w:color w:val="auto"/>
                <w:spacing w:val="-4"/>
                <w:highlight w:val="none"/>
              </w:rPr>
              <w:t>高的排气筒进行高空排放，</w:t>
            </w:r>
            <w:r>
              <w:rPr>
                <w:rFonts w:hint="default" w:ascii="Times New Roman" w:hAnsi="Times New Roman" w:cs="Times New Roman"/>
                <w:color w:val="auto"/>
                <w:highlight w:val="none"/>
                <w:lang w:val="en-US" w:eastAsia="zh-CN"/>
              </w:rPr>
              <w:t>集气罩收集效率为90%，处理后由15m高的排气筒排放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w:t>
            </w:r>
            <w:r>
              <w:rPr>
                <w:rFonts w:hint="default" w:ascii="Times New Roman" w:hAnsi="Times New Roman" w:cs="Times New Roman"/>
                <w:color w:val="auto"/>
                <w:highlight w:val="none"/>
                <w:lang w:eastAsia="zh-CN"/>
              </w:rPr>
              <w:t>满足</w:t>
            </w:r>
            <w:r>
              <w:rPr>
                <w:rFonts w:hint="default" w:ascii="Times New Roman" w:hAnsi="Times New Roman" w:cs="Times New Roman"/>
                <w:color w:val="auto"/>
                <w:highlight w:val="none"/>
                <w:shd w:val="clear" w:color="auto" w:fill="FFFFFF"/>
                <w:lang w:eastAsia="zh-CN"/>
              </w:rPr>
              <w:t>《大气污染物综合排放标准》（GB16297-1996）表2中限值</w:t>
            </w:r>
            <w:r>
              <w:rPr>
                <w:rFonts w:hint="default" w:ascii="Times New Roman" w:hAnsi="Times New Roman" w:cs="Times New Roman"/>
                <w:color w:val="auto"/>
                <w:highlight w:val="none"/>
              </w:rPr>
              <w:t>，因此本项目符合《巴音郭楞蒙古自治州大气污染防治办法》。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9与《新疆维吾尔自治区2025年空气质量持续改善行动实施方案》的符合性分析</w:t>
            </w:r>
          </w:p>
          <w:p>
            <w:pPr>
              <w:pStyle w:val="15"/>
              <w:numPr>
                <w:ilvl w:val="0"/>
                <w:numId w:val="0"/>
              </w:numPr>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val="0"/>
                <w:snapToGrid w:val="0"/>
                <w:color w:val="auto"/>
                <w:kern w:val="0"/>
                <w:sz w:val="21"/>
                <w:szCs w:val="21"/>
                <w:highlight w:val="none"/>
                <w:lang w:eastAsia="zh-CN"/>
              </w:rPr>
              <w:t>表</w:t>
            </w:r>
            <w:r>
              <w:rPr>
                <w:rFonts w:hint="default" w:ascii="Times New Roman" w:hAnsi="Times New Roman" w:cs="Times New Roman"/>
                <w:b/>
                <w:bCs w:val="0"/>
                <w:snapToGrid w:val="0"/>
                <w:color w:val="auto"/>
                <w:kern w:val="0"/>
                <w:sz w:val="21"/>
                <w:szCs w:val="21"/>
                <w:highlight w:val="none"/>
                <w:lang w:val="en-US" w:eastAsia="zh-CN"/>
              </w:rPr>
              <w:t>1-</w:t>
            </w:r>
            <w:r>
              <w:rPr>
                <w:rFonts w:hint="eastAsia" w:cs="Times New Roman"/>
                <w:b/>
                <w:bCs w:val="0"/>
                <w:snapToGrid w:val="0"/>
                <w:color w:val="auto"/>
                <w:kern w:val="0"/>
                <w:sz w:val="21"/>
                <w:szCs w:val="21"/>
                <w:highlight w:val="none"/>
                <w:lang w:val="en-US" w:eastAsia="zh-CN"/>
              </w:rPr>
              <w:t>5</w:t>
            </w:r>
            <w:r>
              <w:rPr>
                <w:rFonts w:hint="default" w:ascii="Times New Roman" w:hAnsi="Times New Roman" w:cs="Times New Roman"/>
                <w:b/>
                <w:bCs/>
                <w:color w:val="auto"/>
                <w:highlight w:val="none"/>
              </w:rPr>
              <w:t>项目与《新疆维吾尔自治区2025年空气质量持续改善行动实施方案》符合性分析一览表</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712"/>
              <w:gridCol w:w="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94"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实施方案</w:t>
                  </w:r>
                </w:p>
              </w:tc>
              <w:tc>
                <w:tcPr>
                  <w:tcW w:w="2021" w:type="pct"/>
                  <w:tcBorders>
                    <w:tl2br w:val="nil"/>
                    <w:tr2bl w:val="nil"/>
                  </w:tcBorders>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683" w:type="pct"/>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94"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tc>
              <w:tc>
                <w:tcPr>
                  <w:tcW w:w="2021" w:type="pct"/>
                  <w:tcBorders>
                    <w:tl2br w:val="nil"/>
                    <w:tr2bl w:val="nil"/>
                  </w:tcBorders>
                  <w:vAlign w:val="center"/>
                </w:tcPr>
                <w:p>
                  <w:pPr>
                    <w:spacing w:line="240" w:lineRule="exact"/>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结构性金属制品制造（预制舱），非国家及自治区明令禁止或限制的“两高”行业，符合产业政策。设计选用高效节能设备，生产过程主要能源为电力，旨在达到先进能效水平。项目将按最高标准设计污染治理设施，</w:t>
                  </w:r>
                </w:p>
              </w:tc>
              <w:tc>
                <w:tcPr>
                  <w:tcW w:w="683" w:type="pct"/>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4"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（十三）持续强化扬尘污染综合管控。施工场地严格落实“六个百分百”要求。扬尘污染防治费用纳入工程造价，3000m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30%。</w:t>
                  </w:r>
                </w:p>
              </w:tc>
              <w:tc>
                <w:tcPr>
                  <w:tcW w:w="2021" w:type="pct"/>
                  <w:tcBorders>
                    <w:tl2br w:val="nil"/>
                    <w:tr2bl w:val="nil"/>
                  </w:tcBorders>
                  <w:vAlign w:val="center"/>
                </w:tcPr>
                <w:p>
                  <w:pPr>
                    <w:spacing w:line="240" w:lineRule="exact"/>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在施工期将严格落实扬尘污染防治措施，确保施工现场达到“六个百分百”要求（即施工围挡、物料堆放覆盖、出入车辆冲洗、施工道路硬化、拆迁湿法作业、渣土车辆密闭运输）。扬尘污染防治费用已纳入工程造价。</w:t>
                  </w:r>
                </w:p>
                <w:p>
                  <w:pPr>
                    <w:spacing w:line="240" w:lineRule="exact"/>
                    <w:ind w:left="0" w:lef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施工区域面积超过300</w:t>
                  </w:r>
                  <w:r>
                    <w:rPr>
                      <w:rFonts w:hint="eastAsia" w:cs="Times New Roman"/>
                      <w:color w:val="auto"/>
                      <w:sz w:val="21"/>
                      <w:szCs w:val="21"/>
                      <w:highlight w:val="none"/>
                      <w:lang w:val="en-US" w:eastAsia="zh-CN"/>
                    </w:rPr>
                    <w:t>0m</w:t>
                  </w:r>
                  <w:r>
                    <w:rPr>
                      <w:rFonts w:hint="eastAsia"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rPr>
                    <w:t>，将安装视频监控系统并接入当地监管平台。施工过程中将合理分段作业，控制裸露地面，采取洒水、覆盖等抑尘措施。施工结束后及时清理现场，恢复植被或硬化。项目属于装配式建筑范畴，符合自治区装配式建筑推广目标。</w:t>
                  </w:r>
                </w:p>
              </w:tc>
              <w:tc>
                <w:tcPr>
                  <w:tcW w:w="683"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4"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十七）强化挥发性有机物和氮氧化物综合治理。优化含VOCs原辅材料和产品结构，加快推进含VOCs原辅材料源头替代，推广使用低（无）VOCs含量涂料，严格执行VOCs含量限值标准。实施石化、化工、工业涂装、包装印刷等重点行业及油品储运销（储罐）VOCs深度治理。企业开停工、检维修期间，及时收集处理退料、清洗、吹扫等作业产生的VOCs废气，不得将火炬燃烧装置作为日常大气污染处理设施。联防联控区石化、化工行业集中的园区，建立统一的泄漏检测与修复信息管理平台。加大锅炉、炉窑及移动源氮氧化物减排力度，有序实施燃气锅炉低氮燃烧改造。加强氮肥、纯碱等行业大气氨排放治理，强化工业源烟气脱硫脱硝氨逃逸防控。</w:t>
                  </w:r>
                </w:p>
              </w:tc>
              <w:tc>
                <w:tcPr>
                  <w:tcW w:w="2021" w:type="pct"/>
                  <w:tcBorders>
                    <w:tl2br w:val="nil"/>
                    <w:tr2bl w:val="nil"/>
                  </w:tcBorders>
                  <w:vAlign w:val="center"/>
                </w:tcPr>
                <w:p>
                  <w:pPr>
                    <w:spacing w:line="24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项目喷涂工序将优先选用并承诺使用符合国家标准的低（无）VOCs含量涂料，从源头减少VOCs产生。</w:t>
                  </w:r>
                </w:p>
                <w:p>
                  <w:pPr>
                    <w:pStyle w:val="11"/>
                    <w:spacing w:line="24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喷涂</w:t>
                  </w:r>
                  <w:r>
                    <w:rPr>
                      <w:rFonts w:hint="default" w:ascii="Times New Roman" w:hAnsi="Times New Roman" w:cs="Times New Roman"/>
                      <w:color w:val="auto"/>
                      <w:sz w:val="21"/>
                      <w:szCs w:val="21"/>
                      <w:highlight w:val="none"/>
                      <w:lang w:val="en-US" w:eastAsia="zh-CN"/>
                    </w:rPr>
                    <w:t>工序的漆物颗粒、</w:t>
                  </w:r>
                  <w:r>
                    <w:rPr>
                      <w:rFonts w:hint="default" w:ascii="Times New Roman" w:hAnsi="Times New Roman" w:cs="Times New Roman"/>
                      <w:color w:val="auto"/>
                      <w:sz w:val="21"/>
                      <w:szCs w:val="21"/>
                      <w:highlight w:val="none"/>
                    </w:rPr>
                    <w:t>VOCs</w:t>
                  </w:r>
                  <w:r>
                    <w:rPr>
                      <w:rFonts w:hint="default" w:ascii="Times New Roman" w:hAnsi="Times New Roman" w:cs="Times New Roman"/>
                      <w:color w:val="auto"/>
                      <w:sz w:val="21"/>
                      <w:szCs w:val="21"/>
                      <w:highlight w:val="none"/>
                      <w:lang w:val="en-US" w:eastAsia="zh-CN"/>
                    </w:rPr>
                    <w:t>采用</w:t>
                  </w:r>
                  <w:r>
                    <w:rPr>
                      <w:rStyle w:val="46"/>
                      <w:rFonts w:hint="default" w:ascii="Times New Roman" w:hAnsi="Times New Roman" w:cs="Times New Roman"/>
                      <w:color w:val="auto"/>
                      <w:highlight w:val="none"/>
                      <w:lang w:val="en-US" w:eastAsia="zh-CN" w:bidi="ar"/>
                    </w:rPr>
                    <w:t>纸盒过滤</w:t>
                  </w:r>
                  <w:r>
                    <w:rPr>
                      <w:rStyle w:val="46"/>
                      <w:rFonts w:hint="default" w:ascii="Times New Roman" w:hAnsi="Times New Roman" w:cs="Times New Roman"/>
                      <w:color w:val="auto"/>
                      <w:highlight w:val="none"/>
                      <w:lang w:bidi="ar"/>
                    </w:rPr>
                    <w:t>+</w:t>
                  </w:r>
                  <w:r>
                    <w:rPr>
                      <w:rStyle w:val="46"/>
                      <w:rFonts w:hint="default" w:ascii="Times New Roman" w:hAnsi="Times New Roman" w:cs="Times New Roman"/>
                      <w:color w:val="auto"/>
                      <w:highlight w:val="none"/>
                      <w:lang w:eastAsia="zh-CN" w:bidi="ar"/>
                    </w:rPr>
                    <w:t>活性炭吸附</w:t>
                  </w:r>
                  <w:r>
                    <w:rPr>
                      <w:rStyle w:val="46"/>
                      <w:rFonts w:hint="default" w:ascii="Times New Roman" w:hAnsi="Times New Roman" w:cs="Times New Roman"/>
                      <w:color w:val="auto"/>
                      <w:highlight w:val="none"/>
                      <w:lang w:bidi="ar"/>
                    </w:rPr>
                    <w:t>+催化燃烧装置</w:t>
                  </w:r>
                  <w:r>
                    <w:rPr>
                      <w:rStyle w:val="46"/>
                      <w:rFonts w:hint="default" w:ascii="Times New Roman" w:hAnsi="Times New Roman" w:cs="Times New Roman"/>
                      <w:color w:val="auto"/>
                      <w:highlight w:val="none"/>
                      <w:lang w:val="en-US" w:eastAsia="zh-CN" w:bidi="ar"/>
                    </w:rPr>
                    <w:t>+15m排气筒，使用</w:t>
                  </w:r>
                  <w:r>
                    <w:rPr>
                      <w:rFonts w:hint="default" w:ascii="Times New Roman" w:hAnsi="Times New Roman" w:cs="Times New Roman"/>
                      <w:color w:val="auto"/>
                      <w:sz w:val="21"/>
                      <w:szCs w:val="21"/>
                      <w:highlight w:val="none"/>
                    </w:rPr>
                    <w:t>高效组合式治理设施，确保稳定达标排放，实现深度治理。</w:t>
                  </w:r>
                </w:p>
                <w:p>
                  <w:pPr>
                    <w:spacing w:line="24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w:t>
                  </w:r>
                  <w:r>
                    <w:rPr>
                      <w:rFonts w:hint="default" w:ascii="Times New Roman" w:hAnsi="Times New Roman" w:cs="Times New Roman"/>
                      <w:color w:val="auto"/>
                      <w:sz w:val="21"/>
                      <w:szCs w:val="21"/>
                      <w:highlight w:val="none"/>
                      <w:lang w:eastAsia="zh-CN"/>
                    </w:rPr>
                    <w:t>期间</w:t>
                  </w:r>
                  <w:r>
                    <w:rPr>
                      <w:rFonts w:hint="default" w:ascii="Times New Roman" w:hAnsi="Times New Roman" w:cs="Times New Roman"/>
                      <w:color w:val="auto"/>
                      <w:sz w:val="21"/>
                      <w:szCs w:val="21"/>
                      <w:highlight w:val="none"/>
                    </w:rPr>
                    <w:t>将规范管理，在设备检修时对管道残留废气进行收集处理。</w:t>
                  </w:r>
                </w:p>
                <w:p>
                  <w:pPr>
                    <w:spacing w:line="24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项目不涉及条款中提到的石化、化工行业LDAR平台、工业锅炉低氮改造等具体要求。</w:t>
                  </w:r>
                </w:p>
              </w:tc>
              <w:tc>
                <w:tcPr>
                  <w:tcW w:w="683" w:type="pct"/>
                  <w:tcBorders>
                    <w:tl2br w:val="nil"/>
                    <w:tr2bl w:val="nil"/>
                  </w:tcBorders>
                  <w:vAlign w:val="center"/>
                </w:tcPr>
                <w:p>
                  <w:pPr>
                    <w:spacing w:line="2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94" w:type="pct"/>
                  <w:tcBorders>
                    <w:tl2br w:val="nil"/>
                    <w:tr2bl w:val="nil"/>
                  </w:tcBorders>
                  <w:vAlign w:val="center"/>
                </w:tcPr>
                <w:p>
                  <w:pPr>
                    <w:numPr>
                      <w:ilvl w:val="0"/>
                      <w:numId w:val="0"/>
                    </w:numPr>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十八）开展餐饮油烟、恶臭异味专项治理。严格居民楼附近餐饮服务单位布局管理。拟开设餐饮服务单位的建筑应设计建设专用烟道。加强部门联动，开展排查整治，因地制宜解决群众反映强烈的恶臭异味扰民问题，投诉集中的工业园区、重点企业要安装运行在线监测系统。</w:t>
                  </w:r>
                </w:p>
              </w:tc>
              <w:tc>
                <w:tcPr>
                  <w:tcW w:w="2021" w:type="pct"/>
                  <w:tcBorders>
                    <w:tl2br w:val="nil"/>
                    <w:tr2bl w:val="nil"/>
                  </w:tcBorders>
                  <w:vAlign w:val="center"/>
                </w:tcPr>
                <w:p>
                  <w:pPr>
                    <w:spacing w:line="240" w:lineRule="exact"/>
                    <w:ind w:left="0" w:lef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本项目设置员工食堂，油烟经油烟净化器处理后，由专用烟道引至楼顶排放。</w:t>
                  </w:r>
                </w:p>
              </w:tc>
              <w:tc>
                <w:tcPr>
                  <w:tcW w:w="683" w:type="pct"/>
                  <w:tcBorders>
                    <w:tl2br w:val="nil"/>
                    <w:tr2bl w:val="nil"/>
                  </w:tcBorders>
                  <w:vAlign w:val="center"/>
                </w:tcPr>
                <w:p>
                  <w:pPr>
                    <w:spacing w:line="240" w:lineRule="exact"/>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pPr>
              <w:spacing w:before="120" w:beforeLines="5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10</w:t>
            </w:r>
            <w:r>
              <w:rPr>
                <w:rFonts w:hint="default" w:ascii="Times New Roman" w:hAnsi="Times New Roman" w:cs="Times New Roman"/>
                <w:b/>
                <w:bCs/>
                <w:color w:val="auto"/>
                <w:highlight w:val="none"/>
              </w:rPr>
              <w:t>选址合理性分析</w:t>
            </w:r>
          </w:p>
          <w:p>
            <w:pPr>
              <w:ind w:firstLine="480"/>
              <w:rPr>
                <w:rFonts w:hint="default" w:ascii="Times New Roman" w:hAnsi="Times New Roman" w:cs="Times New Roman"/>
                <w:color w:val="auto"/>
                <w:spacing w:val="-1"/>
                <w:highlight w:val="none"/>
              </w:rPr>
            </w:pPr>
            <w:r>
              <w:rPr>
                <w:rFonts w:hint="default" w:ascii="Times New Roman" w:hAnsi="Times New Roman" w:cs="Times New Roman"/>
                <w:b w:val="0"/>
                <w:bCs w:val="0"/>
                <w:color w:val="auto"/>
                <w:sz w:val="24"/>
                <w:szCs w:val="24"/>
                <w:highlight w:val="none"/>
                <w:lang w:val="en-US" w:eastAsia="zh-CN"/>
              </w:rPr>
              <w:t>根据</w:t>
            </w:r>
            <w:r>
              <w:rPr>
                <w:rFonts w:hint="default" w:ascii="Times New Roman" w:hAnsi="Times New Roman" w:cs="Times New Roman"/>
                <w:color w:val="auto"/>
                <w:highlight w:val="none"/>
              </w:rPr>
              <w:t>《轮台工业园区国土空间专项规划（2024-2035年）环境影响报告书》</w:t>
            </w:r>
            <w:r>
              <w:rPr>
                <w:rFonts w:hint="default" w:ascii="Times New Roman" w:hAnsi="Times New Roman" w:cs="Times New Roman"/>
                <w:color w:val="auto"/>
                <w:highlight w:val="none"/>
                <w:lang w:val="en-US" w:eastAsia="zh-CN"/>
              </w:rPr>
              <w:t>内容可知，</w:t>
            </w:r>
            <w:r>
              <w:rPr>
                <w:rFonts w:hint="default" w:ascii="Times New Roman" w:hAnsi="Times New Roman" w:cs="Times New Roman"/>
                <w:color w:val="auto"/>
                <w:spacing w:val="-1"/>
                <w:highlight w:val="none"/>
              </w:rPr>
              <w:t>本次轮台工业</w:t>
            </w:r>
            <w:r>
              <w:rPr>
                <w:rFonts w:hint="default" w:ascii="Times New Roman" w:hAnsi="Times New Roman" w:cs="Times New Roman"/>
                <w:color w:val="auto"/>
                <w:spacing w:val="-1"/>
                <w:highlight w:val="none"/>
                <w:lang w:eastAsia="zh-CN"/>
              </w:rPr>
              <w:t>园区</w:t>
            </w:r>
            <w:r>
              <w:rPr>
                <w:rFonts w:hint="default" w:ascii="Times New Roman" w:hAnsi="Times New Roman" w:cs="Times New Roman"/>
                <w:color w:val="auto"/>
                <w:spacing w:val="-1"/>
                <w:highlight w:val="none"/>
              </w:rPr>
              <w:t>国土空间专项规划范围为轮台县国土空间城镇开发边界面积，规划总面积24.09km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，其中拉依苏石油化工区面积16.11km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（1611.8528公顷），红桥石油服务区面积7.98km</w:t>
            </w:r>
            <w:r>
              <w:rPr>
                <w:rFonts w:hint="default" w:ascii="Times New Roman" w:hAnsi="Times New Roman" w:cs="Times New Roman"/>
                <w:color w:val="auto"/>
                <w:spacing w:val="-1"/>
                <w:highlight w:val="none"/>
                <w:vertAlign w:val="superscript"/>
              </w:rPr>
              <w:t>2</w:t>
            </w:r>
            <w:r>
              <w:rPr>
                <w:rFonts w:hint="default" w:ascii="Times New Roman" w:hAnsi="Times New Roman" w:cs="Times New Roman"/>
                <w:color w:val="auto"/>
                <w:spacing w:val="-1"/>
                <w:highlight w:val="none"/>
              </w:rPr>
              <w:t>（797.7690公顷）。</w:t>
            </w:r>
          </w:p>
          <w:p>
            <w:pPr>
              <w:ind w:firstLine="480"/>
              <w:rPr>
                <w:rFonts w:hint="default" w:ascii="Times New Roman" w:hAnsi="Times New Roman" w:cs="Times New Roman"/>
                <w:color w:val="auto"/>
                <w:spacing w:val="-3"/>
                <w:highlight w:val="none"/>
                <w:lang w:eastAsia="zh-CN"/>
              </w:rPr>
            </w:pPr>
            <w:r>
              <w:rPr>
                <w:rFonts w:hint="default" w:ascii="Times New Roman" w:hAnsi="Times New Roman" w:cs="Times New Roman"/>
                <w:b w:val="0"/>
                <w:bCs w:val="0"/>
                <w:color w:val="auto"/>
                <w:sz w:val="24"/>
                <w:szCs w:val="24"/>
                <w:highlight w:val="none"/>
                <w:lang w:val="en-US" w:eastAsia="zh-CN"/>
              </w:rPr>
              <w:t>（1）本项目位于轮台县红桥石油服务区内的装备制造及油田技术服务区，用地属于二类工业用地，符合轮台工业园区产业规划及用地规划</w:t>
            </w:r>
            <w:r>
              <w:rPr>
                <w:rFonts w:hint="default" w:ascii="Times New Roman" w:hAnsi="Times New Roman" w:cs="Times New Roman"/>
                <w:color w:val="auto"/>
                <w:spacing w:val="-3"/>
                <w:highlight w:val="none"/>
                <w:lang w:eastAsia="zh-CN"/>
              </w:rPr>
              <w:t>。</w:t>
            </w:r>
            <w:r>
              <w:rPr>
                <w:rFonts w:hint="default" w:ascii="Times New Roman" w:hAnsi="Times New Roman" w:cs="Times New Roman"/>
                <w:b w:val="0"/>
                <w:bCs w:val="0"/>
                <w:color w:val="auto"/>
                <w:sz w:val="24"/>
                <w:szCs w:val="24"/>
                <w:highlight w:val="none"/>
                <w:lang w:val="en-US" w:eastAsia="zh-CN"/>
              </w:rPr>
              <w:t>本项目用地性质为工业用地，根据轮台县自然资源局用地规划设计条件（（轮）自地设（2025-076）号），项目用地符合国家集体土地产业政策和供地政策，且通过轮台县自然资源局预审，权属与地类经实际评估勘界确认，用地合规性有保障。项目产品预制舱属于结构性金属制品制造，与红桥石油服务区装备制造及油田技术服务的产业发展方向契合，可依托园区产业基础实现协同发展。</w:t>
            </w:r>
          </w:p>
          <w:p>
            <w:pPr>
              <w:ind w:firstLine="480"/>
              <w:rPr>
                <w:rFonts w:hint="default" w:ascii="Times New Roman" w:hAnsi="Times New Roman" w:cs="Times New Roman"/>
                <w:color w:val="auto"/>
                <w:spacing w:val="-1"/>
                <w:highlight w:val="none"/>
              </w:rPr>
            </w:pPr>
            <w:r>
              <w:rPr>
                <w:rFonts w:hint="default" w:ascii="Times New Roman" w:hAnsi="Times New Roman" w:cs="Times New Roman"/>
                <w:b w:val="0"/>
                <w:bCs w:val="0"/>
                <w:color w:val="auto"/>
                <w:sz w:val="24"/>
                <w:szCs w:val="24"/>
                <w:highlight w:val="none"/>
                <w:lang w:val="en-US" w:eastAsia="zh-CN"/>
              </w:rPr>
              <w:t>（2）项目区东侧为</w:t>
            </w:r>
            <w:r>
              <w:rPr>
                <w:rFonts w:hint="eastAsia" w:cs="Times New Roman"/>
                <w:b w:val="0"/>
                <w:bCs w:val="0"/>
                <w:color w:val="auto"/>
                <w:sz w:val="24"/>
                <w:szCs w:val="24"/>
                <w:highlight w:val="none"/>
                <w:lang w:val="en-US" w:eastAsia="zh-CN"/>
              </w:rPr>
              <w:t>中石化江汉石油工程有限公司（江汉测试西部基地）</w:t>
            </w:r>
            <w:r>
              <w:rPr>
                <w:rFonts w:hint="default" w:ascii="Times New Roman" w:hAnsi="Times New Roman" w:cs="Times New Roman"/>
                <w:b w:val="0"/>
                <w:bCs w:val="0"/>
                <w:color w:val="auto"/>
                <w:sz w:val="24"/>
                <w:szCs w:val="24"/>
                <w:highlight w:val="none"/>
                <w:lang w:val="en-US" w:eastAsia="zh-CN"/>
              </w:rPr>
              <w:t>，南为华油能源，西侧为中石化石油工程机械有限公司西北服务中心，北侧为轮台县零工市场。项目位于工业园区内，周边主要是园区企业，无环境敏感点分布。项目周边无饮用水保护区、自然保护区等环境敏感保护目标。</w:t>
            </w:r>
          </w:p>
          <w:p>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cs="Times New Roman"/>
                <w:b w:val="0"/>
                <w:bCs w:val="0"/>
                <w:color w:val="auto"/>
                <w:sz w:val="24"/>
                <w:szCs w:val="24"/>
                <w:highlight w:val="none"/>
                <w:lang w:val="en-US" w:eastAsia="zh-CN"/>
              </w:rPr>
              <w:t>（3）本项目位于轮台县红桥石油服务区内的装备制造及油田技术服务区，项目供排水利用园区现有管网，生活污水纳入园区污水处理厂处理，园区供排水管网已基本健全，项目区均已覆盖供排水管网。</w:t>
            </w:r>
            <w:r>
              <w:rPr>
                <w:rFonts w:hint="default" w:ascii="Times New Roman" w:hAnsi="Times New Roman" w:cs="Times New Roman"/>
                <w:color w:val="auto"/>
                <w:highlight w:val="none"/>
              </w:rPr>
              <w:t>园区供电及交通设施完善，项目供水、排水、供电有保障，交通便利。</w:t>
            </w:r>
          </w:p>
          <w:p>
            <w:pPr>
              <w:pStyle w:val="1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）园区环境质量现状分析</w:t>
            </w:r>
          </w:p>
          <w:p>
            <w:pPr>
              <w:pStyle w:val="1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园区所在区域环境空气质量现状，基本污染物中，SO₂、NO₂、CO、O₃等指标均满足《环境空气质量标准》（GB3095-2012）二级标准要求。PM</w:t>
            </w:r>
            <w:r>
              <w:rPr>
                <w:rFonts w:hint="default" w:ascii="Times New Roman" w:hAnsi="Times New Roman" w:cs="Times New Roman"/>
                <w:color w:val="auto"/>
                <w:highlight w:val="none"/>
                <w:vertAlign w:val="subscript"/>
                <w:lang w:eastAsia="zh-CN"/>
              </w:rPr>
              <w:t>10</w:t>
            </w:r>
            <w:r>
              <w:rPr>
                <w:rFonts w:hint="default" w:ascii="Times New Roman" w:hAnsi="Times New Roman" w:cs="Times New Roman"/>
                <w:color w:val="auto"/>
                <w:highlight w:val="none"/>
                <w:lang w:eastAsia="zh-CN"/>
              </w:rPr>
              <w:t xml:space="preserve"> 年平均质量浓度虽未达标，但项目所在的红桥石油服务区已纳入园区大气污染综合整治体系，通过产业结构优化、废气治理设施升级等措施，区域大气环境质量正逐步改善。</w:t>
            </w:r>
          </w:p>
          <w:p>
            <w:pPr>
              <w:pStyle w:val="1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声环境方面，项目厂界外50米范围内无声环境保护目标，园区内声环境质量符合《声环境质量标准》（GB3096-2008）3类标准，区域声环境干扰较小。</w:t>
            </w:r>
          </w:p>
          <w:p>
            <w:pPr>
              <w:pStyle w:val="1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综上所述，园区环境质量现状良好。</w:t>
            </w:r>
          </w:p>
          <w:p>
            <w:pPr>
              <w:pStyle w:val="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本项目污染物达标排放分析</w:t>
            </w:r>
          </w:p>
          <w:p>
            <w:pPr>
              <w:pStyle w:val="15"/>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切割、喷砂工序产生的颗粒物，经集气罩收集+布袋除尘器处理后，通过15m高排气筒排放，喷漆、烘干工序产生的漆雾颗粒、非甲烷总烃及二甲苯，经纸盒过滤+活性炭吸附+催化燃烧装置处理后，通过15m高排气筒排放</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排放浓度均满足《大气污染物综合排放标准》（GB16297-1996）表2中新污染源大气污染物排放限值。食堂油烟经高效油烟净化器处理后，满足《饮食业油烟排放标准（试行）》（GB18483-2001）中2mg/m³的限值要求。</w:t>
            </w:r>
          </w:p>
          <w:p>
            <w:pPr>
              <w:pStyle w:val="15"/>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综上，项目所在园区环境质量现状良好，具备承载项目污染物排放的环境容量；项目各类污染物经相应环保措施处理后均可实现达标排放，不会对区域环境质量造成明显不利影响，</w:t>
            </w:r>
            <w:r>
              <w:rPr>
                <w:rFonts w:hint="eastAsia" w:cs="Times New Roman"/>
                <w:color w:val="auto"/>
                <w:highlight w:val="none"/>
                <w:lang w:val="en-US" w:eastAsia="zh-CN"/>
              </w:rPr>
              <w:t>因此本项目选址合理</w:t>
            </w:r>
            <w:r>
              <w:rPr>
                <w:rFonts w:hint="default" w:ascii="Times New Roman" w:hAnsi="Times New Roman" w:cs="Times New Roman"/>
                <w:color w:val="auto"/>
                <w:highlight w:val="none"/>
                <w:lang w:val="en-US" w:eastAsia="zh-CN"/>
              </w:rPr>
              <w:t>。</w:t>
            </w:r>
          </w:p>
        </w:tc>
      </w:tr>
    </w:tbl>
    <w:p>
      <w:pPr>
        <w:ind w:firstLine="600"/>
        <w:outlineLvl w:val="0"/>
        <w:rPr>
          <w:rFonts w:hint="default" w:ascii="Times New Roman" w:hAnsi="Times New Roman" w:eastAsia="黑体" w:cs="Times New Roman"/>
          <w:color w:val="auto"/>
          <w:sz w:val="30"/>
          <w:highlight w:val="none"/>
        </w:rPr>
        <w:sectPr>
          <w:footerReference r:id="rId7" w:type="default"/>
          <w:pgSz w:w="11906" w:h="16838"/>
          <w:pgMar w:top="1701" w:right="1531" w:bottom="1701" w:left="1531" w:header="851" w:footer="1077" w:gutter="0"/>
          <w:pgNumType w:start="1"/>
          <w:cols w:space="720" w:num="1"/>
          <w:docGrid w:linePitch="312" w:charSpace="0"/>
        </w:sectPr>
      </w:pPr>
    </w:p>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1"/>
        <w:tblW w:w="89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38" w:type="dxa"/>
            <w:vAlign w:val="center"/>
          </w:tcPr>
          <w:p>
            <w:pPr>
              <w:pStyle w:val="17"/>
              <w:adjustRightInd w:val="0"/>
              <w:snapToGrid w:val="0"/>
              <w:spacing w:before="0" w:beforeAutospacing="0" w:after="0" w:afterAutospacing="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建设内容</w:t>
            </w:r>
          </w:p>
        </w:tc>
        <w:tc>
          <w:tcPr>
            <w:tcW w:w="8165" w:type="dxa"/>
          </w:tcPr>
          <w:p>
            <w:pPr>
              <w:adjustRightInd w:val="0"/>
              <w:snapToGrid w:val="0"/>
              <w:spacing w:line="360" w:lineRule="auto"/>
              <w:ind w:firstLine="0" w:firstLineChars="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1项目背景、建设内容及建设规模</w:t>
            </w:r>
          </w:p>
          <w:p>
            <w:pPr>
              <w:widowControl/>
              <w:topLinePunct/>
              <w:adjustRightInd w:val="0"/>
              <w:snapToGrid w:val="0"/>
              <w:spacing w:line="360" w:lineRule="auto"/>
              <w:ind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1.1</w:t>
            </w:r>
            <w:r>
              <w:rPr>
                <w:rFonts w:hint="default" w:ascii="Times New Roman" w:hAnsi="Times New Roman" w:cs="Times New Roman"/>
                <w:b/>
                <w:bCs/>
                <w:color w:val="auto"/>
                <w:highlight w:val="none"/>
                <w:lang w:val="en-US" w:eastAsia="zh-CN"/>
              </w:rPr>
              <w:t>项目背景</w:t>
            </w:r>
          </w:p>
          <w:p>
            <w:pPr>
              <w:widowControl/>
              <w:topLinePunct/>
              <w:adjustRightInd w:val="0"/>
              <w:snapToGrid w:val="0"/>
              <w:spacing w:line="360" w:lineRule="auto"/>
              <w:ind w:firstLine="480" w:firstLineChars="200"/>
              <w:rPr>
                <w:rFonts w:hint="default" w:ascii="Times New Roman" w:hAnsi="Times New Roman" w:cs="Times New Roman"/>
                <w:b w:val="0"/>
                <w:bCs w:val="0"/>
                <w:i w:val="0"/>
                <w:iCs w:val="0"/>
                <w:caps w:val="0"/>
                <w:color w:val="auto"/>
                <w:spacing w:val="0"/>
                <w:sz w:val="24"/>
                <w:szCs w:val="24"/>
                <w:highlight w:val="none"/>
                <w:shd w:val="clear" w:fill="FFFFFF"/>
                <w:lang w:eastAsia="zh-CN"/>
              </w:rPr>
            </w:pPr>
            <w:r>
              <w:rPr>
                <w:rFonts w:hint="default" w:ascii="Times New Roman" w:hAnsi="Times New Roman" w:eastAsia="宋体" w:cs="Times New Roman"/>
                <w:b w:val="0"/>
                <w:bCs w:val="0"/>
                <w:i w:val="0"/>
                <w:iCs w:val="0"/>
                <w:caps w:val="0"/>
                <w:color w:val="auto"/>
                <w:spacing w:val="0"/>
                <w:sz w:val="24"/>
                <w:szCs w:val="24"/>
                <w:highlight w:val="none"/>
                <w:shd w:val="clear" w:fill="FFFFFF"/>
                <w:lang w:eastAsia="zh-CN"/>
              </w:rPr>
              <w:t>电力预制舱是一种集成化的电力设备舱体，其在电气设备工厂内进行包括组装、配线、调试等的预制造，作为一个整体的舱体运输到施工现场，安装在基础上即可。由国家电网“标准配送式”的核心理念而来，在传统箱变的基础上，结合集装箱的样式设计而成</w:t>
            </w:r>
            <w:r>
              <w:rPr>
                <w:rFonts w:hint="default" w:ascii="Times New Roman" w:hAnsi="Times New Roman" w:cs="Times New Roman"/>
                <w:b w:val="0"/>
                <w:bCs w:val="0"/>
                <w:i w:val="0"/>
                <w:iCs w:val="0"/>
                <w:caps w:val="0"/>
                <w:color w:val="auto"/>
                <w:spacing w:val="0"/>
                <w:sz w:val="24"/>
                <w:szCs w:val="24"/>
                <w:highlight w:val="none"/>
                <w:shd w:val="clear" w:fill="FFFFFF"/>
                <w:lang w:eastAsia="zh-CN"/>
              </w:rPr>
              <w:t>。为保障国家能源安全和实现“双碳”目标，我国正在西部地区加速建设大型风电、光伏基地。预制舱作为新能源电站并网和电网升级的核心装备，其高效、可靠的特性对于保障清洁电力稳定输出至关重要。</w:t>
            </w:r>
          </w:p>
          <w:p>
            <w:pPr>
              <w:widowControl/>
              <w:topLinePunct/>
              <w:adjustRightInd w:val="0"/>
              <w:snapToGrid w:val="0"/>
              <w:spacing w:line="360" w:lineRule="auto"/>
              <w:ind w:firstLine="480" w:firstLineChars="200"/>
              <w:rPr>
                <w:rFonts w:hint="default" w:ascii="Times New Roman" w:hAnsi="Times New Roman" w:cs="Times New Roman"/>
                <w:b w:val="0"/>
                <w:bCs w:val="0"/>
                <w:i w:val="0"/>
                <w:iCs w:val="0"/>
                <w:caps w:val="0"/>
                <w:color w:val="auto"/>
                <w:spacing w:val="0"/>
                <w:sz w:val="24"/>
                <w:szCs w:val="24"/>
                <w:highlight w:val="none"/>
                <w:shd w:val="clear" w:fill="FFFFFF"/>
                <w:lang w:eastAsia="zh-CN"/>
              </w:rPr>
            </w:pPr>
            <w:r>
              <w:rPr>
                <w:rFonts w:hint="default" w:ascii="Times New Roman" w:hAnsi="Times New Roman" w:cs="Times New Roman"/>
                <w:b w:val="0"/>
                <w:bCs w:val="0"/>
                <w:i w:val="0"/>
                <w:iCs w:val="0"/>
                <w:caps w:val="0"/>
                <w:color w:val="auto"/>
                <w:spacing w:val="0"/>
                <w:sz w:val="24"/>
                <w:szCs w:val="24"/>
                <w:highlight w:val="none"/>
                <w:shd w:val="clear" w:fill="FFFFFF"/>
                <w:lang w:eastAsia="zh-CN"/>
              </w:rPr>
              <w:t>新疆作为“西电东送”重要能源走廊，新能源项目集中上马，对预制舱式变电站等电力设备存在巨大且迫切的需求。该项目的实施，能够直接满足自治区内新能源基地、电网设施和新型基础设施（如大数据中心）的配套需要，有效提升本地装备制造水平，减少对外部设备的依赖，是强化新疆能源产业竞争力、将能源资源优势转化为经济和发展优势的具体抓手。</w:t>
            </w:r>
          </w:p>
          <w:p>
            <w:pPr>
              <w:widowControl/>
              <w:topLinePunct/>
              <w:adjustRightInd w:val="0"/>
              <w:snapToGrid w:val="0"/>
              <w:spacing w:line="360" w:lineRule="auto"/>
              <w:ind w:firstLine="480" w:firstLineChars="200"/>
              <w:rPr>
                <w:rFonts w:hint="default" w:ascii="Times New Roman" w:hAnsi="Times New Roman" w:cs="Times New Roman"/>
                <w:b w:val="0"/>
                <w:bCs w:val="0"/>
                <w:i w:val="0"/>
                <w:iCs w:val="0"/>
                <w:caps w:val="0"/>
                <w:color w:val="auto"/>
                <w:spacing w:val="0"/>
                <w:sz w:val="24"/>
                <w:szCs w:val="24"/>
                <w:highlight w:val="none"/>
                <w:shd w:val="clear" w:fill="FFFFFF"/>
                <w:lang w:eastAsia="zh-CN"/>
              </w:rPr>
            </w:pPr>
            <w:r>
              <w:rPr>
                <w:rFonts w:hint="default" w:ascii="Times New Roman" w:hAnsi="Times New Roman" w:cs="Times New Roman"/>
                <w:b w:val="0"/>
                <w:bCs w:val="0"/>
                <w:i w:val="0"/>
                <w:iCs w:val="0"/>
                <w:caps w:val="0"/>
                <w:color w:val="auto"/>
                <w:spacing w:val="0"/>
                <w:sz w:val="24"/>
                <w:szCs w:val="24"/>
                <w:highlight w:val="none"/>
                <w:shd w:val="clear" w:fill="FFFFFF"/>
                <w:lang w:eastAsia="zh-CN"/>
              </w:rPr>
              <w:t>基于以上原因，公司面对爆发在即的市场需求，把握历史机遇、实现跨越式发展的关键一步，公司通过新建规模化、智能化的生产线，能够迅速抢占市场制高点，扩大市场份额，最终实现年产1000套高质量预制舱的产能规模，迅速占据新疆及中亚市场的主导地位。</w:t>
            </w:r>
          </w:p>
          <w:p>
            <w:pPr>
              <w:widowControl/>
              <w:topLinePunct/>
              <w:adjustRightInd w:val="0"/>
              <w:snapToGrid w:val="0"/>
              <w:spacing w:line="360" w:lineRule="auto"/>
              <w:ind w:firstLine="480" w:firstLineChars="200"/>
              <w:rPr>
                <w:rFonts w:hint="default" w:ascii="Times New Roman" w:hAnsi="Times New Roman" w:cs="Times New Roman"/>
                <w:b w:val="0"/>
                <w:bCs w:val="0"/>
                <w:i w:val="0"/>
                <w:iCs w:val="0"/>
                <w:caps w:val="0"/>
                <w:color w:val="auto"/>
                <w:spacing w:val="0"/>
                <w:sz w:val="24"/>
                <w:szCs w:val="24"/>
                <w:highlight w:val="none"/>
                <w:shd w:val="clear" w:fill="FFFFFF"/>
                <w:lang w:eastAsia="zh-CN"/>
              </w:rPr>
            </w:pPr>
            <w:r>
              <w:rPr>
                <w:rFonts w:hint="default" w:ascii="Times New Roman" w:hAnsi="Times New Roman" w:eastAsia="宋体" w:cs="Times New Roman"/>
                <w:color w:val="auto"/>
                <w:kern w:val="0"/>
                <w:sz w:val="24"/>
                <w:highlight w:val="none"/>
                <w:lang w:bidi="ar"/>
              </w:rPr>
              <w:t>根据国务院令第682号《建设项目环境保护管理条例》，建设项目须履行环境影响评价制度，对照</w:t>
            </w:r>
            <w:r>
              <w:rPr>
                <w:rFonts w:hint="default" w:ascii="Times New Roman" w:hAnsi="Times New Roman" w:eastAsia="宋体" w:cs="Times New Roman"/>
                <w:color w:val="auto"/>
                <w:kern w:val="0"/>
                <w:sz w:val="24"/>
                <w:highlight w:val="none"/>
                <w:lang w:eastAsia="zh-CN" w:bidi="ar"/>
              </w:rPr>
              <w:t>生态环境部</w:t>
            </w:r>
            <w:r>
              <w:rPr>
                <w:rFonts w:hint="default" w:ascii="Times New Roman" w:hAnsi="Times New Roman" w:eastAsia="宋体" w:cs="Times New Roman"/>
                <w:color w:val="auto"/>
                <w:kern w:val="0"/>
                <w:sz w:val="24"/>
                <w:highlight w:val="none"/>
                <w:lang w:bidi="ar"/>
              </w:rPr>
              <w:t>令第16号《建设项目环境影响评价分类管理名录（2021版）》，本项目类别可归属于</w:t>
            </w:r>
            <w:r>
              <w:rPr>
                <w:rFonts w:hint="eastAsia"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三十、金属制品业33，66结构性金属制品制造331，其他（仅分割、焊接、组装的除外；年用非溶剂型低VOCs含量涂料10吨以下的除外）</w:t>
            </w:r>
            <w:r>
              <w:rPr>
                <w:rFonts w:hint="eastAsia"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；应编制环境影响报告表。现委托我单位承担项目环境影响评价工作，完善相关环保手续。</w:t>
            </w:r>
          </w:p>
          <w:p>
            <w:pPr>
              <w:widowControl/>
              <w:topLinePunct/>
              <w:adjustRightInd w:val="0"/>
              <w:snapToGrid w:val="0"/>
              <w:spacing w:line="360" w:lineRule="auto"/>
              <w:ind w:firstLine="482" w:firstLineChars="200"/>
              <w:rPr>
                <w:rFonts w:hint="default" w:ascii="Times New Roman" w:hAnsi="Times New Roman" w:cs="Times New Roman"/>
                <w:b/>
                <w:bCs/>
                <w:color w:val="auto"/>
                <w:highlight w:val="none"/>
                <w:lang w:eastAsia="zh-Hans"/>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2建设内容</w:t>
            </w:r>
          </w:p>
          <w:p>
            <w:pPr>
              <w:widowControl/>
              <w:spacing w:line="360" w:lineRule="auto"/>
              <w:ind w:firstLine="480"/>
              <w:jc w:val="left"/>
              <w:rPr>
                <w:rFonts w:hint="default" w:ascii="Times New Roman" w:hAnsi="Times New Roman" w:eastAsia="宋体" w:cs="Times New Roman"/>
                <w:color w:val="auto"/>
                <w:spacing w:val="4"/>
                <w:highlight w:val="none"/>
                <w:lang w:eastAsia="zh-CN"/>
              </w:rPr>
            </w:pPr>
            <w:r>
              <w:rPr>
                <w:rFonts w:hint="default" w:ascii="Times New Roman" w:hAnsi="Times New Roman" w:cs="Times New Roman"/>
                <w:color w:val="auto"/>
                <w:spacing w:val="4"/>
                <w:highlight w:val="none"/>
              </w:rPr>
              <w:t>项目名称：新疆森峰达智能装备有限公司新建年产预制舱1000套项目</w:t>
            </w:r>
          </w:p>
          <w:p>
            <w:pPr>
              <w:widowControl/>
              <w:spacing w:line="360" w:lineRule="auto"/>
              <w:ind w:firstLine="480"/>
              <w:jc w:val="left"/>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val="en-US" w:eastAsia="zh-CN"/>
              </w:rPr>
              <w:t>建</w:t>
            </w:r>
            <w:r>
              <w:rPr>
                <w:rFonts w:hint="default" w:ascii="Times New Roman" w:hAnsi="Times New Roman" w:cs="Times New Roman"/>
                <w:color w:val="auto"/>
                <w:spacing w:val="4"/>
                <w:highlight w:val="none"/>
              </w:rPr>
              <w:t>设单位：新疆森峰达智能装备有限公司</w:t>
            </w:r>
          </w:p>
          <w:p>
            <w:pPr>
              <w:widowControl/>
              <w:ind w:firstLine="480"/>
              <w:jc w:val="left"/>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建设性质：新建</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建设地点：</w:t>
            </w:r>
            <w:r>
              <w:rPr>
                <w:rFonts w:hint="default" w:ascii="Times New Roman" w:hAnsi="Times New Roman" w:cs="Times New Roman"/>
                <w:color w:val="auto"/>
                <w:highlight w:val="none"/>
              </w:rPr>
              <w:t>本项目位于轮台县红桥石油服务区内，项目所在地中心地理坐标为：E84°17′59.791″，N41°46′52.188″。</w:t>
            </w:r>
            <w:r>
              <w:rPr>
                <w:rFonts w:hint="default" w:ascii="Times New Roman" w:hAnsi="Times New Roman" w:cs="Times New Roman"/>
                <w:b w:val="0"/>
                <w:bCs w:val="0"/>
                <w:color w:val="auto"/>
                <w:sz w:val="24"/>
                <w:szCs w:val="24"/>
                <w:highlight w:val="none"/>
                <w:lang w:val="en-US" w:eastAsia="zh-CN"/>
              </w:rPr>
              <w:t>项目区东侧为</w:t>
            </w:r>
            <w:r>
              <w:rPr>
                <w:rFonts w:hint="eastAsia" w:cs="Times New Roman"/>
                <w:b w:val="0"/>
                <w:bCs w:val="0"/>
                <w:color w:val="auto"/>
                <w:sz w:val="24"/>
                <w:szCs w:val="24"/>
                <w:highlight w:val="none"/>
                <w:lang w:val="en-US" w:eastAsia="zh-CN"/>
              </w:rPr>
              <w:t>中石化江汉石油工程有限公司（江汉测试西部基地）</w:t>
            </w:r>
            <w:r>
              <w:rPr>
                <w:rFonts w:hint="default" w:ascii="Times New Roman" w:hAnsi="Times New Roman" w:cs="Times New Roman"/>
                <w:b w:val="0"/>
                <w:bCs w:val="0"/>
                <w:color w:val="auto"/>
                <w:sz w:val="24"/>
                <w:szCs w:val="24"/>
                <w:highlight w:val="none"/>
                <w:lang w:val="en-US" w:eastAsia="zh-CN"/>
              </w:rPr>
              <w:t>，南为华油能源，西侧为中石化石油工程机械有限公司西北服务中心，北侧为轮台县零工市场</w:t>
            </w:r>
            <w:r>
              <w:rPr>
                <w:rFonts w:hint="eastAsia" w:cs="Times New Roman"/>
                <w:b w:val="0"/>
                <w:bCs w:val="0"/>
                <w:color w:val="auto"/>
                <w:sz w:val="24"/>
                <w:szCs w:val="24"/>
                <w:highlight w:val="none"/>
                <w:lang w:val="en-US" w:eastAsia="zh-CN"/>
              </w:rPr>
              <w:t>。</w:t>
            </w:r>
            <w:r>
              <w:rPr>
                <w:rFonts w:hint="default" w:ascii="Times New Roman" w:hAnsi="Times New Roman" w:cs="Times New Roman"/>
                <w:color w:val="auto"/>
                <w:highlight w:val="none"/>
              </w:rPr>
              <w:t>项目区地理位置示意图见附图4，项目周边环境关系图见附图5。</w:t>
            </w:r>
          </w:p>
          <w:p>
            <w:pPr>
              <w:widowControl/>
              <w:spacing w:line="360" w:lineRule="auto"/>
              <w:ind w:firstLine="480"/>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w:t>
            </w:r>
            <w:r>
              <w:rPr>
                <w:rFonts w:hint="default" w:ascii="Times New Roman" w:hAnsi="Times New Roman" w:cs="Times New Roman"/>
                <w:b/>
                <w:bCs/>
                <w:color w:val="auto"/>
                <w:highlight w:val="none"/>
                <w:lang w:val="en-US" w:eastAsia="zh-CN"/>
              </w:rPr>
              <w:t>3</w:t>
            </w:r>
            <w:r>
              <w:rPr>
                <w:rFonts w:hint="default" w:ascii="Times New Roman" w:hAnsi="Times New Roman" w:eastAsia="宋体" w:cs="Times New Roman"/>
                <w:b/>
                <w:bCs/>
                <w:color w:val="auto"/>
                <w:highlight w:val="none"/>
              </w:rPr>
              <w:t>建设规模</w:t>
            </w:r>
          </w:p>
          <w:p>
            <w:pPr>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lang w:val="en-US" w:eastAsia="zh-CN"/>
              </w:rPr>
              <w:t>建设规模：</w:t>
            </w:r>
            <w:r>
              <w:rPr>
                <w:rFonts w:hint="default" w:ascii="Times New Roman" w:hAnsi="Times New Roman" w:cs="Times New Roman"/>
                <w:color w:val="auto"/>
                <w:spacing w:val="-2"/>
                <w:highlight w:val="none"/>
              </w:rPr>
              <w:t>总建筑面积约29600</w:t>
            </w:r>
            <w:r>
              <w:rPr>
                <w:rFonts w:hint="default" w:ascii="Times New Roman" w:hAnsi="Times New Roman" w:cs="Times New Roman"/>
                <w:color w:val="auto"/>
                <w:spacing w:val="-2"/>
                <w:highlight w:val="none"/>
                <w:lang w:val="en-US" w:eastAsia="zh-CN"/>
              </w:rPr>
              <w:t>m</w:t>
            </w:r>
            <w:r>
              <w:rPr>
                <w:rFonts w:hint="default" w:ascii="Times New Roman" w:hAnsi="Times New Roman" w:cs="Times New Roman"/>
                <w:color w:val="auto"/>
                <w:spacing w:val="-2"/>
                <w:highlight w:val="none"/>
                <w:vertAlign w:val="superscript"/>
                <w:lang w:val="en-US" w:eastAsia="zh-CN"/>
              </w:rPr>
              <w:t>2</w:t>
            </w:r>
            <w:r>
              <w:rPr>
                <w:rFonts w:hint="default" w:ascii="Times New Roman" w:hAnsi="Times New Roman" w:cs="Times New Roman"/>
                <w:color w:val="auto"/>
                <w:spacing w:val="-2"/>
                <w:highlight w:val="none"/>
              </w:rPr>
              <w:t>，</w:t>
            </w:r>
            <w:r>
              <w:rPr>
                <w:rFonts w:hint="default" w:ascii="Times New Roman" w:hAnsi="Times New Roman" w:cs="Times New Roman"/>
                <w:color w:val="auto"/>
                <w:spacing w:val="-2"/>
                <w:highlight w:val="none"/>
                <w:lang w:val="en-US" w:eastAsia="zh-CN"/>
              </w:rPr>
              <w:t>建设一条年产1000套预制舱生产线，</w:t>
            </w:r>
            <w:r>
              <w:rPr>
                <w:rFonts w:hint="default" w:ascii="Times New Roman" w:hAnsi="Times New Roman" w:cs="Times New Roman"/>
                <w:color w:val="auto"/>
                <w:spacing w:val="-2"/>
                <w:highlight w:val="none"/>
              </w:rPr>
              <w:t>购置相关设备、配套建设厂区道路、绿化、围墙、管网及环保消防设施。</w:t>
            </w:r>
            <w:r>
              <w:rPr>
                <w:rFonts w:hint="default" w:ascii="Times New Roman" w:hAnsi="Times New Roman" w:cs="Times New Roman"/>
                <w:color w:val="auto"/>
                <w:highlight w:val="none"/>
              </w:rPr>
              <w:t>项目组成及主要工程内容见表2-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pPr>
              <w:spacing w:line="240" w:lineRule="atLeast"/>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default"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项目组成一览表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091"/>
              <w:gridCol w:w="4586"/>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5"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工程类别</w:t>
                  </w: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工程名称</w:t>
                  </w:r>
                </w:p>
              </w:tc>
              <w:tc>
                <w:tcPr>
                  <w:tcW w:w="2885"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工程内容</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5"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686"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钢结构生产车间1栋，建筑面积约24000平方米</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约</w:t>
                  </w:r>
                  <w:r>
                    <w:rPr>
                      <w:rFonts w:hint="default" w:ascii="Times New Roman" w:hAnsi="Times New Roman" w:eastAsia="宋体" w:cs="Times New Roman"/>
                      <w:color w:val="auto"/>
                      <w:sz w:val="21"/>
                      <w:szCs w:val="21"/>
                      <w:highlight w:val="none"/>
                      <w:lang w:val="en-US" w:eastAsia="zh-CN"/>
                    </w:rPr>
                    <w:t>10.8m</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车间</w:t>
                  </w:r>
                  <w:r>
                    <w:rPr>
                      <w:rFonts w:hint="default" w:ascii="Times New Roman" w:hAnsi="Times New Roman" w:cs="Times New Roman"/>
                      <w:color w:val="auto"/>
                      <w:sz w:val="21"/>
                      <w:szCs w:val="21"/>
                      <w:highlight w:val="none"/>
                      <w:lang w:val="en-US" w:eastAsia="zh-CN"/>
                    </w:rPr>
                    <w:t>内部进行分区，切割区、焊接区、喷砂房、喷漆房、组装区。</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储运工程</w:t>
                  </w: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仓库</w:t>
                  </w:r>
                </w:p>
              </w:tc>
              <w:tc>
                <w:tcPr>
                  <w:tcW w:w="2885" w:type="pct"/>
                  <w:vAlign w:val="center"/>
                </w:tcPr>
                <w:p>
                  <w:pPr>
                    <w:spacing w:line="240" w:lineRule="auto"/>
                    <w:ind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钢结构生产车间1栋，</w:t>
                  </w:r>
                  <w:r>
                    <w:rPr>
                      <w:rFonts w:hint="default" w:ascii="Times New Roman" w:hAnsi="Times New Roman" w:eastAsia="宋体" w:cs="Times New Roman"/>
                      <w:color w:val="auto"/>
                      <w:sz w:val="21"/>
                      <w:szCs w:val="21"/>
                      <w:highlight w:val="none"/>
                      <w:lang w:val="en-US" w:eastAsia="zh-CN"/>
                    </w:rPr>
                    <w:t>建筑面积</w:t>
                  </w:r>
                  <w:r>
                    <w:rPr>
                      <w:rFonts w:hint="eastAsia" w:cs="Times New Roman"/>
                      <w:color w:val="auto"/>
                      <w:sz w:val="21"/>
                      <w:szCs w:val="21"/>
                      <w:highlight w:val="none"/>
                      <w:lang w:val="en-US" w:eastAsia="zh-CN"/>
                    </w:rPr>
                    <w:t>约</w:t>
                  </w:r>
                  <w:r>
                    <w:rPr>
                      <w:rFonts w:hint="default"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eastAsia="zh-CN"/>
                    </w:rPr>
                    <w:t>平方米，</w:t>
                  </w:r>
                  <w:r>
                    <w:rPr>
                      <w:rFonts w:hint="default" w:ascii="Times New Roman" w:hAnsi="Times New Roman"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约</w:t>
                  </w:r>
                  <w:r>
                    <w:rPr>
                      <w:rFonts w:hint="default" w:ascii="Times New Roman" w:hAnsi="Times New Roman" w:eastAsia="宋体" w:cs="Times New Roman"/>
                      <w:color w:val="auto"/>
                      <w:sz w:val="21"/>
                      <w:szCs w:val="21"/>
                      <w:highlight w:val="none"/>
                      <w:lang w:val="en-US" w:eastAsia="zh-CN"/>
                    </w:rPr>
                    <w:t>10.8m，主要用于</w:t>
                  </w:r>
                  <w:r>
                    <w:rPr>
                      <w:rFonts w:hint="default" w:ascii="Times New Roman" w:hAnsi="Times New Roman" w:cs="Times New Roman"/>
                      <w:color w:val="auto"/>
                      <w:sz w:val="21"/>
                      <w:szCs w:val="21"/>
                      <w:highlight w:val="none"/>
                      <w:lang w:val="en-US" w:eastAsia="zh-CN"/>
                    </w:rPr>
                    <w:t>原辅材料储存。</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成品区</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室外露天堆放，地面进行硬化处理，建筑面积约30000平方米</w:t>
                  </w:r>
                  <w:r>
                    <w:rPr>
                      <w:rFonts w:hint="default" w:ascii="Times New Roman" w:hAnsi="Times New Roman" w:eastAsia="宋体" w:cs="Times New Roman"/>
                      <w:color w:val="auto"/>
                      <w:sz w:val="21"/>
                      <w:szCs w:val="21"/>
                      <w:highlight w:val="none"/>
                      <w:lang w:val="en-US" w:eastAsia="zh-CN"/>
                    </w:rPr>
                    <w:t>。</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686"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综合办公楼及技术研发中心</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钢筋混凝土框架结构</w:t>
                  </w:r>
                  <w:r>
                    <w:rPr>
                      <w:rFonts w:hint="default" w:ascii="Times New Roman" w:hAnsi="Times New Roman" w:cs="Times New Roman"/>
                      <w:color w:val="auto"/>
                      <w:sz w:val="21"/>
                      <w:szCs w:val="21"/>
                      <w:highlight w:val="none"/>
                      <w:lang w:val="en-US" w:eastAsia="zh-CN"/>
                    </w:rPr>
                    <w:t>，共</w:t>
                  </w:r>
                  <w:r>
                    <w:rPr>
                      <w:rFonts w:hint="default" w:ascii="Times New Roman" w:hAnsi="Times New Roman" w:eastAsia="宋体" w:cs="Times New Roman"/>
                      <w:color w:val="auto"/>
                      <w:sz w:val="21"/>
                      <w:szCs w:val="21"/>
                      <w:highlight w:val="none"/>
                      <w:lang w:val="en-US" w:eastAsia="zh-CN"/>
                    </w:rPr>
                    <w:t>三层，建筑面积约2400平方米</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层高</w:t>
                  </w:r>
                  <w:r>
                    <w:rPr>
                      <w:rFonts w:hint="eastAsia"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10m</w:t>
                  </w:r>
                  <w:r>
                    <w:rPr>
                      <w:rFonts w:hint="default" w:ascii="Times New Roman" w:hAnsi="Times New Roman" w:cs="Times New Roman"/>
                      <w:color w:val="auto"/>
                      <w:sz w:val="21"/>
                      <w:szCs w:val="21"/>
                      <w:highlight w:val="none"/>
                      <w:lang w:val="en-US" w:eastAsia="zh-CN"/>
                    </w:rPr>
                    <w:t>。</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钢筋混凝土框架结构</w:t>
                  </w:r>
                  <w:r>
                    <w:rPr>
                      <w:rFonts w:hint="default" w:ascii="Times New Roman" w:hAnsi="Times New Roman" w:cs="Times New Roman"/>
                      <w:color w:val="auto"/>
                      <w:sz w:val="21"/>
                      <w:szCs w:val="21"/>
                      <w:highlight w:val="none"/>
                      <w:lang w:val="en-US" w:eastAsia="zh-CN"/>
                    </w:rPr>
                    <w:t>，一层，建筑面积约200平方米，</w:t>
                  </w:r>
                  <w:r>
                    <w:rPr>
                      <w:rFonts w:hint="default" w:ascii="Times New Roman" w:hAnsi="Times New Roman" w:cs="Times New Roman"/>
                      <w:color w:val="auto"/>
                      <w:sz w:val="21"/>
                      <w:szCs w:val="21"/>
                      <w:highlight w:val="none"/>
                    </w:rPr>
                    <w:t>层高</w:t>
                  </w:r>
                  <w:r>
                    <w:rPr>
                      <w:rFonts w:hint="eastAsia"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3.9m</w:t>
                  </w:r>
                  <w:r>
                    <w:rPr>
                      <w:rFonts w:hint="default" w:ascii="Times New Roman" w:hAnsi="Times New Roman" w:cs="Times New Roman"/>
                      <w:color w:val="auto"/>
                      <w:sz w:val="21"/>
                      <w:szCs w:val="21"/>
                      <w:highlight w:val="none"/>
                      <w:lang w:val="en-US" w:eastAsia="zh-CN"/>
                    </w:rPr>
                    <w:t>。</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85"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园区供水管网供给</w:t>
                  </w:r>
                  <w:r>
                    <w:rPr>
                      <w:rFonts w:hint="default" w:ascii="Times New Roman" w:hAnsi="Times New Roman" w:cs="Times New Roman"/>
                      <w:color w:val="auto"/>
                      <w:sz w:val="21"/>
                      <w:szCs w:val="21"/>
                      <w:highlight w:val="none"/>
                      <w:lang w:val="en-US" w:eastAsia="zh-CN"/>
                    </w:rPr>
                    <w:t>。</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排入园区下水管网</w:t>
                  </w:r>
                  <w:r>
                    <w:rPr>
                      <w:rFonts w:hint="default" w:ascii="Times New Roman" w:hAnsi="Times New Roman" w:cs="Times New Roman"/>
                      <w:color w:val="auto"/>
                      <w:sz w:val="21"/>
                      <w:szCs w:val="21"/>
                      <w:highlight w:val="none"/>
                      <w:lang w:eastAsia="zh-CN"/>
                    </w:rPr>
                    <w:t>。</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园区电网供电</w:t>
                  </w:r>
                  <w:r>
                    <w:rPr>
                      <w:rFonts w:hint="default" w:ascii="Times New Roman" w:hAnsi="Times New Roman" w:cs="Times New Roman"/>
                      <w:color w:val="auto"/>
                      <w:sz w:val="21"/>
                      <w:szCs w:val="21"/>
                      <w:highlight w:val="none"/>
                      <w:lang w:eastAsia="zh-CN"/>
                    </w:rPr>
                    <w:t>。</w:t>
                  </w:r>
                </w:p>
              </w:tc>
              <w:tc>
                <w:tcPr>
                  <w:tcW w:w="741"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供热</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生产采用电加热，生活区采暖为电采暖。</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切割</w:t>
                  </w:r>
                  <w:r>
                    <w:rPr>
                      <w:rFonts w:hint="default" w:ascii="Times New Roman" w:hAnsi="Times New Roman" w:cs="Times New Roman"/>
                      <w:color w:val="auto"/>
                      <w:sz w:val="21"/>
                      <w:szCs w:val="21"/>
                      <w:highlight w:val="none"/>
                      <w:lang w:val="en-US" w:eastAsia="zh-CN"/>
                    </w:rPr>
                    <w:t>工序：</w:t>
                  </w:r>
                  <w:r>
                    <w:rPr>
                      <w:rFonts w:hint="default" w:ascii="Times New Roman" w:hAnsi="Times New Roman" w:eastAsia="宋体" w:cs="Times New Roman"/>
                      <w:color w:val="auto"/>
                      <w:sz w:val="21"/>
                      <w:szCs w:val="21"/>
                      <w:highlight w:val="none"/>
                      <w:lang w:eastAsia="zh-CN"/>
                    </w:rPr>
                    <w:t>废气</w:t>
                  </w:r>
                  <w:r>
                    <w:rPr>
                      <w:rFonts w:hint="default" w:ascii="Times New Roman" w:hAnsi="Times New Roman" w:eastAsia="宋体" w:cs="Times New Roman"/>
                      <w:color w:val="auto"/>
                      <w:sz w:val="21"/>
                      <w:szCs w:val="21"/>
                      <w:highlight w:val="none"/>
                      <w:lang w:val="en-US" w:eastAsia="zh-CN"/>
                    </w:rPr>
                    <w:t>经集气罩收集后，</w:t>
                  </w:r>
                  <w:r>
                    <w:rPr>
                      <w:rFonts w:hint="default" w:ascii="Times New Roman" w:hAnsi="Times New Roman"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eastAsia="zh-CN"/>
                    </w:rPr>
                    <w:t>布袋除尘器</w:t>
                  </w:r>
                  <w:r>
                    <w:rPr>
                      <w:rFonts w:hint="default" w:ascii="Times New Roman" w:hAnsi="Times New Roman" w:eastAsia="宋体" w:cs="Times New Roman"/>
                      <w:color w:val="auto"/>
                      <w:sz w:val="21"/>
                      <w:szCs w:val="21"/>
                      <w:highlight w:val="none"/>
                      <w:lang w:val="en-US" w:eastAsia="zh-CN"/>
                    </w:rPr>
                    <w:t>处理，最终由</w:t>
                  </w:r>
                  <w:r>
                    <w:rPr>
                      <w:rFonts w:hint="default" w:ascii="Times New Roman" w:hAnsi="Times New Roman" w:cs="Times New Roman"/>
                      <w:color w:val="auto"/>
                      <w:sz w:val="21"/>
                      <w:szCs w:val="21"/>
                      <w:highlight w:val="none"/>
                      <w:lang w:eastAsia="zh-CN"/>
                    </w:rPr>
                    <w:t>15m</w:t>
                  </w:r>
                  <w:r>
                    <w:rPr>
                      <w:rFonts w:hint="default" w:ascii="Times New Roman" w:hAnsi="Times New Roman" w:eastAsia="宋体" w:cs="Times New Roman"/>
                      <w:color w:val="auto"/>
                      <w:sz w:val="21"/>
                      <w:szCs w:val="21"/>
                      <w:highlight w:val="none"/>
                      <w:lang w:eastAsia="zh-CN"/>
                    </w:rPr>
                    <w:t>高排气筒（DA001）排放；</w:t>
                  </w:r>
                </w:p>
                <w:p>
                  <w:pPr>
                    <w:spacing w:line="240" w:lineRule="auto"/>
                    <w:ind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喷砂工序：</w:t>
                  </w:r>
                  <w:r>
                    <w:rPr>
                      <w:rFonts w:hint="default" w:ascii="Times New Roman" w:hAnsi="Times New Roman" w:eastAsia="宋体" w:cs="Times New Roman"/>
                      <w:color w:val="auto"/>
                      <w:sz w:val="21"/>
                      <w:szCs w:val="21"/>
                      <w:highlight w:val="none"/>
                      <w:lang w:eastAsia="zh-CN"/>
                    </w:rPr>
                    <w:t>废气</w:t>
                  </w:r>
                  <w:r>
                    <w:rPr>
                      <w:rFonts w:hint="default" w:ascii="Times New Roman" w:hAnsi="Times New Roman" w:eastAsia="宋体" w:cs="Times New Roman"/>
                      <w:color w:val="auto"/>
                      <w:sz w:val="21"/>
                      <w:szCs w:val="21"/>
                      <w:highlight w:val="none"/>
                      <w:lang w:val="en-US" w:eastAsia="zh-CN"/>
                    </w:rPr>
                    <w:t>经集气罩收集后，</w:t>
                  </w:r>
                  <w:r>
                    <w:rPr>
                      <w:rFonts w:hint="default" w:ascii="Times New Roman" w:hAnsi="Times New Roman"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eastAsia="zh-CN"/>
                    </w:rPr>
                    <w:t>布袋除尘器</w:t>
                  </w:r>
                  <w:r>
                    <w:rPr>
                      <w:rFonts w:hint="default" w:ascii="Times New Roman" w:hAnsi="Times New Roman" w:eastAsia="宋体" w:cs="Times New Roman"/>
                      <w:color w:val="auto"/>
                      <w:sz w:val="21"/>
                      <w:szCs w:val="21"/>
                      <w:highlight w:val="none"/>
                      <w:lang w:val="en-US" w:eastAsia="zh-CN"/>
                    </w:rPr>
                    <w:t>处理，最终由</w:t>
                  </w:r>
                  <w:r>
                    <w:rPr>
                      <w:rFonts w:hint="default" w:ascii="Times New Roman" w:hAnsi="Times New Roman" w:cs="Times New Roman"/>
                      <w:color w:val="auto"/>
                      <w:sz w:val="21"/>
                      <w:szCs w:val="21"/>
                      <w:highlight w:val="none"/>
                      <w:lang w:eastAsia="zh-CN"/>
                    </w:rPr>
                    <w:t>15m</w:t>
                  </w:r>
                  <w:r>
                    <w:rPr>
                      <w:rFonts w:hint="default" w:ascii="Times New Roman" w:hAnsi="Times New Roman" w:eastAsia="宋体" w:cs="Times New Roman"/>
                      <w:color w:val="auto"/>
                      <w:sz w:val="21"/>
                      <w:szCs w:val="21"/>
                      <w:highlight w:val="none"/>
                      <w:lang w:eastAsia="zh-CN"/>
                    </w:rPr>
                    <w:t>高排气筒（DA00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）排放</w:t>
                  </w:r>
                  <w:r>
                    <w:rPr>
                      <w:rFonts w:hint="default" w:ascii="Times New Roman" w:hAnsi="Times New Roman" w:cs="Times New Roman"/>
                      <w:color w:val="auto"/>
                      <w:sz w:val="21"/>
                      <w:szCs w:val="21"/>
                      <w:highlight w:val="none"/>
                      <w:lang w:eastAsia="zh-CN"/>
                    </w:rPr>
                    <w:t>；</w:t>
                  </w:r>
                </w:p>
                <w:p>
                  <w:pPr>
                    <w:spacing w:line="240" w:lineRule="auto"/>
                    <w:ind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焊接</w:t>
                  </w:r>
                  <w:r>
                    <w:rPr>
                      <w:rFonts w:hint="default" w:ascii="Times New Roman" w:hAnsi="Times New Roman" w:cs="Times New Roman"/>
                      <w:color w:val="auto"/>
                      <w:sz w:val="21"/>
                      <w:szCs w:val="21"/>
                      <w:highlight w:val="none"/>
                      <w:lang w:val="en-US" w:eastAsia="zh-CN"/>
                    </w:rPr>
                    <w:t>工序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eastAsia="zh-CN"/>
                    </w:rPr>
                    <w:t>经移动式焊烟净化器处理后，</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eastAsia="zh-CN"/>
                    </w:rPr>
                    <w:t>车间内无组织排放</w:t>
                  </w:r>
                  <w:r>
                    <w:rPr>
                      <w:rFonts w:hint="default" w:ascii="Times New Roman" w:hAnsi="Times New Roman" w:cs="Times New Roman"/>
                      <w:color w:val="auto"/>
                      <w:sz w:val="21"/>
                      <w:szCs w:val="21"/>
                      <w:highlight w:val="none"/>
                      <w:lang w:eastAsia="zh-CN"/>
                    </w:rPr>
                    <w:t>；</w:t>
                  </w:r>
                </w:p>
                <w:p>
                  <w:pPr>
                    <w:spacing w:line="240" w:lineRule="auto"/>
                    <w:ind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喷漆</w:t>
                  </w:r>
                  <w:r>
                    <w:rPr>
                      <w:rFonts w:hint="default" w:ascii="Times New Roman" w:hAnsi="Times New Roman" w:cs="Times New Roman"/>
                      <w:color w:val="auto"/>
                      <w:sz w:val="21"/>
                      <w:szCs w:val="21"/>
                      <w:highlight w:val="none"/>
                      <w:lang w:val="en-US" w:eastAsia="zh-CN"/>
                    </w:rPr>
                    <w:t>工序：</w:t>
                  </w:r>
                  <w:r>
                    <w:rPr>
                      <w:rFonts w:hint="default" w:ascii="Times New Roman" w:hAnsi="Times New Roman" w:eastAsia="宋体" w:cs="Times New Roman"/>
                      <w:color w:val="auto"/>
                      <w:sz w:val="21"/>
                      <w:szCs w:val="21"/>
                      <w:highlight w:val="none"/>
                      <w:lang w:eastAsia="zh-CN"/>
                    </w:rPr>
                    <w:t>废气经密闭收集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eastAsia="zh-CN"/>
                    </w:rPr>
                    <w:t>纸盒过滤</w:t>
                  </w:r>
                  <w:r>
                    <w:rPr>
                      <w:rFonts w:hint="default" w:ascii="Times New Roman" w:hAnsi="Times New Roman" w:eastAsia="宋体" w:cs="Times New Roman"/>
                      <w:color w:val="auto"/>
                      <w:sz w:val="21"/>
                      <w:szCs w:val="21"/>
                      <w:highlight w:val="none"/>
                      <w:lang w:eastAsia="zh-CN"/>
                    </w:rPr>
                    <w:t>+活性炭吸附+催化燃烧装置</w:t>
                  </w:r>
                  <w:r>
                    <w:rPr>
                      <w:rFonts w:hint="default" w:ascii="Times New Roman" w:hAnsi="Times New Roman" w:cs="Times New Roman"/>
                      <w:color w:val="auto"/>
                      <w:sz w:val="21"/>
                      <w:szCs w:val="21"/>
                      <w:highlight w:val="none"/>
                      <w:lang w:val="en-US" w:eastAsia="zh-CN"/>
                    </w:rPr>
                    <w:t>处理，最终由</w:t>
                  </w:r>
                  <w:r>
                    <w:rPr>
                      <w:rFonts w:hint="default" w:ascii="Times New Roman" w:hAnsi="Times New Roman" w:cs="Times New Roman"/>
                      <w:color w:val="auto"/>
                      <w:sz w:val="21"/>
                      <w:szCs w:val="21"/>
                      <w:highlight w:val="none"/>
                      <w:lang w:eastAsia="zh-CN"/>
                    </w:rPr>
                    <w:t>15m</w:t>
                  </w:r>
                  <w:r>
                    <w:rPr>
                      <w:rFonts w:hint="default" w:ascii="Times New Roman" w:hAnsi="Times New Roman" w:eastAsia="宋体" w:cs="Times New Roman"/>
                      <w:color w:val="auto"/>
                      <w:sz w:val="21"/>
                      <w:szCs w:val="21"/>
                      <w:highlight w:val="none"/>
                      <w:lang w:eastAsia="zh-CN"/>
                    </w:rPr>
                    <w:t>高排气筒（DA00</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）排放；</w:t>
                  </w:r>
                </w:p>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食堂油烟经油烟净化器处理后，引至楼顶进行排放。</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885" w:type="pct"/>
                  <w:vAlign w:val="center"/>
                </w:tcPr>
                <w:p>
                  <w:pPr>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食堂废水经隔油池（容积5m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）处理后，与</w:t>
                  </w:r>
                  <w:r>
                    <w:rPr>
                      <w:rFonts w:hint="default" w:ascii="Times New Roman" w:hAnsi="Times New Roman" w:cs="Times New Roman"/>
                      <w:color w:val="auto"/>
                      <w:sz w:val="21"/>
                      <w:szCs w:val="21"/>
                      <w:highlight w:val="none"/>
                    </w:rPr>
                    <w:t>生活污水</w:t>
                  </w:r>
                  <w:r>
                    <w:rPr>
                      <w:rFonts w:hint="eastAsia" w:cs="Times New Roman"/>
                      <w:color w:val="auto"/>
                      <w:sz w:val="21"/>
                      <w:szCs w:val="21"/>
                      <w:highlight w:val="none"/>
                      <w:lang w:val="en-US" w:eastAsia="zh-CN"/>
                    </w:rPr>
                    <w:t>一同</w:t>
                  </w:r>
                  <w:r>
                    <w:rPr>
                      <w:rFonts w:hint="default" w:ascii="Times New Roman" w:hAnsi="Times New Roman" w:cs="Times New Roman"/>
                      <w:color w:val="auto"/>
                      <w:sz w:val="21"/>
                      <w:szCs w:val="21"/>
                      <w:highlight w:val="none"/>
                    </w:rPr>
                    <w:t>排入园区污水管网，最终进入</w:t>
                  </w:r>
                  <w:r>
                    <w:rPr>
                      <w:rFonts w:hint="eastAsia" w:cs="Times New Roman"/>
                      <w:color w:val="auto"/>
                      <w:sz w:val="21"/>
                      <w:szCs w:val="21"/>
                      <w:highlight w:val="none"/>
                      <w:lang w:eastAsia="zh-CN"/>
                    </w:rPr>
                    <w:t>轮台县新城区污水处理厂</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选用低噪声设备、合理布局、基础减振、厂房隔音</w:t>
                  </w:r>
                  <w:r>
                    <w:rPr>
                      <w:rFonts w:hint="default" w:ascii="Times New Roman" w:hAnsi="Times New Roman" w:cs="Times New Roman"/>
                      <w:color w:val="auto"/>
                      <w:sz w:val="21"/>
                      <w:szCs w:val="21"/>
                      <w:highlight w:val="none"/>
                      <w:lang w:eastAsia="zh-CN"/>
                    </w:rPr>
                    <w:t>。</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一般固体</w:t>
                  </w:r>
                </w:p>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tc>
              <w:tc>
                <w:tcPr>
                  <w:tcW w:w="2885" w:type="pct"/>
                  <w:vAlign w:val="center"/>
                </w:tcPr>
                <w:p>
                  <w:pPr>
                    <w:spacing w:line="240" w:lineRule="auto"/>
                    <w:ind w:left="0" w:leftChars="0" w:firstLine="0" w:firstLineChars="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在生产车间</w:t>
                  </w:r>
                  <w:r>
                    <w:rPr>
                      <w:rFonts w:hint="default" w:ascii="Times New Roman" w:hAnsi="Times New Roman" w:cs="Times New Roman"/>
                      <w:color w:val="auto"/>
                      <w:sz w:val="21"/>
                      <w:szCs w:val="21"/>
                      <w:highlight w:val="none"/>
                      <w:lang w:val="en-US" w:eastAsia="zh-CN"/>
                    </w:rPr>
                    <w:t>内，</w:t>
                  </w:r>
                  <w:r>
                    <w:rPr>
                      <w:rFonts w:hint="default" w:ascii="Times New Roman" w:hAnsi="Times New Roman" w:cs="Times New Roman"/>
                      <w:color w:val="auto"/>
                      <w:sz w:val="21"/>
                      <w:szCs w:val="21"/>
                      <w:highlight w:val="none"/>
                    </w:rPr>
                    <w:t>设置一般固废暂存间（</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eastAsia="zh-Hans"/>
                    </w:rPr>
                    <w:t>m</w:t>
                  </w:r>
                  <w:r>
                    <w:rPr>
                      <w:rFonts w:hint="default" w:ascii="Times New Roman" w:hAnsi="Times New Roman" w:cs="Times New Roman"/>
                      <w:color w:val="auto"/>
                      <w:sz w:val="21"/>
                      <w:szCs w:val="21"/>
                      <w:highlight w:val="none"/>
                      <w:vertAlign w:val="superscript"/>
                      <w:lang w:eastAsia="zh-Hans"/>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生产过程中产生的</w:t>
                  </w:r>
                  <w:r>
                    <w:rPr>
                      <w:rFonts w:hint="default" w:ascii="Times New Roman" w:hAnsi="Times New Roman" w:eastAsia="宋体" w:cs="Times New Roman"/>
                      <w:color w:val="auto"/>
                      <w:sz w:val="21"/>
                      <w:szCs w:val="21"/>
                      <w:highlight w:val="none"/>
                    </w:rPr>
                    <w:t>边角料、金属粉尘、焊渣统一收集后外售综合再利用</w:t>
                  </w:r>
                  <w:r>
                    <w:rPr>
                      <w:rFonts w:hint="eastAsia" w:ascii="Times New Roman" w:hAnsi="Times New Roman" w:cs="Times New Roman"/>
                      <w:color w:val="auto"/>
                      <w:sz w:val="21"/>
                      <w:szCs w:val="21"/>
                      <w:highlight w:val="none"/>
                      <w:lang w:eastAsia="zh-CN"/>
                    </w:rPr>
                    <w:t>；</w:t>
                  </w:r>
                  <w:r>
                    <w:rPr>
                      <w:rFonts w:hint="default"/>
                      <w:b w:val="0"/>
                      <w:bCs/>
                      <w:color w:val="auto"/>
                      <w:sz w:val="21"/>
                      <w:szCs w:val="21"/>
                      <w:highlight w:val="none"/>
                      <w:lang w:val="en-US" w:eastAsia="zh-CN"/>
                    </w:rPr>
                    <w:t>废布袋</w:t>
                  </w:r>
                  <w:r>
                    <w:rPr>
                      <w:rFonts w:hint="eastAsia"/>
                      <w:b w:val="0"/>
                      <w:bCs/>
                      <w:color w:val="auto"/>
                      <w:sz w:val="21"/>
                      <w:szCs w:val="21"/>
                      <w:highlight w:val="none"/>
                      <w:lang w:val="en-US" w:eastAsia="zh-CN"/>
                    </w:rPr>
                    <w:t>厂家回收；隔油池产生的</w:t>
                  </w:r>
                  <w:r>
                    <w:rPr>
                      <w:rFonts w:hint="eastAsia" w:ascii="Times New Roman" w:hAnsi="Times New Roman" w:cs="Times New Roman"/>
                      <w:color w:val="auto"/>
                      <w:sz w:val="21"/>
                      <w:szCs w:val="21"/>
                      <w:highlight w:val="none"/>
                      <w:lang w:val="en-US" w:eastAsia="zh-CN"/>
                    </w:rPr>
                    <w:t>废油脂，</w:t>
                  </w:r>
                  <w:r>
                    <w:rPr>
                      <w:rFonts w:hint="default" w:ascii="Times New Roman" w:hAnsi="Times New Roman" w:cs="Times New Roman"/>
                      <w:color w:val="auto"/>
                      <w:sz w:val="21"/>
                      <w:szCs w:val="21"/>
                      <w:highlight w:val="none"/>
                    </w:rPr>
                    <w:t>定期由油脂回收单位回收</w:t>
                  </w:r>
                  <w:r>
                    <w:rPr>
                      <w:rFonts w:hint="eastAsia" w:ascii="Times New Roman" w:hAnsi="Times New Roman" w:cs="Times New Roman"/>
                      <w:color w:val="auto"/>
                      <w:sz w:val="21"/>
                      <w:szCs w:val="21"/>
                      <w:highlight w:val="none"/>
                      <w:lang w:eastAsia="zh-CN"/>
                    </w:rPr>
                    <w:t>。</w:t>
                  </w:r>
                </w:p>
              </w:tc>
              <w:tc>
                <w:tcPr>
                  <w:tcW w:w="741"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2885" w:type="pct"/>
                  <w:vAlign w:val="center"/>
                </w:tcPr>
                <w:p>
                  <w:pPr>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在生产车间</w:t>
                  </w:r>
                  <w:r>
                    <w:rPr>
                      <w:rFonts w:hint="default" w:ascii="Times New Roman" w:hAnsi="Times New Roman"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），漆渣、</w:t>
                  </w:r>
                  <w:r>
                    <w:rPr>
                      <w:rFonts w:hint="default" w:ascii="Times New Roman" w:hAnsi="Times New Roman" w:cs="Times New Roman"/>
                      <w:color w:val="auto"/>
                      <w:sz w:val="21"/>
                      <w:szCs w:val="21"/>
                      <w:highlight w:val="none"/>
                      <w:lang w:val="en-US" w:eastAsia="zh-CN"/>
                    </w:rPr>
                    <w:t>废纸盒滤芯</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废油漆桶、废活性炭、废催化剂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废机油、</w:t>
                  </w:r>
                  <w:r>
                    <w:rPr>
                      <w:rFonts w:hint="eastAsia" w:cs="Times New Roman"/>
                      <w:color w:val="auto"/>
                      <w:sz w:val="21"/>
                      <w:szCs w:val="21"/>
                      <w:highlight w:val="none"/>
                      <w:lang w:val="en-US" w:eastAsia="zh-CN"/>
                    </w:rPr>
                    <w:t>废油桶及含油抹布、手套</w:t>
                  </w:r>
                  <w:r>
                    <w:rPr>
                      <w:rFonts w:hint="default" w:ascii="Times New Roman" w:hAnsi="Times New Roman" w:eastAsia="宋体" w:cs="Times New Roman"/>
                      <w:color w:val="auto"/>
                      <w:sz w:val="21"/>
                      <w:szCs w:val="21"/>
                      <w:highlight w:val="none"/>
                    </w:rPr>
                    <w:t>统一收集暂存，定期交由有资质的单位处理</w:t>
                  </w:r>
                  <w:r>
                    <w:rPr>
                      <w:rFonts w:hint="default" w:ascii="Times New Roman" w:hAnsi="Times New Roman" w:eastAsia="宋体" w:cs="Times New Roman"/>
                      <w:color w:val="auto"/>
                      <w:sz w:val="21"/>
                      <w:szCs w:val="21"/>
                      <w:highlight w:val="none"/>
                      <w:lang w:eastAsia="zh-CN"/>
                    </w:rPr>
                    <w:t>。</w:t>
                  </w:r>
                </w:p>
              </w:tc>
              <w:tc>
                <w:tcPr>
                  <w:tcW w:w="74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8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86"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2885"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生活垃圾设置生活垃圾收集箱，由环卫部门统一处理</w:t>
                  </w:r>
                  <w:r>
                    <w:rPr>
                      <w:rFonts w:hint="default" w:ascii="Times New Roman" w:hAnsi="Times New Roman" w:cs="Times New Roman"/>
                      <w:color w:val="auto"/>
                      <w:sz w:val="21"/>
                      <w:szCs w:val="21"/>
                      <w:highlight w:val="none"/>
                      <w:lang w:eastAsia="zh-CN"/>
                    </w:rPr>
                    <w:t>。</w:t>
                  </w:r>
                </w:p>
              </w:tc>
              <w:tc>
                <w:tcPr>
                  <w:tcW w:w="74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2</w:t>
            </w:r>
            <w:r>
              <w:rPr>
                <w:rFonts w:hint="default" w:ascii="Times New Roman" w:hAnsi="Times New Roman" w:cs="Times New Roman"/>
                <w:b/>
                <w:bCs/>
                <w:color w:val="auto"/>
                <w:highlight w:val="none"/>
              </w:rPr>
              <w:t>产品方案</w:t>
            </w:r>
          </w:p>
          <w:p>
            <w:pPr>
              <w:widowControl/>
              <w:adjustRightInd/>
              <w:ind w:firstLine="48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highlight w:val="none"/>
              </w:rPr>
              <w:t>根据建设单位提供的资料，</w:t>
            </w:r>
            <w:r>
              <w:rPr>
                <w:rFonts w:hint="default" w:ascii="Times New Roman" w:hAnsi="Times New Roman" w:cs="Times New Roman"/>
                <w:color w:val="auto"/>
                <w:sz w:val="24"/>
                <w:szCs w:val="24"/>
                <w:highlight w:val="none"/>
                <w:lang w:val="en-US" w:eastAsia="zh-CN"/>
              </w:rPr>
              <w:t>项目建成后年产预制舱1000套</w:t>
            </w:r>
            <w:r>
              <w:rPr>
                <w:rFonts w:hint="default" w:ascii="Times New Roman" w:hAnsi="Times New Roman" w:cs="Times New Roman"/>
                <w:color w:val="auto"/>
                <w:highlight w:val="none"/>
              </w:rPr>
              <w:t>。项目具体产品方案见表2-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spacing w:line="240" w:lineRule="auto"/>
              <w:ind w:firstLine="48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产品方案一览表</w:t>
            </w:r>
          </w:p>
          <w:tbl>
            <w:tblPr>
              <w:tblStyle w:val="22"/>
              <w:tblW w:w="7939" w:type="dxa"/>
              <w:tblInd w:w="1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64"/>
              <w:gridCol w:w="3641"/>
              <w:gridCol w:w="2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0"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bookmarkStart w:id="1" w:name="OLE_LINK153"/>
                  <w:r>
                    <w:rPr>
                      <w:rFonts w:hint="default" w:ascii="Times New Roman" w:hAnsi="Times New Roman" w:cs="Times New Roman"/>
                      <w:b/>
                      <w:bCs w:val="0"/>
                      <w:color w:val="auto"/>
                      <w:highlight w:val="none"/>
                      <w:lang w:val="en-US" w:eastAsia="zh-CN"/>
                    </w:rPr>
                    <w:t>产品名称</w:t>
                  </w:r>
                </w:p>
              </w:tc>
              <w:tc>
                <w:tcPr>
                  <w:tcW w:w="670"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产量规模</w:t>
                  </w:r>
                </w:p>
              </w:tc>
              <w:tc>
                <w:tcPr>
                  <w:tcW w:w="2293"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产品方案</w:t>
                  </w:r>
                </w:p>
              </w:tc>
              <w:tc>
                <w:tcPr>
                  <w:tcW w:w="1356"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0" w:type="pct"/>
                  <w:tcBorders>
                    <w:tl2br w:val="nil"/>
                    <w:tr2bl w:val="nil"/>
                  </w:tcBorders>
                  <w:noWrap w:val="0"/>
                  <w:vAlign w:val="center"/>
                </w:tcPr>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bookmarkStart w:id="2" w:name="OLE_LINK149" w:colFirst="1" w:colLast="1"/>
                  <w:r>
                    <w:rPr>
                      <w:rFonts w:hint="default" w:ascii="Times New Roman" w:hAnsi="Times New Roman" w:cs="Times New Roman"/>
                      <w:color w:val="auto"/>
                      <w:highlight w:val="none"/>
                      <w:lang w:val="en-US" w:eastAsia="zh-CN"/>
                    </w:rPr>
                    <w:t>预制舱</w:t>
                  </w:r>
                </w:p>
              </w:tc>
              <w:tc>
                <w:tcPr>
                  <w:tcW w:w="670" w:type="pct"/>
                  <w:tcBorders>
                    <w:tl2br w:val="nil"/>
                    <w:tr2bl w:val="nil"/>
                  </w:tcBorders>
                  <w:noWrap w:val="0"/>
                  <w:vAlign w:val="center"/>
                </w:tcPr>
                <w:p>
                  <w:pPr>
                    <w:pStyle w:val="38"/>
                    <w:tabs>
                      <w:tab w:val="left" w:pos="2700"/>
                    </w:tabs>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1000套/a</w:t>
                  </w:r>
                </w:p>
              </w:tc>
              <w:tc>
                <w:tcPr>
                  <w:tcW w:w="2293" w:type="pct"/>
                  <w:tcBorders>
                    <w:tl2br w:val="nil"/>
                    <w:tr2bl w:val="nil"/>
                  </w:tcBorders>
                  <w:noWrap w:val="0"/>
                  <w:vAlign w:val="center"/>
                </w:tcPr>
                <w:p>
                  <w:pPr>
                    <w:pStyle w:val="38"/>
                    <w:tabs>
                      <w:tab w:val="left" w:pos="2700"/>
                    </w:tabs>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主要产品为110kV预制舱、35kV预制舱、10KV预制舱、400V预制舱、GIS舱、储能舱预制舱等，规格尺寸大小主要按照客户要求进行定制。</w:t>
                  </w:r>
                </w:p>
              </w:tc>
              <w:tc>
                <w:tcPr>
                  <w:tcW w:w="1356"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《高压/低压预装式变电站》</w:t>
                  </w:r>
                </w:p>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（GB/T17467-2020）</w:t>
                  </w:r>
                </w:p>
              </w:tc>
            </w:tr>
            <w:bookmarkEnd w:id="1"/>
            <w:bookmarkEnd w:id="2"/>
          </w:tbl>
          <w:p>
            <w:pPr>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3</w:t>
            </w:r>
            <w:r>
              <w:rPr>
                <w:rFonts w:hint="default" w:ascii="Times New Roman" w:hAnsi="Times New Roman" w:cs="Times New Roman"/>
                <w:b/>
                <w:bCs/>
                <w:color w:val="auto"/>
                <w:highlight w:val="none"/>
                <w:lang w:eastAsia="zh-Hans"/>
              </w:rPr>
              <w:t>主要生产设施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本项目主要生产设备见下表。</w:t>
            </w:r>
          </w:p>
          <w:p>
            <w:pPr>
              <w:pStyle w:val="39"/>
              <w:overflowPunct w:val="0"/>
              <w:autoSpaceDE w:val="0"/>
              <w:autoSpaceDN w:val="0"/>
              <w:spacing w:beforeLines="0" w:afterLines="0" w:line="240" w:lineRule="atLeast"/>
              <w:ind w:firstLine="482"/>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主要生产设备一览表</w:t>
            </w:r>
          </w:p>
          <w:tbl>
            <w:tblPr>
              <w:tblStyle w:val="41"/>
              <w:tblW w:w="496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877"/>
              <w:gridCol w:w="3580"/>
              <w:gridCol w:w="914"/>
              <w:gridCol w:w="9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序号</w:t>
                  </w:r>
                </w:p>
              </w:tc>
              <w:tc>
                <w:tcPr>
                  <w:tcW w:w="118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设备</w:t>
                  </w:r>
                </w:p>
              </w:tc>
              <w:tc>
                <w:tcPr>
                  <w:tcW w:w="22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型号</w:t>
                  </w:r>
                </w:p>
              </w:tc>
              <w:tc>
                <w:tcPr>
                  <w:tcW w:w="57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c>
                <w:tcPr>
                  <w:tcW w:w="59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pacing w:val="-9"/>
                      <w:sz w:val="21"/>
                      <w:szCs w:val="21"/>
                      <w:highlight w:val="none"/>
                    </w:rPr>
                  </w:pPr>
                  <w:r>
                    <w:rPr>
                      <w:rFonts w:hint="default" w:ascii="Times New Roman" w:hAnsi="Times New Roman" w:cs="Times New Roman"/>
                      <w:color w:val="auto"/>
                      <w:spacing w:val="-9"/>
                      <w:sz w:val="21"/>
                      <w:szCs w:val="21"/>
                      <w:highlight w:val="none"/>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5000" w:type="pct"/>
                  <w:gridSpan w:val="5"/>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生产设备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开卷矫平线</w:t>
                  </w:r>
                </w:p>
              </w:tc>
              <w:tc>
                <w:tcPr>
                  <w:tcW w:w="22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适用于铝板，开卷厚度、宽度匹配产品</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条</w:t>
                  </w:r>
                </w:p>
              </w:tc>
              <w:tc>
                <w:tcPr>
                  <w:tcW w:w="5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压瓦机</w:t>
                  </w:r>
                </w:p>
              </w:tc>
              <w:tc>
                <w:tcPr>
                  <w:tcW w:w="22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val="en-US" w:eastAsia="zh-CN"/>
                    </w:rPr>
                    <w:t>可卷最大板厚（如20-30mm）、宽度（如3m）</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台</w:t>
                  </w:r>
                </w:p>
              </w:tc>
              <w:tc>
                <w:tcPr>
                  <w:tcW w:w="5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光纤激光切割机</w:t>
                  </w:r>
                </w:p>
              </w:tc>
              <w:tc>
                <w:tcPr>
                  <w:tcW w:w="22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6kW,3000×1500mm</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数控液压折弯机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500T/4100</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焊接机器人工作站</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六轴，含变位机</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套</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激光焊接机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3kW</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气保焊机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自动化喷涂流水线</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包含喷漆、烘干</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条</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喷砂机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电动单梁起重机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10T，Lk=26m含轨道</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9"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龙门式起重机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液压式剪板机</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6*2500mm</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成套电气试验设备</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批</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11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叉车</w:t>
                  </w:r>
                </w:p>
              </w:tc>
              <w:tc>
                <w:tcPr>
                  <w:tcW w:w="2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3.5T</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台</w:t>
                  </w:r>
                </w:p>
              </w:tc>
              <w:tc>
                <w:tcPr>
                  <w:tcW w:w="5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Style w:val="42"/>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4</w:t>
                  </w:r>
                </w:p>
              </w:tc>
            </w:tr>
          </w:tbl>
          <w:p>
            <w:pPr>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4</w:t>
            </w:r>
            <w:r>
              <w:rPr>
                <w:rFonts w:hint="default" w:ascii="Times New Roman" w:hAnsi="Times New Roman" w:cs="Times New Roman"/>
                <w:b/>
                <w:bCs/>
                <w:color w:val="auto"/>
                <w:highlight w:val="none"/>
              </w:rPr>
              <w:t>主要原辅材料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项目主要原辅材料见表2-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表2-4</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原辅料用量、能耗一览表</w:t>
            </w:r>
          </w:p>
          <w:tbl>
            <w:tblPr>
              <w:tblStyle w:val="21"/>
              <w:tblW w:w="488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544"/>
              <w:gridCol w:w="2508"/>
              <w:gridCol w:w="1753"/>
              <w:gridCol w:w="1365"/>
              <w:gridCol w:w="1590"/>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71" w:hRule="atLeast"/>
                <w:jc w:val="center"/>
              </w:trPr>
              <w:tc>
                <w:tcPr>
                  <w:tcW w:w="350"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序号</w:t>
                  </w:r>
                </w:p>
              </w:tc>
              <w:tc>
                <w:tcPr>
                  <w:tcW w:w="1615"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名称</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年用量</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c>
                <w:tcPr>
                  <w:tcW w:w="102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槽钢</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400t/a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方管</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热</w:t>
                  </w:r>
                  <w:r>
                    <w:rPr>
                      <w:rFonts w:hint="default" w:ascii="Times New Roman" w:hAnsi="Times New Roman" w:eastAsia="宋体" w:cs="Times New Roman"/>
                      <w:color w:val="auto"/>
                      <w:kern w:val="0"/>
                      <w:sz w:val="21"/>
                      <w:szCs w:val="21"/>
                      <w:highlight w:val="none"/>
                    </w:rPr>
                    <w:t>板</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750t/a</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角钢</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50t/a</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钢砂</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10t/a</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药芯</w:t>
                  </w:r>
                  <w:r>
                    <w:rPr>
                      <w:rFonts w:hint="default" w:ascii="Times New Roman" w:hAnsi="Times New Roman" w:eastAsia="宋体" w:cs="Times New Roman"/>
                      <w:color w:val="auto"/>
                      <w:kern w:val="0"/>
                      <w:sz w:val="21"/>
                      <w:szCs w:val="21"/>
                      <w:highlight w:val="none"/>
                    </w:rPr>
                    <w:t>焊丝</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60t/a</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静电地板</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/a</w:t>
                  </w:r>
                </w:p>
              </w:tc>
              <w:tc>
                <w:tcPr>
                  <w:tcW w:w="879"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成品组</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装套件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绝缘胶皮</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/a</w:t>
                  </w:r>
                </w:p>
              </w:tc>
              <w:tc>
                <w:tcPr>
                  <w:tcW w:w="879"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电缆</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25000m/a</w:t>
                  </w:r>
                </w:p>
              </w:tc>
              <w:tc>
                <w:tcPr>
                  <w:tcW w:w="879"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罐装二氧化碳</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2500罐/a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外购40L/罐装二氧化碳</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水性多功能漆（水性漆）</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外购20L/桶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耐磨环氧铝粉漆</w:t>
                  </w:r>
                </w:p>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bidi="en-US"/>
                    </w:rPr>
                    <w:t>EXAII组份A（油漆）</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外购20L/桶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耐磨环氧铝粉漆</w:t>
                  </w:r>
                </w:p>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EXAII组份B（固化剂）</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外购20L/桶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w:t>
                  </w:r>
                </w:p>
              </w:tc>
              <w:tc>
                <w:tcPr>
                  <w:tcW w:w="1615" w:type="pct"/>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en-US"/>
                    </w:rPr>
                    <w:t>丙烯酸聚氨酯面漆</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bidi="ar-SA"/>
                    </w:rPr>
                    <w:t>外购20L/桶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eastAsia="仿宋_GB2312" w:cs="Times New Roman"/>
                      <w:snapToGrid w:val="0"/>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w:t>
                  </w:r>
                </w:p>
              </w:tc>
              <w:tc>
                <w:tcPr>
                  <w:tcW w:w="1615"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稀释剂</w:t>
                  </w:r>
                </w:p>
              </w:tc>
              <w:tc>
                <w:tcPr>
                  <w:tcW w:w="112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lang w:val="en-US" w:eastAsia="zh-CN"/>
                    </w:rPr>
                    <w:t>t/a</w:t>
                  </w:r>
                </w:p>
              </w:tc>
              <w:tc>
                <w:tcPr>
                  <w:tcW w:w="87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bidi="ar-SA"/>
                    </w:rPr>
                    <w:t>外购20L/桶</w:t>
                  </w:r>
                </w:p>
              </w:tc>
              <w:tc>
                <w:tcPr>
                  <w:tcW w:w="1024" w:type="pct"/>
                  <w:vMerge w:val="continue"/>
                  <w:vAlign w:val="center"/>
                </w:tcPr>
                <w:p>
                  <w:pPr>
                    <w:adjustRightInd w:val="0"/>
                    <w:snapToGrid w:val="0"/>
                    <w:spacing w:line="240" w:lineRule="auto"/>
                    <w:ind w:firstLine="0" w:firstLineChars="0"/>
                    <w:jc w:val="center"/>
                    <w:rPr>
                      <w:rFonts w:hint="default" w:ascii="Times New Roman" w:hAnsi="Times New Roman" w:eastAsia="仿宋_GB2312" w:cs="Times New Roman"/>
                      <w:snapToGrid w:val="0"/>
                      <w:color w:val="auto"/>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15</w:t>
                  </w:r>
                </w:p>
              </w:tc>
              <w:tc>
                <w:tcPr>
                  <w:tcW w:w="1615"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1725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园区管网提供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4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w:t>
                  </w:r>
                </w:p>
              </w:tc>
              <w:tc>
                <w:tcPr>
                  <w:tcW w:w="1615"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w:t>
                  </w:r>
                </w:p>
              </w:tc>
              <w:tc>
                <w:tcPr>
                  <w:tcW w:w="112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r>
                    <w:rPr>
                      <w:rFonts w:hint="default" w:ascii="Times New Roman" w:hAnsi="Times New Roman" w:cs="Times New Roman"/>
                      <w:color w:val="auto"/>
                      <w:sz w:val="21"/>
                      <w:szCs w:val="21"/>
                      <w:highlight w:val="none"/>
                    </w:rPr>
                    <w:t>万kW·h</w:t>
                  </w:r>
                </w:p>
              </w:tc>
              <w:tc>
                <w:tcPr>
                  <w:tcW w:w="8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2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园区电网提供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shd w:val="clear" w:color="auto" w:fill="auto"/>
                  <w:vAlign w:val="center"/>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注：本项目耐磨环氧铝粉漆、丙烯酸聚氨酯面漆属于溶剂型涂料。</w:t>
                  </w:r>
                </w:p>
              </w:tc>
            </w:tr>
          </w:tbl>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耐磨环氧铝粉漆EXAII组份A和组分B混合比例为9:1。</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耐磨环氧铝粉漆EXAII组份A：液体，多种颜色，沸点、初始沸点和沸点范围，最低值：119℃（246.2℉（华氏度））(1-丁醇），加权平均值：234.64℃（454.4F（华氏度）），密度：1.57～1.611g/cm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。主要成分：环氧树脂50%、二甲苯10%、坚果壳液与环氧氯丙烷的聚合物5%、乙苯3%、1-丁醇3%、苯甲醇3%。</w:t>
            </w:r>
          </w:p>
          <w:p>
            <w:pPr>
              <w:ind w:left="0" w:leftChars="0" w:firstLine="480" w:firstLineChars="200"/>
              <w:jc w:val="both"/>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耐</w:t>
            </w:r>
            <w:r>
              <w:rPr>
                <w:rFonts w:hint="default" w:ascii="Times New Roman" w:hAnsi="Times New Roman" w:cs="Times New Roman"/>
                <w:color w:val="auto"/>
                <w:highlight w:val="none"/>
                <w:lang w:val="en-US" w:eastAsia="zh-CN"/>
              </w:rPr>
              <w:t>磨环氧铝粉漆EXAII组份B（固化剂）：液体，多种颜色，沸点、初始沸点和沸点范围，最低值：119℃（246.2℉）华氏度））（1-丁醇），加权平均值：131.57℃（268.8F（华氏度）），密度：0.97g/cm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。主要成分：二甲苯18%、1-丁醇10%、乙苯6.2%。</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丙烯酸聚氨酯面漆分为组分A和组分B混合比例为9:1的成品。</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丙烯酸聚氨酯面漆组分A（油漆）：液体，多种颜色，沸点、初始沸点和沸点范围，最低值：126℃（258.8F（华氏度））（醋酸丁酯），加权平均值：141.12℃（286F（华氏度）），密度：1.266-1.513g/cm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。主要成分：二甲苯22%、乙苯10%、轻芳烃溶剂石脑油（石油）5%、醋酸丁酯0.3%。</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丙烯酸聚氨酯面漆组分B（固化剂）：液体，多种颜色，沸点、初始沸点和沸点范围，最低值：126℃(258.8F（华氏度））（醋酸丁酯），加权平均值：141.12℃（286F（华氏度）），密度：1.266-1.513g/cm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。主要成分：二甲苯22%、乙苯10%、轻芳烃溶剂石脑油（石油）5%、醋酸丁酯0.3%。</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稀释剂：外观与性状：无色透明液体，有刺激性气味，其中二甲苯占40-50%，正丁醇20-30%。易燃，闪点≥30℃，相对密度（水=1）：0.8-0.9，难溶于水，可混溶于乙醇、乙醚等多数有机溶剂。主要用于大、中型客车、汽车表面油漆的稀释。</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水性多功能漆：物理状态为透明不水溶液体。颜色为白色，有轻微气味，沸点＞100℃，熔点＜0℃，闪点＞1500℃，可加水稀释，相对密度为1.05－1.25g/cm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，经检测挥发性有机化合物含量（VOC）限量为98g/L。</w:t>
            </w:r>
          </w:p>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注：根据企业提供的资料，耐磨环氧铝粉漆EXAII组份A与组分B调配后的检测报告可知，VOC含量为190g/L。丙烯酸聚氨酯面漆的VOC含量为306g/L。水性多功能漆，经检测挥发性有机化合物含量（VOC）限量为98g/L。</w:t>
            </w:r>
          </w:p>
          <w:p>
            <w:pPr>
              <w:ind w:left="0" w:leftChars="0" w:firstLine="482" w:firstLineChars="200"/>
              <w:jc w:val="both"/>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是否使用低VOC含量涂料判定</w:t>
            </w:r>
          </w:p>
          <w:p>
            <w:pPr>
              <w:ind w:left="0" w:leftChars="0" w:firstLine="480" w:firstLineChars="200"/>
              <w:jc w:val="both"/>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根据《低挥发性有机化合物含量涂料产品技术要求》（GB</w:t>
            </w:r>
            <w:r>
              <w:rPr>
                <w:rFonts w:hint="eastAsia" w:cs="Times New Roman"/>
                <w:b w:val="0"/>
                <w:bCs w:val="0"/>
                <w:color w:val="auto"/>
                <w:highlight w:val="none"/>
                <w:lang w:val="en-US" w:eastAsia="zh-CN"/>
              </w:rPr>
              <w:t xml:space="preserve">/T </w:t>
            </w:r>
            <w:r>
              <w:rPr>
                <w:rFonts w:hint="default" w:ascii="Times New Roman" w:hAnsi="Times New Roman" w:cs="Times New Roman"/>
                <w:b w:val="0"/>
                <w:bCs w:val="0"/>
                <w:color w:val="auto"/>
                <w:highlight w:val="none"/>
                <w:lang w:val="en-US" w:eastAsia="zh-CN"/>
              </w:rPr>
              <w:t>38597-2020）及《涂料中有害物质限量第2部分：工业涂料》（GB</w:t>
            </w:r>
            <w:r>
              <w:rPr>
                <w:rFonts w:hint="eastAsia"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30981.2-2025），本项目属于机械设备涂料。</w:t>
            </w:r>
          </w:p>
          <w:p>
            <w:pPr>
              <w:ind w:left="0" w:leftChars="0" w:firstLine="480" w:firstLineChars="200"/>
              <w:jc w:val="both"/>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根据建设单位提供资料所用涂料的成分及检测报告，项目所用各类涂料中VOC含量见表2-5。</w:t>
            </w:r>
          </w:p>
          <w:p>
            <w:pPr>
              <w:spacing w:line="240" w:lineRule="auto"/>
              <w:ind w:firstLine="48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w:t>
            </w:r>
            <w:r>
              <w:rPr>
                <w:rFonts w:hint="default" w:ascii="Times New Roman" w:hAnsi="Times New Roman" w:cs="Times New Roman"/>
                <w:b/>
                <w:bCs/>
                <w:color w:val="auto"/>
                <w:sz w:val="24"/>
                <w:szCs w:val="24"/>
                <w:highlight w:val="none"/>
                <w:lang w:val="en-US" w:eastAsia="zh-CN"/>
              </w:rPr>
              <w:t xml:space="preserve">5  </w:t>
            </w:r>
            <w:r>
              <w:rPr>
                <w:rFonts w:hint="default" w:ascii="Times New Roman" w:hAnsi="Times New Roman" w:eastAsia="宋体" w:cs="Times New Roman"/>
                <w:b/>
                <w:bCs/>
                <w:color w:val="auto"/>
                <w:sz w:val="24"/>
                <w:szCs w:val="24"/>
                <w:highlight w:val="none"/>
                <w:lang w:val="en-US" w:eastAsia="zh-CN"/>
              </w:rPr>
              <w:t>项目各类涂料中VOC含量</w:t>
            </w:r>
          </w:p>
          <w:tbl>
            <w:tblPr>
              <w:tblStyle w:val="22"/>
              <w:tblW w:w="7882" w:type="dxa"/>
              <w:tblInd w:w="1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200"/>
              <w:gridCol w:w="1200"/>
              <w:gridCol w:w="1152"/>
              <w:gridCol w:w="1153"/>
              <w:gridCol w:w="1077"/>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9"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名称</w:t>
                  </w:r>
                </w:p>
              </w:tc>
              <w:tc>
                <w:tcPr>
                  <w:tcW w:w="1522" w:type="pct"/>
                  <w:gridSpan w:val="2"/>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《低挥发性有机化合物含量涂料产品技术要求》（GB</w:t>
                  </w:r>
                  <w:r>
                    <w:rPr>
                      <w:rFonts w:hint="eastAsia" w:cs="Times New Roman"/>
                      <w:b/>
                      <w:bCs w:val="0"/>
                      <w:color w:val="auto"/>
                      <w:highlight w:val="none"/>
                      <w:lang w:val="en-US" w:eastAsia="zh-CN"/>
                    </w:rPr>
                    <w:t xml:space="preserve">/T </w:t>
                  </w:r>
                  <w:r>
                    <w:rPr>
                      <w:rFonts w:hint="default" w:ascii="Times New Roman" w:hAnsi="Times New Roman" w:cs="Times New Roman"/>
                      <w:b/>
                      <w:bCs w:val="0"/>
                      <w:color w:val="auto"/>
                      <w:highlight w:val="none"/>
                      <w:lang w:val="en-US" w:eastAsia="zh-CN"/>
                    </w:rPr>
                    <w:t>38597-2020）</w:t>
                  </w:r>
                </w:p>
              </w:tc>
              <w:tc>
                <w:tcPr>
                  <w:tcW w:w="1462" w:type="pct"/>
                  <w:gridSpan w:val="2"/>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《涂料中有害物质限量第2部分：工业涂料》（GB</w:t>
                  </w:r>
                  <w:r>
                    <w:rPr>
                      <w:rFonts w:hint="eastAsia" w:cs="Times New Roman"/>
                      <w:b/>
                      <w:bCs w:val="0"/>
                      <w:color w:val="auto"/>
                      <w:highlight w:val="none"/>
                      <w:lang w:val="en-US" w:eastAsia="zh-CN"/>
                    </w:rPr>
                    <w:t xml:space="preserve"> </w:t>
                  </w:r>
                  <w:r>
                    <w:rPr>
                      <w:rFonts w:hint="default" w:ascii="Times New Roman" w:hAnsi="Times New Roman" w:cs="Times New Roman"/>
                      <w:b/>
                      <w:bCs w:val="0"/>
                      <w:color w:val="auto"/>
                      <w:highlight w:val="none"/>
                      <w:lang w:val="en-US" w:eastAsia="zh-CN"/>
                    </w:rPr>
                    <w:t>30981.2-2025）</w:t>
                  </w:r>
                </w:p>
              </w:tc>
              <w:tc>
                <w:tcPr>
                  <w:tcW w:w="683"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VOC</w:t>
                  </w:r>
                </w:p>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含量</w:t>
                  </w:r>
                </w:p>
              </w:tc>
              <w:tc>
                <w:tcPr>
                  <w:tcW w:w="562" w:type="pct"/>
                  <w:tcBorders>
                    <w:tl2br w:val="nil"/>
                    <w:tr2bl w:val="nil"/>
                  </w:tcBorders>
                  <w:noWrap w:val="0"/>
                  <w:vAlign w:val="center"/>
                </w:tcPr>
                <w:p>
                  <w:pPr>
                    <w:pStyle w:val="38"/>
                    <w:tabs>
                      <w:tab w:val="left" w:pos="2700"/>
                    </w:tabs>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9" w:type="pct"/>
                  <w:tcBorders>
                    <w:tl2br w:val="nil"/>
                    <w:tr2bl w:val="nil"/>
                  </w:tcBorders>
                  <w:noWrap w:val="0"/>
                  <w:vAlign w:val="center"/>
                </w:tcPr>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耐磨环氧铝粉漆</w:t>
                  </w:r>
                </w:p>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EXAII</w:t>
                  </w:r>
                </w:p>
              </w:tc>
              <w:tc>
                <w:tcPr>
                  <w:tcW w:w="761"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双组分</w:t>
                  </w:r>
                </w:p>
              </w:tc>
              <w:tc>
                <w:tcPr>
                  <w:tcW w:w="761"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21"/>
                      <w:szCs w:val="21"/>
                      <w:highlight w:val="none"/>
                      <w:lang w:val="en-US" w:eastAsia="zh-CN" w:bidi="en-US"/>
                    </w:rPr>
                    <w:t>≤420g/L</w:t>
                  </w:r>
                </w:p>
              </w:tc>
              <w:tc>
                <w:tcPr>
                  <w:tcW w:w="730"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面漆</w:t>
                  </w:r>
                </w:p>
              </w:tc>
              <w:tc>
                <w:tcPr>
                  <w:tcW w:w="731"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21"/>
                      <w:szCs w:val="21"/>
                      <w:highlight w:val="none"/>
                      <w:lang w:val="en-US" w:eastAsia="zh-CN" w:bidi="en-US"/>
                    </w:rPr>
                    <w:t>≤500g/L</w:t>
                  </w:r>
                </w:p>
              </w:tc>
              <w:tc>
                <w:tcPr>
                  <w:tcW w:w="683"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190</w:t>
                  </w:r>
                  <w:r>
                    <w:rPr>
                      <w:rFonts w:hint="default" w:ascii="Times New Roman" w:hAnsi="Times New Roman" w:eastAsia="仿宋_GB2312" w:cs="Times New Roman"/>
                      <w:color w:val="auto"/>
                      <w:sz w:val="21"/>
                      <w:szCs w:val="21"/>
                      <w:highlight w:val="none"/>
                      <w:lang w:val="en-US" w:eastAsia="zh-CN" w:bidi="en-US"/>
                    </w:rPr>
                    <w:t>g/L</w:t>
                  </w:r>
                </w:p>
              </w:tc>
              <w:tc>
                <w:tcPr>
                  <w:tcW w:w="562"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9" w:type="pct"/>
                  <w:tcBorders>
                    <w:tl2br w:val="nil"/>
                    <w:tr2bl w:val="nil"/>
                  </w:tcBorders>
                  <w:noWrap w:val="0"/>
                  <w:vAlign w:val="center"/>
                </w:tcPr>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丙烯酸聚氨酯面漆</w:t>
                  </w:r>
                </w:p>
              </w:tc>
              <w:tc>
                <w:tcPr>
                  <w:tcW w:w="761" w:type="pct"/>
                  <w:tcBorders>
                    <w:tl2br w:val="nil"/>
                    <w:tr2bl w:val="nil"/>
                  </w:tcBorders>
                  <w:shd w:val="clear" w:color="auto" w:fill="auto"/>
                  <w:noWrap w:val="0"/>
                  <w:vAlign w:val="center"/>
                </w:tcPr>
                <w:p>
                  <w:pPr>
                    <w:pStyle w:val="38"/>
                    <w:tabs>
                      <w:tab w:val="left" w:pos="2700"/>
                    </w:tabs>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双组分</w:t>
                  </w:r>
                </w:p>
              </w:tc>
              <w:tc>
                <w:tcPr>
                  <w:tcW w:w="761" w:type="pct"/>
                  <w:tcBorders>
                    <w:tl2br w:val="nil"/>
                    <w:tr2bl w:val="nil"/>
                  </w:tcBorders>
                  <w:shd w:val="clear" w:color="auto" w:fill="auto"/>
                  <w:noWrap w:val="0"/>
                  <w:vAlign w:val="center"/>
                </w:tcPr>
                <w:p>
                  <w:pPr>
                    <w:pStyle w:val="38"/>
                    <w:tabs>
                      <w:tab w:val="left" w:pos="2700"/>
                    </w:tabs>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bidi="en-US"/>
                    </w:rPr>
                    <w:t>≤420g/L</w:t>
                  </w:r>
                </w:p>
              </w:tc>
              <w:tc>
                <w:tcPr>
                  <w:tcW w:w="730"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面漆</w:t>
                  </w:r>
                </w:p>
              </w:tc>
              <w:tc>
                <w:tcPr>
                  <w:tcW w:w="731"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21"/>
                      <w:szCs w:val="21"/>
                      <w:highlight w:val="none"/>
                      <w:lang w:val="en-US" w:eastAsia="zh-CN" w:bidi="en-US"/>
                    </w:rPr>
                    <w:t>≤500g/L</w:t>
                  </w:r>
                </w:p>
              </w:tc>
              <w:tc>
                <w:tcPr>
                  <w:tcW w:w="683"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306</w:t>
                  </w:r>
                  <w:r>
                    <w:rPr>
                      <w:rFonts w:hint="default" w:ascii="Times New Roman" w:hAnsi="Times New Roman" w:eastAsia="仿宋_GB2312" w:cs="Times New Roman"/>
                      <w:color w:val="auto"/>
                      <w:sz w:val="21"/>
                      <w:szCs w:val="21"/>
                      <w:highlight w:val="none"/>
                      <w:lang w:val="en-US" w:eastAsia="zh-CN" w:bidi="en-US"/>
                    </w:rPr>
                    <w:t>g/L</w:t>
                  </w:r>
                </w:p>
              </w:tc>
              <w:tc>
                <w:tcPr>
                  <w:tcW w:w="562"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9" w:type="pct"/>
                  <w:tcBorders>
                    <w:tl2br w:val="nil"/>
                    <w:tr2bl w:val="nil"/>
                  </w:tcBorders>
                  <w:noWrap w:val="0"/>
                  <w:vAlign w:val="center"/>
                </w:tcPr>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水性多功能漆</w:t>
                  </w:r>
                </w:p>
              </w:tc>
              <w:tc>
                <w:tcPr>
                  <w:tcW w:w="761" w:type="pct"/>
                  <w:tcBorders>
                    <w:tl2br w:val="nil"/>
                    <w:tr2bl w:val="nil"/>
                  </w:tcBorders>
                  <w:shd w:val="clear" w:color="auto" w:fill="auto"/>
                  <w:noWrap w:val="0"/>
                  <w:vAlign w:val="center"/>
                </w:tcPr>
                <w:p>
                  <w:pPr>
                    <w:pStyle w:val="38"/>
                    <w:tabs>
                      <w:tab w:val="left" w:pos="2700"/>
                    </w:tabs>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型材涂料-其他</w:t>
                  </w:r>
                </w:p>
              </w:tc>
              <w:tc>
                <w:tcPr>
                  <w:tcW w:w="761" w:type="pct"/>
                  <w:tcBorders>
                    <w:tl2br w:val="nil"/>
                    <w:tr2bl w:val="nil"/>
                  </w:tcBorders>
                  <w:shd w:val="clear" w:color="auto" w:fill="auto"/>
                  <w:noWrap w:val="0"/>
                  <w:vAlign w:val="center"/>
                </w:tcPr>
                <w:p>
                  <w:pPr>
                    <w:pStyle w:val="38"/>
                    <w:tabs>
                      <w:tab w:val="left" w:pos="2700"/>
                    </w:tabs>
                    <w:bidi w:val="0"/>
                    <w:ind w:firstLine="0" w:firstLineChars="0"/>
                    <w:jc w:val="center"/>
                    <w:rPr>
                      <w:rFonts w:hint="default" w:ascii="Times New Roman" w:hAnsi="Times New Roman" w:eastAsia="仿宋_GB2312" w:cs="Times New Roman"/>
                      <w:color w:val="auto"/>
                      <w:sz w:val="21"/>
                      <w:szCs w:val="21"/>
                      <w:highlight w:val="none"/>
                      <w:lang w:val="en-US" w:eastAsia="zh-CN" w:bidi="en-US"/>
                    </w:rPr>
                  </w:pPr>
                  <w:r>
                    <w:rPr>
                      <w:rFonts w:hint="default" w:ascii="Times New Roman" w:hAnsi="Times New Roman" w:eastAsia="仿宋_GB2312" w:cs="Times New Roman"/>
                      <w:color w:val="auto"/>
                      <w:sz w:val="21"/>
                      <w:szCs w:val="21"/>
                      <w:highlight w:val="none"/>
                      <w:lang w:val="en-US" w:eastAsia="zh-CN" w:bidi="en-US"/>
                    </w:rPr>
                    <w:t>≤250g/L</w:t>
                  </w:r>
                </w:p>
              </w:tc>
              <w:tc>
                <w:tcPr>
                  <w:tcW w:w="730"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型材涂料、金属家具涂料-其他</w:t>
                  </w:r>
                </w:p>
              </w:tc>
              <w:tc>
                <w:tcPr>
                  <w:tcW w:w="731" w:type="pct"/>
                  <w:tcBorders>
                    <w:tl2br w:val="nil"/>
                    <w:tr2bl w:val="nil"/>
                  </w:tcBorders>
                  <w:noWrap w:val="0"/>
                  <w:vAlign w:val="center"/>
                </w:tcPr>
                <w:p>
                  <w:pPr>
                    <w:pStyle w:val="38"/>
                    <w:tabs>
                      <w:tab w:val="left" w:pos="2700"/>
                    </w:tabs>
                    <w:bidi w:val="0"/>
                    <w:jc w:val="center"/>
                    <w:rPr>
                      <w:rFonts w:hint="default" w:ascii="Times New Roman" w:hAnsi="Times New Roman" w:eastAsia="仿宋_GB2312" w:cs="Times New Roman"/>
                      <w:color w:val="auto"/>
                      <w:sz w:val="21"/>
                      <w:szCs w:val="21"/>
                      <w:highlight w:val="none"/>
                      <w:lang w:val="en-US" w:eastAsia="zh-CN" w:bidi="en-US"/>
                    </w:rPr>
                  </w:pPr>
                  <w:r>
                    <w:rPr>
                      <w:rFonts w:hint="default" w:ascii="Times New Roman" w:hAnsi="Times New Roman" w:eastAsia="仿宋_GB2312" w:cs="Times New Roman"/>
                      <w:color w:val="auto"/>
                      <w:sz w:val="21"/>
                      <w:szCs w:val="21"/>
                      <w:highlight w:val="none"/>
                      <w:lang w:val="en-US" w:eastAsia="zh-CN" w:bidi="en-US"/>
                    </w:rPr>
                    <w:t>≤350g/L</w:t>
                  </w:r>
                </w:p>
              </w:tc>
              <w:tc>
                <w:tcPr>
                  <w:tcW w:w="683"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98g/L</w:t>
                  </w:r>
                </w:p>
              </w:tc>
              <w:tc>
                <w:tcPr>
                  <w:tcW w:w="562" w:type="pct"/>
                  <w:tcBorders>
                    <w:tl2br w:val="nil"/>
                    <w:tr2bl w:val="nil"/>
                  </w:tcBorders>
                  <w:noWrap w:val="0"/>
                  <w:vAlign w:val="center"/>
                </w:tcPr>
                <w:p>
                  <w:pPr>
                    <w:pStyle w:val="38"/>
                    <w:tabs>
                      <w:tab w:val="left" w:pos="2700"/>
                    </w:tabs>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bl>
          <w:p>
            <w:pPr>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项目所用各类涂料中VOC含量均满足《低挥发性有机化合物含量涂料产品技术要求》（GB</w:t>
            </w:r>
            <w:r>
              <w:rPr>
                <w:rFonts w:hint="eastAsia" w:cs="Times New Roman"/>
                <w:color w:val="auto"/>
                <w:highlight w:val="none"/>
                <w:lang w:val="en-US" w:eastAsia="zh-CN"/>
              </w:rPr>
              <w:t xml:space="preserve">/T </w:t>
            </w:r>
            <w:r>
              <w:rPr>
                <w:rFonts w:hint="default" w:ascii="Times New Roman" w:hAnsi="Times New Roman" w:cs="Times New Roman"/>
                <w:color w:val="auto"/>
                <w:highlight w:val="none"/>
                <w:lang w:val="en-US" w:eastAsia="zh-CN"/>
              </w:rPr>
              <w:t>38597-2020）及《涂料中有害物质限量第2部分：工业涂料》（GB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30981.2-2025）中规定的VOC含量限值要求，属于低VOC含量涂料种类。</w:t>
            </w:r>
          </w:p>
          <w:p>
            <w:pPr>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劳动制度</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为50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，实行一</w:t>
            </w:r>
            <w:r>
              <w:rPr>
                <w:rFonts w:hint="default" w:ascii="Times New Roman" w:hAnsi="Times New Roman" w:cs="Times New Roman"/>
                <w:color w:val="auto"/>
                <w:highlight w:val="none"/>
              </w:rPr>
              <w:t>班</w:t>
            </w:r>
            <w:r>
              <w:rPr>
                <w:rFonts w:hint="default" w:ascii="Times New Roman" w:hAnsi="Times New Roman" w:cs="Times New Roman"/>
                <w:color w:val="auto"/>
                <w:highlight w:val="none"/>
                <w:lang w:val="en-US" w:eastAsia="zh-CN"/>
              </w:rPr>
              <w:t>工作制度</w:t>
            </w:r>
            <w:r>
              <w:rPr>
                <w:rFonts w:hint="default" w:ascii="Times New Roman" w:hAnsi="Times New Roman" w:cs="Times New Roman"/>
                <w:color w:val="auto"/>
                <w:highlight w:val="none"/>
              </w:rPr>
              <w:t>，每班</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小时工作制，年生产天数</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天，年工作</w:t>
            </w:r>
            <w:r>
              <w:rPr>
                <w:rFonts w:hint="default" w:ascii="Times New Roman" w:hAnsi="Times New Roman" w:cs="Times New Roman"/>
                <w:color w:val="auto"/>
                <w:highlight w:val="none"/>
                <w:lang w:val="en-US" w:eastAsia="zh-CN"/>
              </w:rPr>
              <w:t>2400</w:t>
            </w:r>
            <w:r>
              <w:rPr>
                <w:rFonts w:hint="default" w:ascii="Times New Roman" w:hAnsi="Times New Roman" w:cs="Times New Roman"/>
                <w:color w:val="auto"/>
                <w:highlight w:val="none"/>
              </w:rPr>
              <w:t>h。</w:t>
            </w:r>
          </w:p>
          <w:p>
            <w:pPr>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6</w:t>
            </w:r>
            <w:r>
              <w:rPr>
                <w:rFonts w:hint="default" w:ascii="Times New Roman" w:hAnsi="Times New Roman" w:cs="Times New Roman"/>
                <w:b/>
                <w:bCs/>
                <w:color w:val="auto"/>
                <w:highlight w:val="none"/>
              </w:rPr>
              <w:t>公用工程</w:t>
            </w:r>
          </w:p>
          <w:p>
            <w:pPr>
              <w:numPr>
                <w:ilvl w:val="0"/>
                <w:numId w:val="1"/>
              </w:numPr>
              <w:snapToGrid/>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给水</w:t>
            </w:r>
          </w:p>
          <w:p>
            <w:pPr>
              <w:adjustRightInd w:val="0"/>
              <w:snapToGrid w:val="0"/>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highlight w:val="none"/>
              </w:rPr>
              <w:t>本项目位于轮台县红桥石油服务区，项目用水、用电、排水均可依托园区基础设施。</w:t>
            </w:r>
          </w:p>
          <w:p>
            <w:pPr>
              <w:ind w:firstLine="480"/>
              <w:rPr>
                <w:rFonts w:hint="default" w:ascii="Times New Roman" w:hAnsi="Times New Roman" w:cs="Times New Roman"/>
                <w:snapToGrid w:val="0"/>
                <w:color w:val="auto"/>
                <w:kern w:val="0"/>
                <w:szCs w:val="22"/>
                <w:highlight w:val="none"/>
              </w:rPr>
            </w:pPr>
            <w:bookmarkStart w:id="3" w:name="OLE_LINK289"/>
            <w:r>
              <w:rPr>
                <w:rFonts w:hint="eastAsia" w:ascii="Times New Roman" w:hAnsi="Times New Roman" w:cs="Times New Roman"/>
                <w:snapToGrid w:val="0"/>
                <w:color w:val="auto"/>
                <w:kern w:val="0"/>
                <w:szCs w:val="22"/>
                <w:highlight w:val="none"/>
                <w:lang w:val="en-US" w:eastAsia="zh-CN"/>
              </w:rPr>
              <w:t>生活用水：</w:t>
            </w:r>
            <w:r>
              <w:rPr>
                <w:rFonts w:hint="default" w:ascii="Times New Roman" w:hAnsi="Times New Roman" w:cs="Times New Roman"/>
                <w:snapToGrid w:val="0"/>
                <w:color w:val="auto"/>
                <w:kern w:val="0"/>
                <w:szCs w:val="22"/>
                <w:highlight w:val="none"/>
              </w:rPr>
              <w:t>本项目劳动定员共计</w:t>
            </w:r>
            <w:r>
              <w:rPr>
                <w:rFonts w:hint="default" w:ascii="Times New Roman" w:hAnsi="Times New Roman" w:cs="Times New Roman"/>
                <w:snapToGrid w:val="0"/>
                <w:color w:val="auto"/>
                <w:kern w:val="0"/>
                <w:szCs w:val="22"/>
                <w:highlight w:val="none"/>
                <w:lang w:val="en-US" w:eastAsia="zh-CN"/>
              </w:rPr>
              <w:t>50</w:t>
            </w:r>
            <w:r>
              <w:rPr>
                <w:rFonts w:hint="default" w:ascii="Times New Roman" w:hAnsi="Times New Roman" w:cs="Times New Roman"/>
                <w:snapToGrid w:val="0"/>
                <w:color w:val="auto"/>
                <w:kern w:val="0"/>
                <w:szCs w:val="22"/>
                <w:highlight w:val="none"/>
              </w:rPr>
              <w:t>人</w:t>
            </w:r>
            <w:r>
              <w:rPr>
                <w:rFonts w:hint="default" w:ascii="Times New Roman" w:hAnsi="Times New Roman" w:cs="Times New Roman"/>
                <w:color w:val="auto"/>
                <w:spacing w:val="-2"/>
                <w:highlight w:val="none"/>
                <w:lang w:eastAsia="zh-CN"/>
              </w:rPr>
              <w:t>，</w:t>
            </w:r>
            <w:r>
              <w:rPr>
                <w:rFonts w:hint="default" w:ascii="Times New Roman" w:hAnsi="Times New Roman" w:cs="Times New Roman"/>
                <w:color w:val="auto"/>
                <w:highlight w:val="none"/>
              </w:rPr>
              <w:t>根据《新疆维吾尔自治区生活用水定额》城镇居民用水80～100L/d，生活用水量按85L/人·d计算</w:t>
            </w:r>
            <w:r>
              <w:rPr>
                <w:rFonts w:hint="default" w:ascii="Times New Roman" w:hAnsi="Times New Roman" w:cs="Times New Roman"/>
                <w:snapToGrid w:val="0"/>
                <w:color w:val="auto"/>
                <w:kern w:val="0"/>
                <w:szCs w:val="22"/>
                <w:highlight w:val="none"/>
              </w:rPr>
              <w:t>，年生产天数约为</w:t>
            </w:r>
            <w:r>
              <w:rPr>
                <w:rFonts w:hint="default" w:ascii="Times New Roman" w:hAnsi="Times New Roman" w:cs="Times New Roman"/>
                <w:snapToGrid w:val="0"/>
                <w:color w:val="auto"/>
                <w:kern w:val="0"/>
                <w:szCs w:val="22"/>
                <w:highlight w:val="none"/>
                <w:lang w:val="en-US" w:eastAsia="zh-CN"/>
              </w:rPr>
              <w:t>300</w:t>
            </w:r>
            <w:r>
              <w:rPr>
                <w:rFonts w:hint="default" w:ascii="Times New Roman" w:hAnsi="Times New Roman" w:cs="Times New Roman"/>
                <w:snapToGrid w:val="0"/>
                <w:color w:val="auto"/>
                <w:kern w:val="0"/>
                <w:szCs w:val="22"/>
                <w:highlight w:val="none"/>
              </w:rPr>
              <w:t>天，则生活</w:t>
            </w:r>
            <w:r>
              <w:rPr>
                <w:rFonts w:hint="eastAsia" w:cs="Times New Roman"/>
                <w:snapToGrid w:val="0"/>
                <w:color w:val="auto"/>
                <w:kern w:val="0"/>
                <w:szCs w:val="22"/>
                <w:highlight w:val="none"/>
                <w:lang w:val="en-US" w:eastAsia="zh-CN"/>
              </w:rPr>
              <w:t>用水</w:t>
            </w:r>
            <w:r>
              <w:rPr>
                <w:rFonts w:hint="default" w:ascii="Times New Roman" w:hAnsi="Times New Roman" w:cs="Times New Roman"/>
                <w:snapToGrid w:val="0"/>
                <w:color w:val="auto"/>
                <w:kern w:val="0"/>
                <w:szCs w:val="22"/>
                <w:highlight w:val="none"/>
              </w:rPr>
              <w:t>总量</w:t>
            </w:r>
            <w:r>
              <w:rPr>
                <w:rFonts w:hint="default" w:ascii="Times New Roman" w:hAnsi="Times New Roman" w:cs="Times New Roman"/>
                <w:snapToGrid w:val="0"/>
                <w:color w:val="auto"/>
                <w:kern w:val="0"/>
                <w:szCs w:val="22"/>
                <w:highlight w:val="none"/>
                <w:lang w:val="en-US" w:eastAsia="zh-CN"/>
              </w:rPr>
              <w:t>为4.25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/d，</w:t>
            </w:r>
            <w:r>
              <w:rPr>
                <w:rFonts w:hint="default" w:ascii="Times New Roman" w:hAnsi="Times New Roman" w:cs="Times New Roman"/>
                <w:snapToGrid w:val="0"/>
                <w:color w:val="auto"/>
                <w:kern w:val="0"/>
                <w:szCs w:val="22"/>
                <w:highlight w:val="none"/>
                <w:lang w:val="en-US" w:eastAsia="zh-CN"/>
              </w:rPr>
              <w:t>1275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/a。</w:t>
            </w:r>
          </w:p>
          <w:p>
            <w:pPr>
              <w:keepNext w:val="0"/>
              <w:keepLines w:val="0"/>
              <w:widowControl/>
              <w:suppressLineNumbers w:val="0"/>
              <w:jc w:val="left"/>
              <w:rPr>
                <w:rFonts w:hint="default" w:ascii="Times New Roman" w:hAnsi="Times New Roman" w:cs="Times New Roman"/>
                <w:b/>
                <w:bCs/>
                <w:snapToGrid w:val="0"/>
                <w:color w:val="auto"/>
                <w:kern w:val="0"/>
                <w:szCs w:val="22"/>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食堂用水：项目建成后设有食堂，提供三餐。</w:t>
            </w: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为50</w:t>
            </w:r>
            <w:r>
              <w:rPr>
                <w:rFonts w:hint="default" w:ascii="Times New Roman" w:hAnsi="Times New Roman" w:cs="Times New Roman"/>
                <w:color w:val="auto"/>
                <w:highlight w:val="none"/>
              </w:rPr>
              <w:t>人</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highlight w:val="none"/>
              </w:rPr>
              <w:t>根据《新疆维吾尔自治区生活用水定额》</w:t>
            </w:r>
            <w:r>
              <w:rPr>
                <w:rFonts w:hint="default" w:ascii="Times New Roman" w:hAnsi="Times New Roman" w:cs="Times New Roman"/>
                <w:color w:val="auto"/>
                <w:highlight w:val="none"/>
                <w:lang w:val="en-US" w:eastAsia="zh-CN"/>
              </w:rPr>
              <w:t>定额9920职工内部食堂，10L/人·餐，</w:t>
            </w:r>
            <w:r>
              <w:rPr>
                <w:rFonts w:hint="default" w:ascii="Times New Roman" w:hAnsi="Times New Roman" w:eastAsia="宋体" w:cs="Times New Roman"/>
                <w:color w:val="auto"/>
                <w:kern w:val="0"/>
                <w:sz w:val="24"/>
                <w:szCs w:val="24"/>
                <w:highlight w:val="none"/>
                <w:lang w:val="en-US" w:eastAsia="zh-CN" w:bidi="ar"/>
              </w:rPr>
              <w:t>每年按300天计，则食堂用水量为450</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/a</w:t>
            </w:r>
            <w:r>
              <w:rPr>
                <w:rFonts w:hint="default" w:ascii="Times New Roman" w:hAnsi="Times New Roman" w:eastAsia="宋体" w:cs="Times New Roman"/>
                <w:color w:val="auto"/>
                <w:kern w:val="0"/>
                <w:sz w:val="24"/>
                <w:szCs w:val="24"/>
                <w:highlight w:val="none"/>
                <w:lang w:val="en-US" w:eastAsia="zh-CN" w:bidi="ar"/>
              </w:rPr>
              <w:t>。</w:t>
            </w:r>
          </w:p>
          <w:bookmarkEnd w:id="3"/>
          <w:p>
            <w:pPr>
              <w:pageBreakBefore w:val="0"/>
              <w:wordWrap/>
              <w:topLinePunct/>
              <w:bidi w:val="0"/>
              <w:adjustRightInd/>
              <w:snapToGrid/>
              <w:spacing w:beforeAutospacing="0" w:afterAutospacing="0" w:line="360" w:lineRule="auto"/>
              <w:ind w:left="0" w:lef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（2）排水</w:t>
            </w:r>
          </w:p>
          <w:p>
            <w:pPr>
              <w:pStyle w:val="12"/>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highlight w:val="none"/>
              </w:rPr>
              <w:t>本项目无生产废水排放，废水</w:t>
            </w:r>
            <w:r>
              <w:rPr>
                <w:rFonts w:hint="default" w:ascii="Times New Roman" w:hAnsi="Times New Roman" w:cs="Times New Roman"/>
                <w:color w:val="auto"/>
                <w:highlight w:val="none"/>
                <w:lang w:val="en-US" w:eastAsia="zh-CN"/>
              </w:rPr>
              <w:t>仅</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生活污水</w:t>
            </w:r>
            <w:r>
              <w:rPr>
                <w:rFonts w:hint="eastAsia" w:ascii="Times New Roman" w:hAnsi="Times New Roman" w:cs="Times New Roman"/>
                <w:color w:val="auto"/>
                <w:highlight w:val="none"/>
                <w:lang w:val="en-US" w:eastAsia="zh-CN"/>
              </w:rPr>
              <w:t>、食堂废水排放</w:t>
            </w:r>
            <w:r>
              <w:rPr>
                <w:rFonts w:hint="default" w:ascii="Times New Roman" w:hAnsi="Times New Roman" w:cs="Times New Roman"/>
                <w:color w:val="auto"/>
                <w:highlight w:val="none"/>
              </w:rPr>
              <w:t>。</w:t>
            </w:r>
          </w:p>
          <w:p>
            <w:pPr>
              <w:adjustRightInd w:val="0"/>
              <w:snapToGrid w:val="0"/>
              <w:ind w:left="0" w:leftChars="0" w:firstLine="480" w:firstLineChars="200"/>
              <w:rPr>
                <w:rFonts w:hint="eastAsia" w:ascii="Times New Roman" w:hAnsi="Times New Roman" w:eastAsia="宋体" w:cs="Times New Roman"/>
                <w:bCs/>
                <w:color w:val="auto"/>
                <w:highlight w:val="none"/>
                <w:lang w:eastAsia="zh-CN"/>
              </w:rPr>
            </w:pP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生活污水按照用水量的80%计算，则污水产</w:t>
            </w:r>
            <w:r>
              <w:rPr>
                <w:rFonts w:hint="default" w:ascii="Times New Roman" w:hAnsi="Times New Roman" w:cs="Times New Roman"/>
                <w:bCs/>
                <w:color w:val="auto"/>
                <w:highlight w:val="none"/>
              </w:rPr>
              <w:t>生总量为</w:t>
            </w:r>
            <w:r>
              <w:rPr>
                <w:rFonts w:hint="default" w:ascii="Times New Roman" w:hAnsi="Times New Roman" w:cs="Times New Roman"/>
                <w:bCs/>
                <w:color w:val="auto"/>
                <w:highlight w:val="none"/>
                <w:lang w:val="en-US" w:eastAsia="zh-CN"/>
              </w:rPr>
              <w:t>3.4</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default" w:ascii="Times New Roman" w:hAnsi="Times New Roman" w:cs="Times New Roman"/>
                <w:bCs/>
                <w:color w:val="auto"/>
                <w:highlight w:val="none"/>
                <w:lang w:val="en-US" w:eastAsia="zh-CN"/>
              </w:rPr>
              <w:t>1015m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/a</w:t>
            </w:r>
            <w:r>
              <w:rPr>
                <w:rFonts w:hint="eastAsia" w:ascii="Times New Roman" w:hAnsi="Times New Roman" w:cs="Times New Roman"/>
                <w:bCs/>
                <w:color w:val="auto"/>
                <w:highlight w:val="none"/>
                <w:lang w:eastAsia="zh-CN"/>
              </w:rPr>
              <w:t>。</w:t>
            </w:r>
          </w:p>
          <w:p>
            <w:pPr>
              <w:adjustRightInd w:val="0"/>
              <w:snapToGrid w:val="0"/>
              <w:ind w:left="0" w:leftChars="0" w:firstLine="480" w:firstLineChars="200"/>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食堂废水：食堂废水</w:t>
            </w:r>
            <w:r>
              <w:rPr>
                <w:rFonts w:hint="default" w:ascii="Times New Roman" w:hAnsi="Times New Roman" w:cs="Times New Roman"/>
                <w:color w:val="auto"/>
                <w:highlight w:val="none"/>
              </w:rPr>
              <w:t>按照用水量的80%计算，</w:t>
            </w:r>
            <w:r>
              <w:rPr>
                <w:rFonts w:hint="eastAsia" w:ascii="Times New Roman" w:hAnsi="Times New Roman" w:cs="Times New Roman"/>
                <w:bCs/>
                <w:color w:val="auto"/>
                <w:highlight w:val="none"/>
                <w:lang w:val="en-US" w:eastAsia="zh-CN"/>
              </w:rPr>
              <w:t xml:space="preserve"> 则食堂废水产生量为1.2</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eastAsia" w:ascii="Times New Roman" w:hAnsi="Times New Roman" w:cs="Times New Roman"/>
                <w:bCs/>
                <w:color w:val="auto"/>
                <w:highlight w:val="none"/>
                <w:lang w:val="en-US" w:eastAsia="zh-CN"/>
              </w:rPr>
              <w:t>360</w:t>
            </w:r>
            <w:r>
              <w:rPr>
                <w:rFonts w:hint="default" w:ascii="Times New Roman" w:hAnsi="Times New Roman" w:cs="Times New Roman"/>
                <w:bCs/>
                <w:color w:val="auto"/>
                <w:highlight w:val="none"/>
                <w:lang w:val="en-US" w:eastAsia="zh-CN"/>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/a</w:t>
            </w:r>
            <w:r>
              <w:rPr>
                <w:rFonts w:hint="default" w:ascii="Times New Roman" w:hAnsi="Times New Roman" w:cs="Times New Roman"/>
                <w:color w:val="auto"/>
                <w:spacing w:val="-2"/>
                <w:highlight w:val="none"/>
                <w:lang w:eastAsia="zh-CN"/>
              </w:rPr>
              <w:t>，</w:t>
            </w:r>
            <w:r>
              <w:rPr>
                <w:rFonts w:hint="eastAsia" w:ascii="Times New Roman" w:hAnsi="Times New Roman" w:cs="Times New Roman"/>
                <w:color w:val="auto"/>
                <w:highlight w:val="none"/>
                <w:lang w:val="en-US" w:eastAsia="zh-CN"/>
              </w:rPr>
              <w:t>食堂废水经隔油池处理后，与生活污水一同排入园区污水管网，最终进入轮台县新城区污水处理厂处理。</w:t>
            </w:r>
          </w:p>
          <w:p>
            <w:pPr>
              <w:adjustRightInd w:val="0"/>
              <w:snapToGrid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（3）供电</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项目供电由园区供电网供给，可满足项目用电负荷的需求。</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（4）供热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项目生产采用电加热，生活区供热采用电采暖</w:t>
            </w:r>
            <w:r>
              <w:rPr>
                <w:rFonts w:hint="default" w:ascii="Times New Roman" w:hAnsi="Times New Roman" w:cs="Times New Roman"/>
                <w:color w:val="auto"/>
                <w:highlight w:val="none"/>
              </w:rPr>
              <w:t>。</w:t>
            </w:r>
          </w:p>
          <w:p>
            <w:pPr>
              <w:adjustRightInd w:val="0"/>
              <w:snapToGrid w:val="0"/>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highlight w:val="none"/>
              </w:rPr>
              <w:t>7</w:t>
            </w:r>
            <w:r>
              <w:rPr>
                <w:rFonts w:hint="default" w:ascii="Times New Roman" w:hAnsi="Times New Roman" w:cs="Times New Roman"/>
                <w:b/>
                <w:bCs/>
                <w:color w:val="auto"/>
                <w:highlight w:val="none"/>
                <w:lang w:eastAsia="zh-Hans"/>
              </w:rPr>
              <w:t>项目区</w:t>
            </w:r>
            <w:r>
              <w:rPr>
                <w:rFonts w:hint="default" w:ascii="Times New Roman" w:hAnsi="Times New Roman" w:cs="Times New Roman"/>
                <w:b/>
                <w:bCs/>
                <w:color w:val="auto"/>
                <w:highlight w:val="none"/>
              </w:rPr>
              <w:t>平面布置</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本项目位于轮台县红桥石油服务区</w:t>
            </w:r>
            <w:r>
              <w:rPr>
                <w:rFonts w:hint="default" w:ascii="Times New Roman" w:hAnsi="Times New Roman" w:cs="Times New Roman"/>
                <w:color w:val="auto"/>
                <w:highlight w:val="none"/>
                <w:lang w:val="en-US" w:eastAsia="zh-CN"/>
              </w:rPr>
              <w:t>内</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Hans"/>
              </w:rPr>
              <w:t>项目</w:t>
            </w:r>
            <w:r>
              <w:rPr>
                <w:rFonts w:hint="default" w:ascii="Times New Roman" w:hAnsi="Times New Roman" w:cs="Times New Roman"/>
                <w:color w:val="auto"/>
                <w:highlight w:val="none"/>
                <w:lang w:val="en-US" w:eastAsia="zh-CN"/>
              </w:rPr>
              <w:t>占地</w:t>
            </w:r>
            <w:r>
              <w:rPr>
                <w:rFonts w:hint="default" w:ascii="Times New Roman" w:hAnsi="Times New Roman" w:cs="Times New Roman"/>
                <w:color w:val="auto"/>
                <w:highlight w:val="none"/>
              </w:rPr>
              <w:t>面积</w:t>
            </w:r>
            <w:r>
              <w:rPr>
                <w:rFonts w:hint="default" w:ascii="Times New Roman" w:hAnsi="Times New Roman" w:cs="Times New Roman"/>
                <w:color w:val="auto"/>
                <w:highlight w:val="none"/>
                <w:lang w:eastAsia="zh-Hans"/>
              </w:rPr>
              <w:t>约</w:t>
            </w:r>
            <w:r>
              <w:rPr>
                <w:rFonts w:hint="default" w:ascii="Times New Roman" w:hAnsi="Times New Roman" w:cs="Times New Roman"/>
                <w:color w:val="auto"/>
                <w:highlight w:val="none"/>
                <w:lang w:val="en-US" w:eastAsia="zh-CN"/>
              </w:rPr>
              <w:t>120亩（8000</w:t>
            </w:r>
            <w:r>
              <w:rPr>
                <w:rFonts w:hint="eastAsia" w:cs="Times New Roman"/>
                <w:color w:val="auto"/>
                <w:highlight w:val="none"/>
                <w:lang w:val="en-US" w:eastAsia="zh-CN"/>
              </w:rPr>
              <w:t>0</w:t>
            </w:r>
            <w:r>
              <w:rPr>
                <w:rFonts w:hint="default" w:ascii="Times New Roman" w:hAnsi="Times New Roman" w:cs="Times New Roman"/>
                <w:color w:val="auto"/>
                <w:highlight w:val="none"/>
                <w:lang w:eastAsia="zh-Hans"/>
              </w:rPr>
              <w:t>m</w:t>
            </w:r>
            <w:r>
              <w:rPr>
                <w:rFonts w:hint="default" w:ascii="Times New Roman" w:hAnsi="Times New Roman" w:cs="Times New Roman"/>
                <w:color w:val="auto"/>
                <w:highlight w:val="none"/>
                <w:vertAlign w:val="superscript"/>
                <w:lang w:eastAsia="zh-Hans"/>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Hans"/>
              </w:rPr>
              <w:t>，场地呈</w:t>
            </w:r>
            <w:r>
              <w:rPr>
                <w:rFonts w:hint="eastAsia" w:cs="Times New Roman"/>
                <w:color w:val="auto"/>
                <w:highlight w:val="none"/>
                <w:lang w:val="en-US" w:eastAsia="zh-CN"/>
              </w:rPr>
              <w:t>L形多边形（又称直角折线多边形）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Hans"/>
              </w:rPr>
              <w:t>项目</w:t>
            </w:r>
            <w:r>
              <w:rPr>
                <w:rFonts w:hint="default" w:ascii="Times New Roman" w:hAnsi="Times New Roman" w:cs="Times New Roman"/>
                <w:color w:val="auto"/>
                <w:highlight w:val="none"/>
                <w:lang w:val="en-US" w:eastAsia="zh-CN"/>
              </w:rPr>
              <w:t>建设新建</w:t>
            </w:r>
            <w:r>
              <w:rPr>
                <w:rFonts w:hint="default" w:ascii="Times New Roman" w:hAnsi="Times New Roman" w:cs="Times New Roman"/>
                <w:color w:val="auto"/>
                <w:spacing w:val="-2"/>
                <w:highlight w:val="none"/>
              </w:rPr>
              <w:t>钢结构生产车间1栋</w:t>
            </w:r>
            <w:r>
              <w:rPr>
                <w:rFonts w:hint="default" w:ascii="Times New Roman" w:hAnsi="Times New Roman" w:cs="Times New Roman"/>
                <w:color w:val="auto"/>
                <w:spacing w:val="-2"/>
                <w:highlight w:val="none"/>
                <w:lang w:val="en-US" w:eastAsia="zh-CN"/>
              </w:rPr>
              <w:t>及钢结构</w:t>
            </w:r>
            <w:r>
              <w:rPr>
                <w:rFonts w:hint="default" w:ascii="Times New Roman" w:hAnsi="Times New Roman" w:cs="Times New Roman"/>
                <w:color w:val="auto"/>
                <w:spacing w:val="-2"/>
                <w:highlight w:val="none"/>
              </w:rPr>
              <w:t>库房</w:t>
            </w:r>
            <w:r>
              <w:rPr>
                <w:rFonts w:hint="default" w:ascii="Times New Roman" w:hAnsi="Times New Roman" w:cs="Times New Roman"/>
                <w:color w:val="auto"/>
                <w:spacing w:val="-2"/>
                <w:highlight w:val="none"/>
                <w:lang w:val="en-US" w:eastAsia="zh-CN"/>
              </w:rPr>
              <w:t>1栋</w:t>
            </w:r>
            <w:r>
              <w:rPr>
                <w:rFonts w:hint="default" w:ascii="Times New Roman" w:hAnsi="Times New Roman" w:cs="Times New Roman"/>
                <w:color w:val="auto"/>
                <w:spacing w:val="-2"/>
                <w:highlight w:val="none"/>
                <w:lang w:eastAsia="zh-CN"/>
              </w:rPr>
              <w:t>；</w:t>
            </w:r>
            <w:r>
              <w:rPr>
                <w:rFonts w:hint="default" w:ascii="Times New Roman" w:hAnsi="Times New Roman" w:cs="Times New Roman"/>
                <w:color w:val="auto"/>
                <w:spacing w:val="-2"/>
                <w:highlight w:val="none"/>
              </w:rPr>
              <w:t>新建室外堆场</w:t>
            </w:r>
            <w:r>
              <w:rPr>
                <w:rFonts w:hint="default" w:ascii="Times New Roman" w:hAnsi="Times New Roman" w:cs="Times New Roman"/>
                <w:color w:val="auto"/>
                <w:spacing w:val="-2"/>
                <w:highlight w:val="none"/>
                <w:lang w:eastAsia="zh-CN"/>
              </w:rPr>
              <w:t>；</w:t>
            </w:r>
            <w:r>
              <w:rPr>
                <w:rFonts w:hint="default" w:ascii="Times New Roman" w:hAnsi="Times New Roman" w:cs="Times New Roman"/>
                <w:color w:val="auto"/>
                <w:spacing w:val="-2"/>
                <w:highlight w:val="none"/>
              </w:rPr>
              <w:t>新建钢筋混凝土框架结构三层综合办公楼及技术研发中心</w:t>
            </w:r>
            <w:r>
              <w:rPr>
                <w:rFonts w:hint="default" w:ascii="Times New Roman" w:hAnsi="Times New Roman" w:cs="Times New Roman"/>
                <w:color w:val="auto"/>
                <w:spacing w:val="-2"/>
                <w:highlight w:val="none"/>
                <w:lang w:val="en-US" w:eastAsia="zh-CN"/>
              </w:rPr>
              <w:t>1栋，新建钢筋混凝土框架结构</w:t>
            </w:r>
            <w:r>
              <w:rPr>
                <w:rFonts w:hint="default" w:ascii="Times New Roman" w:hAnsi="Times New Roman" w:cs="Times New Roman"/>
                <w:color w:val="auto"/>
                <w:spacing w:val="-2"/>
                <w:highlight w:val="none"/>
              </w:rPr>
              <w:t>食堂约200m</w:t>
            </w:r>
            <w:r>
              <w:rPr>
                <w:rFonts w:hint="default" w:ascii="Times New Roman" w:hAnsi="Times New Roman" w:cs="Times New Roman"/>
                <w:color w:val="auto"/>
                <w:spacing w:val="-2"/>
                <w:highlight w:val="none"/>
                <w:vertAlign w:val="superscript"/>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b w:val="0"/>
                <w:bCs w:val="0"/>
                <w:color w:val="auto"/>
                <w:sz w:val="24"/>
                <w:szCs w:val="24"/>
                <w:highlight w:val="none"/>
                <w:lang w:val="en-US" w:eastAsia="zh-CN"/>
              </w:rPr>
              <w:t>项目区东侧为中石化江汉石油工程有限公司（江汉测试西部基地），南为华油能源，西侧为中石化石油工程机械有限公司西北服务中心，北侧为轮台县零工市场</w:t>
            </w:r>
            <w:r>
              <w:rPr>
                <w:rFonts w:hint="default" w:ascii="Times New Roman" w:hAnsi="Times New Roman" w:cs="Times New Roman"/>
                <w:color w:val="auto"/>
                <w:highlight w:val="none"/>
              </w:rPr>
              <w:t>。项目平面布置</w:t>
            </w:r>
            <w:r>
              <w:rPr>
                <w:rFonts w:hint="default" w:ascii="Times New Roman" w:hAnsi="Times New Roman" w:cs="Times New Roman"/>
                <w:color w:val="auto"/>
                <w:highlight w:val="none"/>
                <w:lang w:val="en-US" w:eastAsia="zh-CN"/>
              </w:rPr>
              <w:t>图</w:t>
            </w:r>
            <w:r>
              <w:rPr>
                <w:rFonts w:hint="default" w:ascii="Times New Roman" w:hAnsi="Times New Roman" w:cs="Times New Roman"/>
                <w:color w:val="auto"/>
                <w:highlight w:val="none"/>
              </w:rPr>
              <w:t>详见附图</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平面</w:t>
            </w:r>
            <w:r>
              <w:rPr>
                <w:rFonts w:hint="default" w:ascii="Times New Roman" w:hAnsi="Times New Roman" w:cs="Times New Roman"/>
                <w:color w:val="auto"/>
                <w:highlight w:val="none"/>
                <w:lang w:val="en-US" w:eastAsia="zh-CN"/>
              </w:rPr>
              <w:t>分区防渗图</w:t>
            </w:r>
            <w:r>
              <w:rPr>
                <w:rFonts w:hint="default" w:ascii="Times New Roman" w:hAnsi="Times New Roman" w:cs="Times New Roman"/>
                <w:color w:val="auto"/>
                <w:highlight w:val="none"/>
              </w:rPr>
              <w:t>详见</w:t>
            </w:r>
            <w:r>
              <w:rPr>
                <w:rFonts w:hint="default" w:ascii="Times New Roman" w:hAnsi="Times New Roman" w:cs="Times New Roman"/>
                <w:color w:val="auto"/>
                <w:highlight w:val="none"/>
                <w:lang w:val="en-US" w:eastAsia="zh-CN"/>
              </w:rPr>
              <w:t>附</w:t>
            </w: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Hans"/>
              </w:rPr>
              <w:t>具体分布如下</w:t>
            </w:r>
            <w:r>
              <w:rPr>
                <w:rFonts w:hint="default" w:ascii="Times New Roman" w:hAnsi="Times New Roman" w:cs="Times New Roman"/>
                <w:color w:val="auto"/>
                <w:highlight w:val="none"/>
              </w:rPr>
              <w:t>：</w:t>
            </w:r>
          </w:p>
          <w:p>
            <w:pPr>
              <w:adjustRightInd w:val="0"/>
              <w:snapToGrid w:val="0"/>
              <w:ind w:firstLine="480"/>
              <w:rPr>
                <w:rFonts w:hint="default" w:ascii="Times New Roman" w:hAnsi="Times New Roman" w:cs="Times New Roman"/>
                <w:color w:val="auto"/>
                <w:highlight w:val="none"/>
                <w:lang w:eastAsia="zh-Hans"/>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Hans"/>
              </w:rPr>
              <w:t>生产区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Hans"/>
              </w:rPr>
              <w:t>生产</w:t>
            </w:r>
            <w:r>
              <w:rPr>
                <w:rFonts w:hint="default" w:ascii="Times New Roman" w:hAnsi="Times New Roman" w:cs="Times New Roman"/>
                <w:color w:val="auto"/>
                <w:highlight w:val="none"/>
                <w:lang w:eastAsia="zh-CN"/>
              </w:rPr>
              <w:t>布置</w:t>
            </w:r>
            <w:r>
              <w:rPr>
                <w:rFonts w:hint="default" w:ascii="Times New Roman" w:hAnsi="Times New Roman" w:cs="Times New Roman"/>
                <w:color w:val="auto"/>
                <w:highlight w:val="none"/>
                <w:lang w:val="en-US" w:eastAsia="zh-CN"/>
              </w:rPr>
              <w:t>由西向东</w:t>
            </w:r>
            <w:r>
              <w:rPr>
                <w:rFonts w:hint="default" w:ascii="Times New Roman" w:hAnsi="Times New Roman" w:cs="Times New Roman"/>
                <w:color w:val="auto"/>
                <w:highlight w:val="none"/>
              </w:rPr>
              <w:t>布置</w:t>
            </w:r>
            <w:r>
              <w:rPr>
                <w:rFonts w:hint="default" w:ascii="Times New Roman" w:hAnsi="Times New Roman" w:cs="Times New Roman"/>
                <w:color w:val="auto"/>
                <w:highlight w:val="none"/>
                <w:lang w:eastAsia="zh-Hans"/>
              </w:rPr>
              <w:t>，</w:t>
            </w:r>
            <w:r>
              <w:rPr>
                <w:rFonts w:hint="default" w:ascii="Times New Roman" w:hAnsi="Times New Roman" w:cs="Times New Roman"/>
                <w:color w:val="auto"/>
                <w:highlight w:val="none"/>
              </w:rPr>
              <w:t>分布</w:t>
            </w:r>
            <w:r>
              <w:rPr>
                <w:rFonts w:hint="default" w:ascii="Times New Roman" w:hAnsi="Times New Roman" w:cs="Times New Roman"/>
                <w:color w:val="auto"/>
                <w:highlight w:val="none"/>
                <w:lang w:val="en-US" w:eastAsia="zh-CN"/>
              </w:rPr>
              <w:t>各种</w:t>
            </w:r>
            <w:r>
              <w:rPr>
                <w:rFonts w:hint="default" w:ascii="Times New Roman" w:hAnsi="Times New Roman" w:cs="Times New Roman"/>
                <w:color w:val="auto"/>
                <w:highlight w:val="none"/>
              </w:rPr>
              <w:t>生产设备</w:t>
            </w:r>
            <w:r>
              <w:rPr>
                <w:rFonts w:hint="default" w:ascii="Times New Roman" w:hAnsi="Times New Roman" w:cs="Times New Roman"/>
                <w:color w:val="auto"/>
                <w:highlight w:val="none"/>
                <w:lang w:eastAsia="zh-Hans"/>
              </w:rPr>
              <w:t>。</w:t>
            </w:r>
          </w:p>
          <w:p>
            <w:pPr>
              <w:adjustRightInd w:val="0"/>
              <w:snapToGrid w:val="0"/>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（2）办公用房：办公生活区位于</w:t>
            </w:r>
            <w:r>
              <w:rPr>
                <w:rFonts w:hint="default" w:ascii="Times New Roman" w:hAnsi="Times New Roman" w:cs="Times New Roman"/>
                <w:color w:val="auto"/>
                <w:highlight w:val="none"/>
                <w:lang w:val="en-US" w:eastAsia="zh-CN"/>
              </w:rPr>
              <w:t>项目区</w:t>
            </w:r>
            <w:r>
              <w:rPr>
                <w:rFonts w:hint="eastAsia" w:cs="Times New Roman"/>
                <w:color w:val="auto"/>
                <w:highlight w:val="none"/>
                <w:lang w:val="en-US" w:eastAsia="zh-CN"/>
              </w:rPr>
              <w:t>西</w:t>
            </w:r>
            <w:r>
              <w:rPr>
                <w:rFonts w:hint="default" w:ascii="Times New Roman" w:hAnsi="Times New Roman" w:cs="Times New Roman"/>
                <w:color w:val="auto"/>
                <w:highlight w:val="none"/>
                <w:lang w:val="en-US" w:eastAsia="zh-CN"/>
              </w:rPr>
              <w:t>侧，食堂位于</w:t>
            </w:r>
            <w:r>
              <w:rPr>
                <w:rFonts w:hint="default" w:ascii="Times New Roman" w:hAnsi="Times New Roman" w:cs="Times New Roman"/>
                <w:color w:val="auto"/>
                <w:highlight w:val="none"/>
              </w:rPr>
              <w:t>办公生活</w:t>
            </w:r>
            <w:r>
              <w:rPr>
                <w:rFonts w:hint="default" w:ascii="Times New Roman" w:hAnsi="Times New Roman" w:cs="Times New Roman"/>
                <w:color w:val="auto"/>
                <w:highlight w:val="none"/>
                <w:lang w:val="en-US" w:eastAsia="zh-CN"/>
              </w:rPr>
              <w:t>区</w:t>
            </w:r>
            <w:r>
              <w:rPr>
                <w:rFonts w:hint="eastAsia" w:cs="Times New Roman"/>
                <w:color w:val="auto"/>
                <w:highlight w:val="none"/>
                <w:lang w:val="en-US" w:eastAsia="zh-CN"/>
              </w:rPr>
              <w:t>南</w:t>
            </w:r>
            <w:r>
              <w:rPr>
                <w:rFonts w:hint="default" w:ascii="Times New Roman" w:hAnsi="Times New Roman" w:cs="Times New Roman"/>
                <w:color w:val="auto"/>
                <w:highlight w:val="none"/>
                <w:lang w:val="en-US" w:eastAsia="zh-CN"/>
              </w:rPr>
              <w:t>侧。</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Hans"/>
              </w:rPr>
              <w:t>厂区内部道路</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eastAsia="zh-Hans"/>
              </w:rPr>
              <w:t>形成完整的道路系统。厂区主入口位于厂区</w:t>
            </w:r>
            <w:r>
              <w:rPr>
                <w:rFonts w:hint="default" w:ascii="Times New Roman" w:hAnsi="Times New Roman" w:cs="Times New Roman"/>
                <w:color w:val="auto"/>
                <w:highlight w:val="none"/>
                <w:lang w:val="en-US" w:eastAsia="zh-CN"/>
              </w:rPr>
              <w:t>西</w:t>
            </w:r>
            <w:r>
              <w:rPr>
                <w:rFonts w:hint="default" w:ascii="Times New Roman" w:hAnsi="Times New Roman" w:cs="Times New Roman"/>
                <w:color w:val="auto"/>
                <w:highlight w:val="none"/>
                <w:lang w:eastAsia="zh-Hans"/>
              </w:rPr>
              <w:t>侧，与</w:t>
            </w:r>
            <w:r>
              <w:rPr>
                <w:rFonts w:hint="default" w:ascii="Times New Roman" w:hAnsi="Times New Roman" w:cs="Times New Roman"/>
                <w:color w:val="auto"/>
                <w:highlight w:val="none"/>
              </w:rPr>
              <w:t>道路</w:t>
            </w:r>
            <w:r>
              <w:rPr>
                <w:rFonts w:hint="default" w:ascii="Times New Roman" w:hAnsi="Times New Roman" w:cs="Times New Roman"/>
                <w:color w:val="auto"/>
                <w:highlight w:val="none"/>
                <w:lang w:eastAsia="zh-Hans"/>
              </w:rPr>
              <w:t>相邻，厂区内生产车间</w:t>
            </w:r>
            <w:r>
              <w:rPr>
                <w:rFonts w:hint="default" w:ascii="Times New Roman" w:hAnsi="Times New Roman" w:cs="Times New Roman"/>
                <w:color w:val="auto"/>
                <w:highlight w:val="none"/>
              </w:rPr>
              <w:t>之间</w:t>
            </w:r>
            <w:r>
              <w:rPr>
                <w:rFonts w:hint="default" w:ascii="Times New Roman" w:hAnsi="Times New Roman" w:cs="Times New Roman"/>
                <w:color w:val="auto"/>
                <w:highlight w:val="none"/>
                <w:lang w:eastAsia="zh-Hans"/>
              </w:rPr>
              <w:t>均留有物流通道，以满足车间之间的物流需要，项目整体布局既与企业生产有机结合，协调统一，又符合工艺流程要求，便于运输管理。</w:t>
            </w:r>
            <w:r>
              <w:rPr>
                <w:rFonts w:hint="default" w:ascii="Times New Roman" w:hAnsi="Times New Roman" w:cs="Times New Roman"/>
                <w:color w:val="auto"/>
                <w:highlight w:val="none"/>
              </w:rPr>
              <w:t>从环保角度分析，平面布局基本合理。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738" w:type="dxa"/>
            <w:vAlign w:val="center"/>
          </w:tcPr>
          <w:p>
            <w:pPr>
              <w:pStyle w:val="17"/>
              <w:adjustRightInd w:val="0"/>
              <w:snapToGrid w:val="0"/>
              <w:spacing w:before="0" w:beforeAutospacing="0" w:after="0" w:afterAutospacing="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工艺流程和产排污环节</w:t>
            </w:r>
          </w:p>
        </w:tc>
        <w:tc>
          <w:tcPr>
            <w:tcW w:w="8165" w:type="dxa"/>
          </w:tcPr>
          <w:p>
            <w:pPr>
              <w:pStyle w:val="4"/>
              <w:adjustRightIn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eastAsia="zh-CN"/>
              </w:rPr>
              <w:t>1</w:t>
            </w:r>
            <w:r>
              <w:rPr>
                <w:rFonts w:hint="default" w:ascii="Times New Roman" w:hAnsi="Times New Roman" w:cs="Times New Roman"/>
                <w:color w:val="auto"/>
                <w:sz w:val="24"/>
                <w:szCs w:val="24"/>
                <w:highlight w:val="none"/>
              </w:rPr>
              <w:t>施工期工艺流程简述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8"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项目</w:t>
            </w:r>
            <w:r>
              <w:rPr>
                <w:rFonts w:hint="default" w:ascii="Times New Roman" w:hAnsi="Times New Roman" w:cs="Times New Roman"/>
                <w:color w:val="auto"/>
                <w:spacing w:val="2"/>
                <w:sz w:val="24"/>
                <w:szCs w:val="24"/>
                <w:highlight w:val="none"/>
                <w:lang w:val="en-US" w:eastAsia="zh-CN"/>
              </w:rPr>
              <w:t>计划于</w:t>
            </w:r>
            <w:r>
              <w:rPr>
                <w:rFonts w:hint="default" w:ascii="Times New Roman" w:hAnsi="Times New Roman" w:eastAsia="宋体" w:cs="Times New Roman"/>
                <w:color w:val="auto"/>
                <w:spacing w:val="2"/>
                <w:sz w:val="24"/>
                <w:szCs w:val="24"/>
                <w:highlight w:val="none"/>
                <w:lang w:val="en-US" w:eastAsia="zh-CN"/>
              </w:rPr>
              <w:t>2026年</w:t>
            </w:r>
            <w:r>
              <w:rPr>
                <w:rFonts w:hint="default" w:ascii="Times New Roman" w:hAnsi="Times New Roman" w:cs="Times New Roman"/>
                <w:color w:val="auto"/>
                <w:spacing w:val="2"/>
                <w:sz w:val="24"/>
                <w:szCs w:val="24"/>
                <w:highlight w:val="none"/>
                <w:lang w:val="en-US" w:eastAsia="zh-CN"/>
              </w:rPr>
              <w:t>4</w:t>
            </w:r>
            <w:r>
              <w:rPr>
                <w:rFonts w:hint="default" w:ascii="Times New Roman" w:hAnsi="Times New Roman" w:eastAsia="宋体" w:cs="Times New Roman"/>
                <w:color w:val="auto"/>
                <w:spacing w:val="2"/>
                <w:sz w:val="24"/>
                <w:szCs w:val="24"/>
                <w:highlight w:val="none"/>
                <w:lang w:val="en-US" w:eastAsia="zh-CN"/>
              </w:rPr>
              <w:t>月开工，202</w:t>
            </w:r>
            <w:r>
              <w:rPr>
                <w:rFonts w:hint="default" w:ascii="Times New Roman" w:hAnsi="Times New Roman" w:cs="Times New Roman"/>
                <w:color w:val="auto"/>
                <w:spacing w:val="2"/>
                <w:sz w:val="24"/>
                <w:szCs w:val="24"/>
                <w:highlight w:val="none"/>
                <w:lang w:val="en-US" w:eastAsia="zh-CN"/>
              </w:rPr>
              <w:t>6</w:t>
            </w:r>
            <w:r>
              <w:rPr>
                <w:rFonts w:hint="default" w:ascii="Times New Roman" w:hAnsi="Times New Roman" w:eastAsia="宋体" w:cs="Times New Roman"/>
                <w:color w:val="auto"/>
                <w:spacing w:val="2"/>
                <w:sz w:val="24"/>
                <w:szCs w:val="24"/>
                <w:highlight w:val="none"/>
                <w:lang w:val="en-US" w:eastAsia="zh-CN"/>
              </w:rPr>
              <w:t>年</w:t>
            </w:r>
            <w:r>
              <w:rPr>
                <w:rFonts w:hint="default" w:ascii="Times New Roman" w:hAnsi="Times New Roman" w:cs="Times New Roman"/>
                <w:color w:val="auto"/>
                <w:spacing w:val="2"/>
                <w:sz w:val="24"/>
                <w:szCs w:val="24"/>
                <w:highlight w:val="none"/>
                <w:lang w:val="en-US" w:eastAsia="zh-CN"/>
              </w:rPr>
              <w:t>12</w:t>
            </w:r>
            <w:r>
              <w:rPr>
                <w:rFonts w:hint="default" w:ascii="Times New Roman" w:hAnsi="Times New Roman" w:eastAsia="宋体" w:cs="Times New Roman"/>
                <w:color w:val="auto"/>
                <w:spacing w:val="2"/>
                <w:sz w:val="24"/>
                <w:szCs w:val="24"/>
                <w:highlight w:val="none"/>
                <w:lang w:val="en-US" w:eastAsia="zh-CN"/>
              </w:rPr>
              <w:t>月竣工，</w:t>
            </w:r>
            <w:r>
              <w:rPr>
                <w:rFonts w:hint="default" w:ascii="Times New Roman" w:hAnsi="Times New Roman" w:cs="Times New Roman"/>
                <w:color w:val="auto"/>
                <w:spacing w:val="2"/>
                <w:sz w:val="24"/>
                <w:szCs w:val="24"/>
                <w:highlight w:val="none"/>
                <w:lang w:val="en-US" w:eastAsia="zh-CN"/>
              </w:rPr>
              <w:t>其中冬季不施工，</w:t>
            </w:r>
            <w:r>
              <w:rPr>
                <w:rFonts w:hint="default" w:ascii="Times New Roman" w:hAnsi="Times New Roman" w:eastAsia="宋体" w:cs="Times New Roman"/>
                <w:color w:val="auto"/>
                <w:spacing w:val="2"/>
                <w:sz w:val="24"/>
                <w:szCs w:val="24"/>
                <w:highlight w:val="none"/>
                <w:lang w:val="en-US" w:eastAsia="zh-CN"/>
              </w:rPr>
              <w:t>项目</w:t>
            </w:r>
            <w:r>
              <w:rPr>
                <w:rFonts w:hint="default" w:ascii="Times New Roman" w:hAnsi="Times New Roman" w:cs="Times New Roman"/>
                <w:color w:val="auto"/>
                <w:spacing w:val="2"/>
                <w:sz w:val="24"/>
                <w:szCs w:val="24"/>
                <w:highlight w:val="none"/>
                <w:lang w:val="en-US" w:eastAsia="zh-CN"/>
              </w:rPr>
              <w:t>实际</w:t>
            </w:r>
            <w:r>
              <w:rPr>
                <w:rFonts w:hint="default" w:ascii="Times New Roman" w:hAnsi="Times New Roman" w:eastAsia="宋体" w:cs="Times New Roman"/>
                <w:color w:val="auto"/>
                <w:spacing w:val="2"/>
                <w:sz w:val="24"/>
                <w:szCs w:val="24"/>
                <w:highlight w:val="none"/>
                <w:lang w:val="en-US" w:eastAsia="zh-CN"/>
              </w:rPr>
              <w:t>工程建设周期约</w:t>
            </w:r>
            <w:r>
              <w:rPr>
                <w:rFonts w:hint="default" w:ascii="Times New Roman" w:hAnsi="Times New Roman" w:cs="Times New Roman"/>
                <w:color w:val="auto"/>
                <w:spacing w:val="2"/>
                <w:sz w:val="24"/>
                <w:szCs w:val="24"/>
                <w:highlight w:val="none"/>
                <w:lang w:val="en-US" w:eastAsia="zh-CN"/>
              </w:rPr>
              <w:t>8</w:t>
            </w:r>
            <w:r>
              <w:rPr>
                <w:rFonts w:hint="default" w:ascii="Times New Roman" w:hAnsi="Times New Roman" w:eastAsia="宋体" w:cs="Times New Roman"/>
                <w:color w:val="auto"/>
                <w:spacing w:val="2"/>
                <w:sz w:val="24"/>
                <w:szCs w:val="24"/>
                <w:highlight w:val="none"/>
                <w:lang w:val="en-US" w:eastAsia="zh-CN"/>
              </w:rPr>
              <w:t>个月。</w:t>
            </w:r>
          </w:p>
          <w:p>
            <w:pPr>
              <w:spacing w:line="360" w:lineRule="auto"/>
              <w:ind w:left="0" w:leftChars="0" w:firstLine="480" w:firstLineChars="200"/>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目前项目拟建场地为空地，施工期主要进行土地平整、地基开挖等基础施工和新建生产厂房</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办公用楼等</w:t>
            </w:r>
            <w:r>
              <w:rPr>
                <w:rFonts w:hint="default" w:ascii="Times New Roman" w:hAnsi="Times New Roman" w:eastAsia="宋体" w:cs="Times New Roman"/>
                <w:b w:val="0"/>
                <w:bCs w:val="0"/>
                <w:color w:val="auto"/>
                <w:sz w:val="24"/>
                <w:szCs w:val="24"/>
                <w:highlight w:val="none"/>
              </w:rPr>
              <w:t>建筑工程施工，待建筑施工结束后完成设备安装，施工期即结束。</w:t>
            </w:r>
            <w:r>
              <w:rPr>
                <w:rFonts w:hint="default" w:ascii="Times New Roman" w:hAnsi="Times New Roman" w:cs="Times New Roman"/>
                <w:b w:val="0"/>
                <w:bCs w:val="0"/>
                <w:color w:val="auto"/>
                <w:sz w:val="24"/>
                <w:szCs w:val="24"/>
                <w:highlight w:val="none"/>
                <w:lang w:eastAsia="zh-CN"/>
              </w:rPr>
              <w:t>施工</w:t>
            </w:r>
            <w:r>
              <w:rPr>
                <w:rFonts w:hint="default" w:ascii="Times New Roman" w:hAnsi="Times New Roman" w:eastAsia="宋体" w:cs="Times New Roman"/>
                <w:b w:val="0"/>
                <w:bCs w:val="0"/>
                <w:color w:val="auto"/>
                <w:sz w:val="24"/>
                <w:szCs w:val="24"/>
                <w:highlight w:val="none"/>
              </w:rPr>
              <w:t>工艺流程见</w:t>
            </w:r>
            <w:r>
              <w:rPr>
                <w:rFonts w:hint="eastAsia" w:ascii="Times New Roman" w:hAnsi="Times New Roman" w:cs="Times New Roman"/>
                <w:b w:val="0"/>
                <w:bCs w:val="0"/>
                <w:color w:val="auto"/>
                <w:sz w:val="24"/>
                <w:szCs w:val="24"/>
                <w:highlight w:val="none"/>
                <w:lang w:eastAsia="zh-CN"/>
              </w:rPr>
              <w:t>图</w:t>
            </w:r>
            <w:r>
              <w:rPr>
                <w:rFonts w:hint="default" w:ascii="Times New Roman" w:hAnsi="Times New Roman" w:cs="Times New Roman"/>
                <w:b w:val="0"/>
                <w:bCs w:val="0"/>
                <w:color w:val="auto"/>
                <w:sz w:val="24"/>
                <w:szCs w:val="24"/>
                <w:highlight w:val="none"/>
                <w:lang w:val="en-US" w:eastAsia="zh-CN"/>
              </w:rPr>
              <w:t>2-</w:t>
            </w:r>
            <w:r>
              <w:rPr>
                <w:rFonts w:hint="eastAsia" w:ascii="Times New Roman" w:hAnsi="Times New Roman"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p>
          <w:p>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481195" cy="1431290"/>
                  <wp:effectExtent l="0" t="0" r="1460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481195" cy="143129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rPr>
              <w:t>图</w:t>
            </w:r>
            <w:r>
              <w:rPr>
                <w:rFonts w:hint="default" w:ascii="Times New Roman" w:hAnsi="Times New Roman" w:eastAsia="宋体" w:cs="Times New Roman"/>
                <w:b/>
                <w:bCs/>
                <w:color w:val="auto"/>
                <w:highlight w:val="none"/>
                <w:lang w:val="en-US" w:eastAsia="zh-CN"/>
              </w:rPr>
              <w:t>2-</w:t>
            </w:r>
            <w:r>
              <w:rPr>
                <w:rFonts w:hint="default" w:ascii="Times New Roman" w:hAnsi="Times New Roman" w:cs="Times New Roman"/>
                <w:b/>
                <w:bCs/>
                <w:color w:val="auto"/>
                <w:highlight w:val="none"/>
                <w:lang w:val="en-US" w:eastAsia="zh-CN"/>
              </w:rPr>
              <w:t xml:space="preserve">1  </w:t>
            </w:r>
            <w:r>
              <w:rPr>
                <w:rFonts w:hint="default" w:ascii="Times New Roman" w:hAnsi="Times New Roman" w:eastAsia="宋体" w:cs="Times New Roman"/>
                <w:b/>
                <w:bCs/>
                <w:color w:val="auto"/>
                <w:highlight w:val="none"/>
              </w:rPr>
              <w:t>施工期工艺流程及产污环节</w:t>
            </w:r>
          </w:p>
          <w:p>
            <w:pPr>
              <w:pStyle w:val="4"/>
              <w:numPr>
                <w:ilvl w:val="0"/>
                <w:numId w:val="0"/>
              </w:numPr>
              <w:adjustRightInd w:val="0"/>
              <w:spacing w:before="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运营期工艺流程简述</w:t>
            </w:r>
          </w:p>
          <w:p>
            <w:pPr>
              <w:widowControl w:val="0"/>
              <w:numPr>
                <w:ilvl w:val="0"/>
                <w:numId w:val="0"/>
              </w:numPr>
              <w:spacing w:line="360" w:lineRule="auto"/>
              <w:jc w:val="center"/>
              <w:rPr>
                <w:rFonts w:hint="default" w:ascii="Times New Roman" w:hAnsi="Times New Roman" w:cs="Times New Roman"/>
                <w:b/>
                <w:bCs/>
                <w:color w:val="auto"/>
                <w:highlight w:val="none"/>
              </w:rPr>
            </w:pPr>
            <w:r>
              <w:rPr>
                <w:rFonts w:hint="default" w:ascii="Times New Roman" w:hAnsi="Times New Roman" w:cs="Times New Roman"/>
                <w:color w:val="auto"/>
                <w:highlight w:val="none"/>
              </w:rPr>
              <w:drawing>
                <wp:inline distT="0" distB="0" distL="114300" distR="114300">
                  <wp:extent cx="5046980" cy="1487170"/>
                  <wp:effectExtent l="0" t="0" r="12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046980" cy="1487170"/>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w:t>
            </w:r>
            <w:r>
              <w:rPr>
                <w:rFonts w:hint="default" w:ascii="Times New Roman" w:hAnsi="Times New Roman" w:cs="Times New Roman"/>
                <w:b/>
                <w:bCs/>
                <w:color w:val="auto"/>
                <w:highlight w:val="none"/>
                <w:lang w:val="en-US" w:eastAsia="zh-CN"/>
              </w:rPr>
              <w:t xml:space="preserve">2-2  </w:t>
            </w:r>
            <w:r>
              <w:rPr>
                <w:rFonts w:hint="default" w:ascii="Times New Roman" w:hAnsi="Times New Roman" w:cs="Times New Roman"/>
                <w:b/>
                <w:bCs/>
                <w:color w:val="auto"/>
                <w:highlight w:val="none"/>
              </w:rPr>
              <w:t>工艺流程及产污环节图</w:t>
            </w:r>
          </w:p>
          <w:p>
            <w:pPr>
              <w:ind w:firstLine="482"/>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生产工艺流程简述：</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切割</w:t>
            </w:r>
          </w:p>
          <w:p>
            <w:pPr>
              <w:ind w:firstLine="482"/>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将金属管材、板材等材料送至裁剪下料处，按照工艺要求采用光纤激光切割机剪切成一定尺寸。使用数控液压折弯机</w:t>
            </w:r>
            <w:r>
              <w:rPr>
                <w:rFonts w:hint="default" w:ascii="Times New Roman" w:hAnsi="Times New Roman" w:cs="Times New Roman"/>
                <w:color w:val="auto"/>
                <w:sz w:val="24"/>
                <w:highlight w:val="none"/>
                <w:lang w:eastAsia="zh-CN"/>
              </w:rPr>
              <w:t>、液压式剪板机</w:t>
            </w:r>
            <w:r>
              <w:rPr>
                <w:rFonts w:hint="default" w:ascii="Times New Roman" w:hAnsi="Times New Roman" w:cs="Times New Roman"/>
                <w:color w:val="auto"/>
                <w:sz w:val="24"/>
                <w:highlight w:val="none"/>
              </w:rPr>
              <w:t>等对下料钢材进行机械加工，对工件的外形尺寸进行改变，形成基础部件。</w:t>
            </w:r>
            <w:r>
              <w:rPr>
                <w:rFonts w:hint="default" w:ascii="Times New Roman" w:hAnsi="Times New Roman" w:cs="Times New Roman"/>
                <w:color w:val="auto"/>
                <w:highlight w:val="none"/>
                <w:lang w:val="en-US" w:eastAsia="zh-CN"/>
              </w:rPr>
              <w:t>该</w:t>
            </w:r>
            <w:r>
              <w:rPr>
                <w:rFonts w:hint="default" w:ascii="Times New Roman" w:hAnsi="Times New Roman" w:cs="Times New Roman"/>
                <w:color w:val="auto"/>
                <w:highlight w:val="none"/>
              </w:rPr>
              <w:t>工序产生废气G1（主要污染因子为颗粒物）、固废S1（</w:t>
            </w:r>
            <w:r>
              <w:rPr>
                <w:rFonts w:hint="default" w:ascii="Times New Roman" w:hAnsi="Times New Roman" w:cs="Times New Roman"/>
                <w:color w:val="auto"/>
                <w:highlight w:val="none"/>
                <w:lang w:val="en-US" w:eastAsia="zh-CN"/>
              </w:rPr>
              <w:t>边角料</w:t>
            </w:r>
            <w:r>
              <w:rPr>
                <w:rFonts w:hint="default" w:ascii="Times New Roman" w:hAnsi="Times New Roman" w:cs="Times New Roman"/>
                <w:color w:val="auto"/>
                <w:highlight w:val="none"/>
              </w:rPr>
              <w:t>）和噪声N（设备运行噪声）。</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）焊接</w:t>
            </w:r>
          </w:p>
          <w:p>
            <w:pPr>
              <w:ind w:firstLine="482"/>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切割</w:t>
            </w:r>
            <w:r>
              <w:rPr>
                <w:rFonts w:hint="default" w:ascii="Times New Roman" w:hAnsi="Times New Roman" w:eastAsia="宋体" w:cs="Times New Roman"/>
                <w:color w:val="auto"/>
                <w:sz w:val="24"/>
                <w:highlight w:val="none"/>
              </w:rPr>
              <w:t>后的工件进行拼接焊接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该</w:t>
            </w:r>
            <w:r>
              <w:rPr>
                <w:rFonts w:hint="default" w:ascii="Times New Roman" w:hAnsi="Times New Roman" w:cs="Times New Roman"/>
                <w:color w:val="auto"/>
                <w:highlight w:val="none"/>
              </w:rPr>
              <w:t>工序产生废气G2（主要污染因子为颗粒物）、固废S2（</w:t>
            </w:r>
            <w:r>
              <w:rPr>
                <w:rFonts w:hint="default" w:ascii="Times New Roman" w:hAnsi="Times New Roman" w:cs="Times New Roman"/>
                <w:color w:val="auto"/>
                <w:highlight w:val="none"/>
                <w:lang w:val="en-US" w:eastAsia="zh-CN"/>
              </w:rPr>
              <w:t>焊渣</w:t>
            </w:r>
            <w:r>
              <w:rPr>
                <w:rFonts w:hint="default" w:ascii="Times New Roman" w:hAnsi="Times New Roman" w:cs="Times New Roman"/>
                <w:color w:val="auto"/>
                <w:highlight w:val="none"/>
              </w:rPr>
              <w:t>）和噪声N（设备运行噪声）。</w:t>
            </w:r>
          </w:p>
          <w:p>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cs="Times New Roman"/>
                <w:b w:val="0"/>
                <w:bCs w:val="0"/>
                <w:color w:val="auto"/>
                <w:highlight w:val="none"/>
              </w:rPr>
              <w:t>喷砂</w:t>
            </w:r>
          </w:p>
          <w:p>
            <w:pPr>
              <w:ind w:firstLine="482"/>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本工序主要将焊接后的工件送入喷砂房，对其表面打磨光滑、平整喷砂，以便喷漆。</w:t>
            </w:r>
            <w:r>
              <w:rPr>
                <w:rFonts w:hint="default" w:ascii="Times New Roman" w:hAnsi="Times New Roman" w:cs="Times New Roman"/>
                <w:color w:val="auto"/>
                <w:highlight w:val="none"/>
                <w:lang w:val="en-US" w:eastAsia="zh-CN"/>
              </w:rPr>
              <w:t>钢砂在喷砂过程中钢砂粒径会逐渐减小，达不到工艺要求时需对钢砂进行定期更换。该</w:t>
            </w:r>
            <w:r>
              <w:rPr>
                <w:rFonts w:hint="default" w:ascii="Times New Roman" w:hAnsi="Times New Roman" w:cs="Times New Roman"/>
                <w:color w:val="auto"/>
                <w:highlight w:val="none"/>
              </w:rPr>
              <w:t>工序产生废气G3（主要污染因子为颗粒物）、固废S3（</w:t>
            </w:r>
            <w:r>
              <w:rPr>
                <w:rFonts w:hint="default" w:ascii="Times New Roman" w:hAnsi="Times New Roman" w:cs="Times New Roman"/>
                <w:color w:val="auto"/>
                <w:highlight w:val="none"/>
                <w:lang w:val="en-US" w:eastAsia="zh-CN"/>
              </w:rPr>
              <w:t>废</w:t>
            </w:r>
            <w:r>
              <w:rPr>
                <w:rFonts w:hint="default" w:ascii="Times New Roman" w:hAnsi="Times New Roman" w:cs="Times New Roman"/>
                <w:color w:val="auto"/>
                <w:highlight w:val="none"/>
              </w:rPr>
              <w:t>钢砂）和噪声N（设备运行噪声）。</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）喷漆、烤漆</w:t>
            </w:r>
          </w:p>
          <w:p>
            <w:pPr>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val="en-US" w:eastAsia="zh-CN"/>
              </w:rPr>
              <w:t>本工序</w:t>
            </w:r>
            <w:r>
              <w:rPr>
                <w:rFonts w:hint="default" w:ascii="Times New Roman" w:hAnsi="Times New Roman" w:cs="Times New Roman"/>
                <w:color w:val="auto"/>
                <w:highlight w:val="none"/>
              </w:rPr>
              <w:t>调漆、喷漆、烘干均在喷漆房内进行，采用自动喷涂。底漆喷涂后送入</w:t>
            </w:r>
            <w:r>
              <w:rPr>
                <w:rFonts w:hint="default" w:ascii="Times New Roman" w:hAnsi="Times New Roman" w:cs="Times New Roman"/>
                <w:color w:val="auto"/>
                <w:highlight w:val="none"/>
                <w:lang w:val="en-US" w:eastAsia="zh-CN"/>
              </w:rPr>
              <w:t>电加热</w:t>
            </w:r>
            <w:r>
              <w:rPr>
                <w:rFonts w:hint="default" w:ascii="Times New Roman" w:hAnsi="Times New Roman" w:cs="Times New Roman"/>
                <w:color w:val="auto"/>
                <w:highlight w:val="none"/>
              </w:rPr>
              <w:t>烘干室间接烘干后再进行面漆喷涂，面漆喷涂后再次进行烘干。</w:t>
            </w:r>
            <w:r>
              <w:rPr>
                <w:rFonts w:hint="default" w:ascii="Times New Roman" w:hAnsi="Times New Roman" w:cs="Times New Roman"/>
                <w:color w:val="auto"/>
                <w:highlight w:val="none"/>
                <w:lang w:val="en-US" w:eastAsia="zh-CN"/>
              </w:rPr>
              <w:t>该</w:t>
            </w:r>
            <w:r>
              <w:rPr>
                <w:rFonts w:hint="default" w:ascii="Times New Roman" w:hAnsi="Times New Roman" w:cs="Times New Roman"/>
                <w:color w:val="auto"/>
                <w:highlight w:val="none"/>
              </w:rPr>
              <w:t>工序产生废气G4（主要污染因子为颗粒物、非甲烷总烃）、固废S4（漆渣、废</w:t>
            </w:r>
            <w:r>
              <w:rPr>
                <w:rFonts w:hint="default" w:ascii="Times New Roman" w:hAnsi="Times New Roman" w:cs="Times New Roman"/>
                <w:color w:val="auto"/>
                <w:highlight w:val="none"/>
                <w:lang w:val="en-US" w:eastAsia="zh-CN"/>
              </w:rPr>
              <w:t>油</w:t>
            </w:r>
            <w:r>
              <w:rPr>
                <w:rFonts w:hint="default" w:ascii="Times New Roman" w:hAnsi="Times New Roman" w:cs="Times New Roman"/>
                <w:color w:val="auto"/>
                <w:highlight w:val="none"/>
              </w:rPr>
              <w:t>漆桶）和噪声N（设备运行噪声）</w:t>
            </w:r>
            <w:r>
              <w:rPr>
                <w:rFonts w:hint="default" w:ascii="Times New Roman" w:hAnsi="Times New Roman" w:cs="Times New Roman"/>
                <w:color w:val="auto"/>
                <w:sz w:val="24"/>
                <w:highlight w:val="none"/>
              </w:rPr>
              <w:t>。</w:t>
            </w:r>
          </w:p>
          <w:p>
            <w:pPr>
              <w:numPr>
                <w:ilvl w:val="0"/>
                <w:numId w:val="0"/>
              </w:num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组装</w:t>
            </w:r>
          </w:p>
          <w:p>
            <w:pPr>
              <w:ind w:firstLine="482"/>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漆烘干后的工件与外购的成品配件进行组装后即为成品。</w:t>
            </w:r>
            <w:r>
              <w:rPr>
                <w:rFonts w:hint="default" w:ascii="Times New Roman" w:hAnsi="Times New Roman" w:cs="Times New Roman"/>
                <w:color w:val="auto"/>
                <w:highlight w:val="none"/>
                <w:lang w:val="en-US" w:eastAsia="zh-CN"/>
              </w:rPr>
              <w:t>该</w:t>
            </w:r>
            <w:r>
              <w:rPr>
                <w:rFonts w:hint="default" w:ascii="Times New Roman" w:hAnsi="Times New Roman" w:cs="Times New Roman"/>
                <w:color w:val="auto"/>
                <w:highlight w:val="none"/>
              </w:rPr>
              <w:t>工序产生噪声N（设备运行噪声）。</w:t>
            </w:r>
          </w:p>
          <w:p>
            <w:pPr>
              <w:keepNext w:val="0"/>
              <w:keepLines w:val="0"/>
              <w:widowControl/>
              <w:suppressLineNumbers w:val="0"/>
              <w:ind w:left="0" w:leftChars="0"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产排污环节一览表</w:t>
            </w:r>
          </w:p>
          <w:p>
            <w:pPr>
              <w:pStyle w:val="39"/>
              <w:overflowPunct w:val="0"/>
              <w:autoSpaceDE w:val="0"/>
              <w:autoSpaceDN w:val="0"/>
              <w:spacing w:beforeLines="0" w:afterLines="0" w:line="240" w:lineRule="atLeast"/>
              <w:ind w:left="0" w:leftChars="0" w:firstLine="0" w:firstLineChars="0"/>
              <w:jc w:val="center"/>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w:t>
            </w:r>
            <w:r>
              <w:rPr>
                <w:rFonts w:hint="default" w:ascii="Times New Roman" w:hAnsi="Times New Roman" w:cs="Times New Roman"/>
                <w:color w:val="auto"/>
                <w:sz w:val="24"/>
                <w:szCs w:val="24"/>
                <w:highlight w:val="none"/>
                <w:lang w:val="en-US" w:eastAsia="zh-CN"/>
              </w:rPr>
              <w:t xml:space="preserve">7  </w:t>
            </w:r>
            <w:r>
              <w:rPr>
                <w:rFonts w:hint="default" w:ascii="Times New Roman" w:hAnsi="Times New Roman" w:cs="Times New Roman"/>
                <w:color w:val="auto"/>
                <w:sz w:val="24"/>
                <w:szCs w:val="24"/>
                <w:highlight w:val="none"/>
              </w:rPr>
              <w:t>本项目产排污环节一览表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613"/>
              <w:gridCol w:w="1916"/>
              <w:gridCol w:w="3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种类</w:t>
                  </w: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产生环节</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污染因子</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restar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切割工序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袋式除尘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喷砂工序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袋式除尘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焊接工序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焊接烟尘</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移动式焊烟净化器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非甲烷总烃、漆物颗粒、二甲苯</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纸盒过滤+活性炭吸附+催化燃烧装置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09"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生活污水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食堂废水</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COD、氨氮</w:t>
                  </w:r>
                  <w:r>
                    <w:rPr>
                      <w:rFonts w:hint="default" w:ascii="Times New Roman" w:hAnsi="Times New Roman" w:cs="Times New Roman"/>
                      <w:color w:val="auto"/>
                      <w:sz w:val="21"/>
                      <w:szCs w:val="21"/>
                      <w:highlight w:val="none"/>
                      <w:lang w:val="en-US" w:eastAsia="zh-CN"/>
                    </w:rPr>
                    <w:t>等</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食堂废水经隔油池处理后，与生活污水一同排入园区污水管网，最终进入轮台县新城区污水处理厂处理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设备噪声</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选用低噪声设备、合理布局、基础减振、厂房隔音等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09" w:type="pct"/>
                  <w:vMerge w:val="restar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w:t>
                  </w: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切割工序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金属碎屑及边角料</w:t>
                  </w:r>
                </w:p>
              </w:tc>
              <w:tc>
                <w:tcPr>
                  <w:tcW w:w="2270" w:type="pct"/>
                  <w:vMerge w:val="restar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集中收集后，外售资源回收单位综合利用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焊接工序</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焊渣</w:t>
                  </w:r>
                </w:p>
              </w:tc>
              <w:tc>
                <w:tcPr>
                  <w:tcW w:w="2270"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除尘灰</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生产工序</w:t>
                  </w:r>
                </w:p>
              </w:tc>
              <w:tc>
                <w:tcPr>
                  <w:tcW w:w="2270"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废钢砂</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生产工序</w:t>
                  </w:r>
                </w:p>
              </w:tc>
              <w:tc>
                <w:tcPr>
                  <w:tcW w:w="2270"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喷漆工序</w:t>
                  </w:r>
                </w:p>
              </w:tc>
              <w:tc>
                <w:tcPr>
                  <w:tcW w:w="1205" w:type="pct"/>
                  <w:tcBorders>
                    <w:tl2br w:val="nil"/>
                    <w:tr2bl w:val="nil"/>
                  </w:tcBorders>
                  <w:vAlign w:val="center"/>
                </w:tcPr>
                <w:p>
                  <w:pPr>
                    <w:pStyle w:val="8"/>
                    <w:adjustRightInd w:val="0"/>
                    <w:snapToGrid w:val="0"/>
                    <w:spacing w:line="240" w:lineRule="auto"/>
                    <w:ind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漆渣、废纸盒滤芯、废油漆桶、废活性炭、废催化剂</w:t>
                  </w:r>
                </w:p>
              </w:tc>
              <w:tc>
                <w:tcPr>
                  <w:tcW w:w="2270" w:type="pct"/>
                  <w:vMerge w:val="restar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集中收集后，暂存于危险废物贮存库，定期交由有资质单位处置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1205" w:type="pct"/>
                  <w:vMerge w:val="restar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生产工序</w:t>
                  </w:r>
                </w:p>
              </w:tc>
              <w:tc>
                <w:tcPr>
                  <w:tcW w:w="2270"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废油桶及含油抹布、手套</w:t>
                  </w:r>
                </w:p>
              </w:tc>
              <w:tc>
                <w:tcPr>
                  <w:tcW w:w="1205"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2270"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废布袋</w:t>
                  </w:r>
                </w:p>
              </w:tc>
              <w:tc>
                <w:tcPr>
                  <w:tcW w:w="1205"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员工生活</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continue"/>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014"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废油脂</w:t>
                  </w:r>
                </w:p>
              </w:tc>
              <w:tc>
                <w:tcPr>
                  <w:tcW w:w="1205"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0"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定期由油脂回收单位回收</w:t>
                  </w:r>
                </w:p>
              </w:tc>
            </w:tr>
          </w:tbl>
          <w:p>
            <w:pPr>
              <w:pStyle w:val="4"/>
              <w:adjustRightInd w:val="0"/>
              <w:spacing w:before="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物料平衡</w:t>
            </w:r>
          </w:p>
          <w:p>
            <w:pPr>
              <w:pStyle w:val="39"/>
              <w:overflowPunct w:val="0"/>
              <w:autoSpaceDE w:val="0"/>
              <w:autoSpaceDN w:val="0"/>
              <w:spacing w:beforeLines="0" w:afterLines="0" w:line="240" w:lineRule="atLeas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8</w:t>
            </w:r>
            <w:r>
              <w:rPr>
                <w:rFonts w:hint="eastAsia" w:ascii="Times New Roman" w:hAnsi="Times New Roman" w:cs="Times New Roman"/>
                <w:color w:val="auto"/>
                <w:highlight w:val="none"/>
                <w:lang w:val="en-US" w:eastAsia="zh-CN"/>
              </w:rPr>
              <w:t xml:space="preserve">  切割工序</w:t>
            </w:r>
            <w:r>
              <w:rPr>
                <w:rFonts w:hint="default" w:ascii="Times New Roman" w:hAnsi="Times New Roman" w:cs="Times New Roman"/>
                <w:color w:val="auto"/>
                <w:highlight w:val="none"/>
              </w:rPr>
              <w:t>物料平衡表</w:t>
            </w:r>
          </w:p>
          <w:tbl>
            <w:tblPr>
              <w:tblStyle w:val="22"/>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1132"/>
              <w:gridCol w:w="1091"/>
              <w:gridCol w:w="2127"/>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投入</w:t>
                  </w:r>
                </w:p>
              </w:tc>
              <w:tc>
                <w:tcPr>
                  <w:tcW w:w="2814" w:type="pct"/>
                  <w:gridSpan w:val="3"/>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469"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w:t>
                  </w:r>
                </w:p>
              </w:tc>
              <w:tc>
                <w:tcPr>
                  <w:tcW w:w="716"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用量t/a</w:t>
                  </w:r>
                </w:p>
              </w:tc>
              <w:tc>
                <w:tcPr>
                  <w:tcW w:w="690"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产品种类</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778"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469"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槽钢</w:t>
                  </w:r>
                </w:p>
              </w:tc>
              <w:tc>
                <w:tcPr>
                  <w:tcW w:w="71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400</w:t>
                  </w:r>
                </w:p>
              </w:tc>
              <w:tc>
                <w:tcPr>
                  <w:tcW w:w="690"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预制舱（钢材量）</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2187.012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9"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方管</w:t>
                  </w:r>
                </w:p>
              </w:tc>
              <w:tc>
                <w:tcPr>
                  <w:tcW w:w="71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c>
                <w:tcPr>
                  <w:tcW w:w="690" w:type="pct"/>
                  <w:vMerge w:val="restar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w:t>
                  </w: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颗粒物有组织排放量</w:t>
                  </w:r>
                </w:p>
              </w:tc>
              <w:tc>
                <w:tcPr>
                  <w:tcW w:w="778"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9"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热</w:t>
                  </w:r>
                  <w:r>
                    <w:rPr>
                      <w:rFonts w:hint="default" w:ascii="Times New Roman" w:hAnsi="Times New Roman" w:eastAsia="宋体" w:cs="Times New Roman"/>
                      <w:color w:val="auto"/>
                      <w:kern w:val="0"/>
                      <w:sz w:val="21"/>
                      <w:szCs w:val="21"/>
                      <w:highlight w:val="none"/>
                    </w:rPr>
                    <w:t>板</w:t>
                  </w:r>
                </w:p>
              </w:tc>
              <w:tc>
                <w:tcPr>
                  <w:tcW w:w="71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750</w:t>
                  </w:r>
                </w:p>
              </w:tc>
              <w:tc>
                <w:tcPr>
                  <w:tcW w:w="690"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颗粒物无组织排放量</w:t>
                  </w:r>
                </w:p>
              </w:tc>
              <w:tc>
                <w:tcPr>
                  <w:tcW w:w="778" w:type="pct"/>
                  <w:noWrap w:val="0"/>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9"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角钢</w:t>
                  </w:r>
                </w:p>
              </w:tc>
              <w:tc>
                <w:tcPr>
                  <w:tcW w:w="71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w:t>
                  </w:r>
                </w:p>
              </w:tc>
              <w:tc>
                <w:tcPr>
                  <w:tcW w:w="690"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金属碎屑及边角料</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9"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1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90"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除尘灰</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9"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71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2200</w:t>
                  </w:r>
                </w:p>
              </w:tc>
              <w:tc>
                <w:tcPr>
                  <w:tcW w:w="2035"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2200</w:t>
                  </w:r>
                </w:p>
              </w:tc>
            </w:tr>
          </w:tbl>
          <w:p>
            <w:pPr>
              <w:pStyle w:val="39"/>
              <w:overflowPunct w:val="0"/>
              <w:autoSpaceDE w:val="0"/>
              <w:autoSpaceDN w:val="0"/>
              <w:spacing w:beforeLines="0" w:afterLines="0" w:line="240" w:lineRule="atLeas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9  喷砂工序</w:t>
            </w:r>
            <w:r>
              <w:rPr>
                <w:rFonts w:hint="default" w:ascii="Times New Roman" w:hAnsi="Times New Roman" w:cs="Times New Roman"/>
                <w:color w:val="auto"/>
                <w:highlight w:val="none"/>
              </w:rPr>
              <w:t>物料平衡表</w:t>
            </w:r>
          </w:p>
          <w:tbl>
            <w:tblPr>
              <w:tblStyle w:val="22"/>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173"/>
              <w:gridCol w:w="1064"/>
              <w:gridCol w:w="2127"/>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203"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投入</w:t>
                  </w:r>
                </w:p>
              </w:tc>
              <w:tc>
                <w:tcPr>
                  <w:tcW w:w="2796" w:type="pct"/>
                  <w:gridSpan w:val="3"/>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461"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w:t>
                  </w:r>
                </w:p>
              </w:tc>
              <w:tc>
                <w:tcPr>
                  <w:tcW w:w="741"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用量t/a</w:t>
                  </w:r>
                </w:p>
              </w:tc>
              <w:tc>
                <w:tcPr>
                  <w:tcW w:w="672"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产品种类</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778"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57" w:hRule="atLeast"/>
                <w:jc w:val="center"/>
              </w:trPr>
              <w:tc>
                <w:tcPr>
                  <w:tcW w:w="1461"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预制舱（使用钢材量）</w:t>
                  </w:r>
                </w:p>
              </w:tc>
              <w:tc>
                <w:tcPr>
                  <w:tcW w:w="74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2189</w:t>
                  </w:r>
                </w:p>
              </w:tc>
              <w:tc>
                <w:tcPr>
                  <w:tcW w:w="672"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预制舱（钢材喷砂量）</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2183.642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1"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4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2" w:type="pct"/>
                  <w:vMerge w:val="restar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w:t>
                  </w: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颗粒物有组织排放量</w:t>
                  </w:r>
                </w:p>
              </w:tc>
              <w:tc>
                <w:tcPr>
                  <w:tcW w:w="778"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1"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4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2"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颗粒物无组织排放量</w:t>
                  </w:r>
                </w:p>
              </w:tc>
              <w:tc>
                <w:tcPr>
                  <w:tcW w:w="778" w:type="pct"/>
                  <w:noWrap w:val="0"/>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1"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4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2"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废钢砂</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61"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4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2"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除尘灰</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461"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7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2189</w:t>
                  </w:r>
                </w:p>
              </w:tc>
              <w:tc>
                <w:tcPr>
                  <w:tcW w:w="2018"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2189</w:t>
                  </w:r>
                </w:p>
              </w:tc>
            </w:tr>
          </w:tbl>
          <w:p>
            <w:pPr>
              <w:pStyle w:val="39"/>
              <w:overflowPunct w:val="0"/>
              <w:autoSpaceDE w:val="0"/>
              <w:autoSpaceDN w:val="0"/>
              <w:spacing w:beforeLines="0" w:afterLines="0" w:line="240" w:lineRule="atLeas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10  喷漆工序</w:t>
            </w:r>
            <w:r>
              <w:rPr>
                <w:rFonts w:hint="default" w:ascii="Times New Roman" w:hAnsi="Times New Roman" w:cs="Times New Roman"/>
                <w:color w:val="auto"/>
                <w:highlight w:val="none"/>
              </w:rPr>
              <w:t>物料平衡表</w:t>
            </w:r>
          </w:p>
          <w:tbl>
            <w:tblPr>
              <w:tblStyle w:val="22"/>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8"/>
              <w:gridCol w:w="928"/>
              <w:gridCol w:w="1104"/>
              <w:gridCol w:w="2127"/>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投入</w:t>
                  </w:r>
                </w:p>
              </w:tc>
              <w:tc>
                <w:tcPr>
                  <w:tcW w:w="2814" w:type="pct"/>
                  <w:gridSpan w:val="3"/>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98"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w:t>
                  </w:r>
                </w:p>
              </w:tc>
              <w:tc>
                <w:tcPr>
                  <w:tcW w:w="586"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用量t/a</w:t>
                  </w:r>
                </w:p>
              </w:tc>
              <w:tc>
                <w:tcPr>
                  <w:tcW w:w="698"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产品种类</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770"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598"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水性多功能漆（水性漆）</w:t>
                  </w: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698"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345" w:type="pc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预制舱（喷涂）</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8"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耐磨环氧铝粉漆</w:t>
                  </w:r>
                </w:p>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en-US"/>
                    </w:rPr>
                    <w:t>EXAII组份A（油漆）</w:t>
                  </w: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698" w:type="pct"/>
                  <w:vMerge w:val="restart"/>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w:t>
                  </w: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漆物颗粒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有组织排放量</w:t>
                  </w:r>
                </w:p>
              </w:tc>
              <w:tc>
                <w:tcPr>
                  <w:tcW w:w="77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耐磨环氧铝粉漆</w:t>
                  </w:r>
                </w:p>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EXAII组份B（固化剂）</w:t>
                  </w: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漆物颗粒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无组织排放量</w:t>
                  </w:r>
                </w:p>
              </w:tc>
              <w:tc>
                <w:tcPr>
                  <w:tcW w:w="770" w:type="pct"/>
                  <w:noWrap w:val="0"/>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en-US"/>
                    </w:rPr>
                    <w:t>丙烯酸聚氨酯面漆</w:t>
                  </w: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有组织排放量</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稀释剂</w:t>
                  </w: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w:t>
                  </w: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无组织排放量</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二甲苯有组织排放量</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二甲苯无组织排放量</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86"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698" w:type="pct"/>
                  <w:vMerge w:val="continue"/>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过滤的漆物颗粒</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1.0858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5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12.7</w:t>
                  </w:r>
                </w:p>
              </w:tc>
              <w:tc>
                <w:tcPr>
                  <w:tcW w:w="2043" w:type="pct"/>
                  <w:gridSpan w:val="2"/>
                  <w:noWrap w:val="0"/>
                  <w:vAlign w:val="center"/>
                </w:tcPr>
                <w:p>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12.7</w:t>
                  </w:r>
                </w:p>
              </w:tc>
            </w:tr>
          </w:tbl>
          <w:p>
            <w:pPr>
              <w:pStyle w:val="27"/>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2" w:hRule="atLeast"/>
          <w:jc w:val="center"/>
        </w:trPr>
        <w:tc>
          <w:tcPr>
            <w:tcW w:w="738" w:type="dxa"/>
            <w:vAlign w:val="center"/>
          </w:tcPr>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与</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项</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目</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有</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关</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的</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原</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有</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环</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境</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污</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染</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问</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r>
              <w:rPr>
                <w:rFonts w:hint="default" w:ascii="Times New Roman" w:hAnsi="Times New Roman" w:cs="Times New Roman"/>
                <w:bCs/>
                <w:color w:val="auto"/>
                <w:kern w:val="2"/>
                <w:szCs w:val="21"/>
                <w:highlight w:val="none"/>
              </w:rPr>
              <w:t>题</w:t>
            </w:r>
          </w:p>
          <w:p>
            <w:pPr>
              <w:pStyle w:val="17"/>
              <w:adjustRightInd w:val="0"/>
              <w:snapToGrid w:val="0"/>
              <w:spacing w:before="0" w:beforeAutospacing="0" w:after="0" w:afterAutospacing="0" w:line="240" w:lineRule="auto"/>
              <w:ind w:firstLine="0" w:firstLineChars="0"/>
              <w:jc w:val="center"/>
              <w:rPr>
                <w:rFonts w:hint="default" w:ascii="Times New Roman" w:hAnsi="Times New Roman" w:cs="Times New Roman"/>
                <w:bCs/>
                <w:color w:val="auto"/>
                <w:kern w:val="2"/>
                <w:szCs w:val="21"/>
                <w:highlight w:val="none"/>
              </w:rPr>
            </w:pPr>
          </w:p>
        </w:tc>
        <w:tc>
          <w:tcPr>
            <w:tcW w:w="8165" w:type="dxa"/>
            <w:vAlign w:val="center"/>
          </w:tcPr>
          <w:p>
            <w:pPr>
              <w:widowControl/>
              <w:numPr>
                <w:ilvl w:val="0"/>
                <w:numId w:val="0"/>
              </w:numPr>
              <w:adjustRightInd w:val="0"/>
              <w:snapToGrid w:val="0"/>
              <w:spacing w:line="240" w:lineRule="auto"/>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无</w:t>
            </w:r>
          </w:p>
        </w:tc>
      </w:tr>
    </w:tbl>
    <w:p>
      <w:pPr>
        <w:pStyle w:val="17"/>
        <w:ind w:firstLine="720"/>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cols w:space="720" w:num="1"/>
          <w:docGrid w:linePitch="312" w:charSpace="0"/>
        </w:sectPr>
      </w:pPr>
    </w:p>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1"/>
        <w:tblW w:w="49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7"/>
        <w:gridCol w:w="82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4578" w:type="pct"/>
            <w:vAlign w:val="center"/>
          </w:tcPr>
          <w:p>
            <w:pPr>
              <w:ind w:firstLine="0" w:firstLineChars="0"/>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1环境空气质量现状评价</w:t>
            </w:r>
          </w:p>
          <w:p>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1.1基本污染物环境质量现状评价</w:t>
            </w:r>
          </w:p>
          <w:p>
            <w:pPr>
              <w:adjustRightInd w:val="0"/>
              <w:snapToGrid w:val="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1.1.1数据来源</w:t>
            </w:r>
          </w:p>
          <w:p>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根据《环境影响评价技术导则大气环境》（HJ2.2-2018）要求，本项目基本污染物环境质量现状评价采用</w:t>
            </w:r>
            <w:r>
              <w:rPr>
                <w:rFonts w:hint="default" w:ascii="Times New Roman" w:hAnsi="Times New Roman" w:cs="Times New Roman"/>
                <w:color w:val="auto"/>
                <w:highlight w:val="none"/>
                <w:lang w:eastAsia="zh-CN"/>
              </w:rPr>
              <w:t>“新</w:t>
            </w:r>
            <w:r>
              <w:rPr>
                <w:rFonts w:hint="default" w:ascii="Times New Roman" w:hAnsi="Times New Roman" w:eastAsia="宋体" w:cs="Times New Roman"/>
                <w:color w:val="auto"/>
                <w:highlight w:val="none"/>
              </w:rPr>
              <w:t>疆维吾尔自治区生态环境厅网站</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公布的“</w:t>
            </w:r>
            <w:r>
              <w:rPr>
                <w:rFonts w:hint="default" w:ascii="Times New Roman" w:hAnsi="Times New Roman" w:cs="Times New Roman"/>
                <w:color w:val="auto"/>
                <w:highlight w:val="none"/>
                <w:lang w:val="en-US" w:eastAsia="zh-CN"/>
              </w:rPr>
              <w:t>2024年12月和1-12月全区环境空气质量状况及排名“中库尔勒市环境空气质量数据，该监测数据可反映项目所在地环境质量的实际情况。</w:t>
            </w:r>
            <w:r>
              <w:rPr>
                <w:rFonts w:hint="default" w:ascii="Times New Roman" w:hAnsi="Times New Roman" w:eastAsia="宋体" w:cs="Times New Roman"/>
                <w:color w:val="auto"/>
                <w:highlight w:val="none"/>
                <w:lang w:val="en-US" w:eastAsia="zh-CN"/>
              </w:rPr>
              <w:t>网址：https://sthjt.xinjiang.gov.cn/xjepd/sthjt_hjjc/202501/de748bb96a6a4bd997dfc13363f4388c.shtml。</w:t>
            </w:r>
          </w:p>
          <w:p>
            <w:pPr>
              <w:adjustRightInd w:val="0"/>
              <w:snapToGrid w:val="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1.1.2评价方法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基本污染物按照《环境空气质量评价技术规范（试行）》（HJ663-2013）中各评价项目的年评价指标进行判定。年评价指标中的年均浓度和相应百分位数24h平均或8h平均质量浓度满足《环境空气质量标准》（GB3095-2012）中浓度限值要求的即为达标。</w:t>
            </w:r>
          </w:p>
          <w:p>
            <w:pPr>
              <w:adjustRightInd w:val="0"/>
              <w:snapToGrid w:val="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1.1.3评价标准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本次基本因子环境空气质量现状评价依据《环境空气质量标准》（GB3095-2012）二级标准，其标准值见表3-1。</w:t>
            </w:r>
          </w:p>
          <w:p>
            <w:pPr>
              <w:spacing w:line="240" w:lineRule="auto"/>
              <w:ind w:left="0" w:leftChars="0" w:firstLine="0" w:firstLineChars="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表3-1</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环境空气质量浓度标准</w:t>
            </w:r>
          </w:p>
          <w:tbl>
            <w:tblPr>
              <w:tblStyle w:val="22"/>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355"/>
              <w:gridCol w:w="2060"/>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8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296"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取值时间</w:t>
                  </w:r>
                </w:p>
              </w:tc>
              <w:tc>
                <w:tcPr>
                  <w:tcW w:w="171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highlight w:val="none"/>
                    </w:rPr>
                    <w:t>标准浓度限值（μg/m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05" w:type="pct"/>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82"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2060"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年均值</w:t>
                  </w:r>
                </w:p>
              </w:tc>
              <w:tc>
                <w:tcPr>
                  <w:tcW w:w="2726"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eastAsia" w:cs="Times New Roman"/>
                      <w:color w:val="auto"/>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82"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2060"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年均值</w:t>
                  </w:r>
                </w:p>
              </w:tc>
              <w:tc>
                <w:tcPr>
                  <w:tcW w:w="2726"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eastAsia" w:cs="Times New Roman"/>
                      <w:color w:val="auto"/>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8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2060" w:type="dxa"/>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年均值</w:t>
                  </w:r>
                </w:p>
              </w:tc>
              <w:tc>
                <w:tcPr>
                  <w:tcW w:w="2726" w:type="dxa"/>
                  <w:tcBorders>
                    <w:right w:val="nil"/>
                  </w:tcBorders>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eastAsia" w:cs="Times New Roman"/>
                      <w:color w:val="auto"/>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8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2060" w:type="dxa"/>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年均值</w:t>
                  </w:r>
                </w:p>
              </w:tc>
              <w:tc>
                <w:tcPr>
                  <w:tcW w:w="2726" w:type="dxa"/>
                  <w:tcBorders>
                    <w:right w:val="nil"/>
                  </w:tcBorders>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eastAsia" w:cs="Times New Roman"/>
                      <w:color w:val="auto"/>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8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CO</w:t>
                  </w:r>
                </w:p>
              </w:tc>
              <w:tc>
                <w:tcPr>
                  <w:tcW w:w="2060" w:type="dxa"/>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日均值</w:t>
                  </w:r>
                </w:p>
              </w:tc>
              <w:tc>
                <w:tcPr>
                  <w:tcW w:w="2726" w:type="dxa"/>
                  <w:tcBorders>
                    <w:right w:val="nil"/>
                  </w:tcBorders>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8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-8h</w:t>
                  </w:r>
                </w:p>
              </w:tc>
              <w:tc>
                <w:tcPr>
                  <w:tcW w:w="2060" w:type="dxa"/>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日最大8小时均值</w:t>
                  </w:r>
                </w:p>
              </w:tc>
              <w:tc>
                <w:tcPr>
                  <w:tcW w:w="2726" w:type="dxa"/>
                  <w:tcBorders>
                    <w:right w:val="nil"/>
                  </w:tcBorders>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160</w:t>
                  </w:r>
                </w:p>
              </w:tc>
            </w:tr>
          </w:tbl>
          <w:p>
            <w:pPr>
              <w:adjustRightInd w:val="0"/>
              <w:snapToGrid w:val="0"/>
              <w:spacing w:line="360" w:lineRule="auto"/>
              <w:ind w:firstLine="482" w:firstLineChars="20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1.1.4空气质量达标区判定</w:t>
            </w:r>
          </w:p>
          <w:p>
            <w:pPr>
              <w:adjustRightInd w:val="0"/>
              <w:snapToGrid w:val="0"/>
              <w:spacing w:line="360" w:lineRule="auto"/>
              <w:ind w:firstLine="480" w:firstLineChars="200"/>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区域环境空气质量监测及评价结果如下：</w:t>
            </w:r>
          </w:p>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 xml:space="preserve">  2024</w:t>
            </w:r>
            <w:r>
              <w:rPr>
                <w:rFonts w:hint="default" w:ascii="Times New Roman" w:hAnsi="Times New Roman" w:eastAsia="宋体" w:cs="Times New Roman"/>
                <w:b/>
                <w:bCs/>
                <w:color w:val="auto"/>
                <w:sz w:val="24"/>
                <w:szCs w:val="24"/>
                <w:highlight w:val="none"/>
              </w:rPr>
              <w:t>年</w:t>
            </w:r>
            <w:r>
              <w:rPr>
                <w:rFonts w:hint="default" w:ascii="Times New Roman" w:hAnsi="Times New Roman" w:cs="Times New Roman"/>
                <w:b/>
                <w:bCs/>
                <w:color w:val="auto"/>
                <w:sz w:val="24"/>
                <w:szCs w:val="24"/>
                <w:highlight w:val="none"/>
                <w:lang w:val="en-US" w:eastAsia="zh-CN"/>
              </w:rPr>
              <w:t>库尔勒市</w:t>
            </w:r>
            <w:r>
              <w:rPr>
                <w:rFonts w:hint="default" w:ascii="Times New Roman" w:hAnsi="Times New Roman" w:eastAsia="宋体" w:cs="Times New Roman"/>
                <w:b/>
                <w:bCs/>
                <w:color w:val="auto"/>
                <w:sz w:val="24"/>
                <w:szCs w:val="24"/>
                <w:highlight w:val="none"/>
              </w:rPr>
              <w:t>环境空气质量浓度</w:t>
            </w:r>
            <w:r>
              <w:rPr>
                <w:rFonts w:hint="default" w:ascii="Times New Roman" w:hAnsi="Times New Roman" w:eastAsia="宋体" w:cs="Times New Roman"/>
                <w:b/>
                <w:bCs/>
                <w:color w:val="auto"/>
                <w:spacing w:val="-10"/>
                <w:sz w:val="24"/>
                <w:szCs w:val="24"/>
                <w:highlight w:val="none"/>
              </w:rPr>
              <w:t>现状评价一览表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327"/>
              <w:gridCol w:w="1022"/>
              <w:gridCol w:w="1100"/>
              <w:gridCol w:w="1100"/>
              <w:gridCol w:w="1534"/>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3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监测值</w:t>
                  </w:r>
                </w:p>
              </w:tc>
              <w:tc>
                <w:tcPr>
                  <w:tcW w:w="95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69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05" w:type="pct"/>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29"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638"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70</w:t>
                  </w:r>
                </w:p>
              </w:tc>
              <w:tc>
                <w:tcPr>
                  <w:tcW w:w="687"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138</w:t>
                  </w:r>
                </w:p>
              </w:tc>
              <w:tc>
                <w:tcPr>
                  <w:tcW w:w="95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197.14</w:t>
                  </w:r>
                </w:p>
              </w:tc>
              <w:tc>
                <w:tcPr>
                  <w:tcW w:w="695"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29"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638"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35</w:t>
                  </w:r>
                </w:p>
              </w:tc>
              <w:tc>
                <w:tcPr>
                  <w:tcW w:w="687"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95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102.86</w:t>
                  </w:r>
                </w:p>
              </w:tc>
              <w:tc>
                <w:tcPr>
                  <w:tcW w:w="695"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8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63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60</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9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8.33</w:t>
                  </w:r>
                </w:p>
              </w:tc>
              <w:tc>
                <w:tcPr>
                  <w:tcW w:w="69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8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63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40</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9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57.50</w:t>
                  </w:r>
                </w:p>
              </w:tc>
              <w:tc>
                <w:tcPr>
                  <w:tcW w:w="69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8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CO</w:t>
                  </w:r>
                </w:p>
              </w:tc>
              <w:tc>
                <w:tcPr>
                  <w:tcW w:w="63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4.0</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w:t>
                  </w:r>
                </w:p>
              </w:tc>
              <w:tc>
                <w:tcPr>
                  <w:tcW w:w="9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9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8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-8h</w:t>
                  </w:r>
                </w:p>
              </w:tc>
              <w:tc>
                <w:tcPr>
                  <w:tcW w:w="63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μg/m</w:t>
                  </w:r>
                  <w:r>
                    <w:rPr>
                      <w:rFonts w:hint="default" w:ascii="Times New Roman" w:hAnsi="Times New Roman" w:eastAsia="宋体" w:cs="Times New Roman"/>
                      <w:color w:val="auto"/>
                      <w:kern w:val="0"/>
                      <w:sz w:val="21"/>
                      <w:szCs w:val="21"/>
                      <w:highlight w:val="none"/>
                      <w:vertAlign w:val="superscript"/>
                    </w:rPr>
                    <w:t>3</w:t>
                  </w:r>
                </w:p>
              </w:tc>
              <w:tc>
                <w:tcPr>
                  <w:tcW w:w="1122"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160</w:t>
                  </w:r>
                </w:p>
              </w:tc>
              <w:tc>
                <w:tcPr>
                  <w:tcW w:w="68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9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59.38</w:t>
                  </w:r>
                </w:p>
              </w:tc>
              <w:tc>
                <w:tcPr>
                  <w:tcW w:w="69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r>
          </w:tbl>
          <w:p>
            <w:pPr>
              <w:spacing w:before="60" w:beforeLines="25"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由</w:t>
            </w:r>
            <w:r>
              <w:rPr>
                <w:rFonts w:hint="default" w:ascii="Times New Roman" w:hAnsi="Times New Roman" w:eastAsia="宋体" w:cs="Times New Roman"/>
                <w:color w:val="auto"/>
                <w:highlight w:val="none"/>
                <w:lang w:val="en-US" w:eastAsia="zh-CN"/>
              </w:rPr>
              <w:t>上</w:t>
            </w: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可知</w:t>
            </w:r>
            <w:r>
              <w:rPr>
                <w:rFonts w:hint="default" w:ascii="Times New Roman" w:hAnsi="Times New Roman" w:eastAsia="宋体" w:cs="Times New Roman"/>
                <w:color w:val="auto"/>
                <w:highlight w:val="none"/>
              </w:rPr>
              <w:t>，</w:t>
            </w:r>
            <w:r>
              <w:rPr>
                <w:rFonts w:hint="default" w:ascii="Times New Roman" w:hAnsi="Times New Roman" w:cs="Times New Roman"/>
                <w:color w:val="auto"/>
                <w:sz w:val="24"/>
                <w:highlight w:val="none"/>
              </w:rPr>
              <w:t>项目所在区域空气质量现状评价指标中SO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vertAlign w:val="subscript"/>
                <w:lang w:eastAsia="zh-CN"/>
              </w:rPr>
              <w:t>、</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的年平均质量浓度、CO第95百分位日平均浓度、O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第90百分位8h平均浓度均能满足《环境空气质量标准》（GB3095-2012）中二级标准要求，PM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PM</w:t>
            </w:r>
            <w:r>
              <w:rPr>
                <w:rFonts w:hint="eastAsia" w:ascii="Times New Roman" w:hAnsi="Times New Roman" w:cs="Times New Roman"/>
                <w:color w:val="auto"/>
                <w:sz w:val="24"/>
                <w:highlight w:val="none"/>
                <w:vertAlign w:val="subscript"/>
                <w:lang w:val="en-US" w:eastAsia="zh-CN"/>
              </w:rPr>
              <w:t>2.5</w:t>
            </w:r>
            <w:r>
              <w:rPr>
                <w:rFonts w:hint="default" w:ascii="Times New Roman" w:hAnsi="Times New Roman" w:cs="Times New Roman"/>
                <w:color w:val="auto"/>
                <w:sz w:val="24"/>
                <w:highlight w:val="none"/>
              </w:rPr>
              <w:t>年平均质量浓度不能满足《环境空气质量标准》（GB3095-2012）中二级标准要求，本项目所在区域为</w:t>
            </w:r>
            <w:bookmarkStart w:id="4" w:name="_T0ab91a7833f844647961a28806864650"/>
            <w:r>
              <w:rPr>
                <w:rFonts w:hint="default" w:ascii="Times New Roman" w:hAnsi="Times New Roman" w:cs="Times New Roman"/>
                <w:color w:val="auto"/>
                <w:sz w:val="24"/>
                <w:highlight w:val="none"/>
              </w:rPr>
              <w:t>环境空气质量</w:t>
            </w:r>
            <w:bookmarkEnd w:id="4"/>
            <w:r>
              <w:rPr>
                <w:rFonts w:hint="default" w:ascii="Times New Roman" w:hAnsi="Times New Roman" w:cs="Times New Roman"/>
                <w:color w:val="auto"/>
                <w:sz w:val="24"/>
                <w:highlight w:val="none"/>
              </w:rPr>
              <w:t>非达标区。</w:t>
            </w:r>
          </w:p>
          <w:p>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w:t>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特征因子环境质量现状</w:t>
            </w:r>
          </w:p>
          <w:p>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1.2.1监测项目、监测时间及监测频率</w:t>
            </w:r>
          </w:p>
          <w:p>
            <w:pPr>
              <w:ind w:firstLine="480"/>
              <w:rPr>
                <w:rFonts w:hint="default" w:ascii="Times New Roman" w:hAnsi="Times New Roman" w:eastAsia="宋体" w:cs="Times New Roman"/>
                <w:color w:val="auto"/>
                <w:spacing w:val="-6"/>
                <w:sz w:val="24"/>
                <w:highlight w:val="none"/>
                <w:lang w:val="en-US" w:eastAsia="zh-CN"/>
              </w:rPr>
            </w:pPr>
            <w:bookmarkStart w:id="5" w:name="_Toc9853"/>
            <w:r>
              <w:rPr>
                <w:rFonts w:hint="default" w:ascii="Times New Roman" w:hAnsi="Times New Roman" w:eastAsia="宋体" w:cs="Times New Roman"/>
                <w:color w:val="auto"/>
                <w:sz w:val="24"/>
                <w:highlight w:val="none"/>
                <w:lang w:val="en-US" w:eastAsia="zh-CN"/>
              </w:rPr>
              <w:t>根据《建设项目环境影响报告表编制技术指南（污染影响类）（试行）》大气环境质量现状要求，本次大气环境质量现状评价的特征污染因子（TSP）、非甲烷总烃，应当选择当季主导风向下风向1个点位补充不少于3天的监测数据。项目委托新疆广宇众联环境监测有限公司于2025年12月26日至28日，对项目区环境现状进行</w:t>
            </w:r>
            <w:r>
              <w:rPr>
                <w:rFonts w:hint="default" w:ascii="Times New Roman" w:hAnsi="Times New Roman" w:eastAsia="宋体" w:cs="Times New Roman"/>
                <w:color w:val="auto"/>
                <w:spacing w:val="-6"/>
                <w:sz w:val="24"/>
                <w:highlight w:val="none"/>
                <w:lang w:val="en-US" w:eastAsia="zh-CN"/>
              </w:rPr>
              <w:t>连续3天监测，监测及评价结果。</w:t>
            </w:r>
          </w:p>
          <w:p>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1.2.2</w:t>
            </w:r>
            <w:r>
              <w:rPr>
                <w:rFonts w:hint="default" w:ascii="Times New Roman" w:hAnsi="Times New Roman" w:cs="Times New Roman"/>
                <w:b/>
                <w:bCs/>
                <w:color w:val="auto"/>
                <w:highlight w:val="none"/>
              </w:rPr>
              <w:t>监测结果及评价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特征污染物监测及评价结果，见表3-3。</w:t>
            </w:r>
          </w:p>
          <w:p>
            <w:pPr>
              <w:spacing w:line="24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表3-3</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特征污染物监测及评价结果</w:t>
            </w:r>
          </w:p>
          <w:tbl>
            <w:tblPr>
              <w:tblStyle w:val="22"/>
              <w:tblW w:w="8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49"/>
              <w:gridCol w:w="1031"/>
              <w:gridCol w:w="1065"/>
              <w:gridCol w:w="1440"/>
              <w:gridCol w:w="1155"/>
              <w:gridCol w:w="794"/>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left w:val="nil"/>
                  </w:tcBorders>
                  <w:vAlign w:val="center"/>
                </w:tcPr>
                <w:p>
                  <w:pPr>
                    <w:spacing w:line="240" w:lineRule="auto"/>
                    <w:ind w:firstLine="0" w:firstLineChars="0"/>
                    <w:contextualSpacing/>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监测</w:t>
                  </w:r>
                </w:p>
                <w:p>
                  <w:pPr>
                    <w:spacing w:line="240" w:lineRule="auto"/>
                    <w:ind w:firstLine="0" w:firstLineChars="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highlight w:val="none"/>
                    </w:rPr>
                    <w:t>点位</w:t>
                  </w:r>
                </w:p>
              </w:tc>
              <w:tc>
                <w:tcPr>
                  <w:tcW w:w="949" w:type="dxa"/>
                  <w:vAlign w:val="center"/>
                </w:tcPr>
                <w:p>
                  <w:pPr>
                    <w:spacing w:line="240" w:lineRule="auto"/>
                    <w:ind w:firstLine="0" w:firstLineChars="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highlight w:val="none"/>
                    </w:rPr>
                    <w:t>污染物</w:t>
                  </w:r>
                </w:p>
              </w:tc>
              <w:tc>
                <w:tcPr>
                  <w:tcW w:w="1031" w:type="dxa"/>
                  <w:vAlign w:val="center"/>
                </w:tcPr>
                <w:p>
                  <w:pPr>
                    <w:spacing w:line="240" w:lineRule="auto"/>
                    <w:ind w:firstLine="0" w:firstLineChars="0"/>
                    <w:contextualSpacing/>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平均</w:t>
                  </w:r>
                </w:p>
                <w:p>
                  <w:pPr>
                    <w:spacing w:line="240" w:lineRule="auto"/>
                    <w:ind w:firstLine="0" w:firstLineChars="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highlight w:val="none"/>
                    </w:rPr>
                    <w:t>时间</w:t>
                  </w:r>
                </w:p>
              </w:tc>
              <w:tc>
                <w:tcPr>
                  <w:tcW w:w="1065" w:type="dxa"/>
                  <w:tcBorders>
                    <w:right w:val="nil"/>
                  </w:tcBorders>
                  <w:vAlign w:val="center"/>
                </w:tcPr>
                <w:p>
                  <w:pPr>
                    <w:spacing w:line="240" w:lineRule="auto"/>
                    <w:ind w:firstLine="0" w:firstLineChars="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highlight w:val="none"/>
                    </w:rPr>
                    <w:t>评价标准（μg/m</w:t>
                  </w:r>
                  <w:r>
                    <w:rPr>
                      <w:rFonts w:hint="default" w:ascii="Times New Roman" w:hAnsi="Times New Roman" w:cs="Times New Roman"/>
                      <w:b/>
                      <w:bCs/>
                      <w:color w:val="auto"/>
                      <w:sz w:val="21"/>
                      <w:highlight w:val="none"/>
                      <w:vertAlign w:val="superscript"/>
                    </w:rPr>
                    <w:t>3</w:t>
                  </w:r>
                  <w:r>
                    <w:rPr>
                      <w:rFonts w:hint="default" w:ascii="Times New Roman" w:hAnsi="Times New Roman" w:cs="Times New Roman"/>
                      <w:b/>
                      <w:bCs/>
                      <w:color w:val="auto"/>
                      <w:sz w:val="21"/>
                      <w:highlight w:val="none"/>
                    </w:rPr>
                    <w:t>）</w:t>
                  </w:r>
                </w:p>
              </w:tc>
              <w:tc>
                <w:tcPr>
                  <w:tcW w:w="1440" w:type="dxa"/>
                  <w:tcBorders>
                    <w:right w:val="nil"/>
                  </w:tcBorders>
                  <w:vAlign w:val="center"/>
                </w:tcPr>
                <w:p>
                  <w:pPr>
                    <w:spacing w:line="240" w:lineRule="auto"/>
                    <w:ind w:firstLine="0" w:firstLineChars="0"/>
                    <w:contextualSpacing/>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监测浓度范围（μg/m</w:t>
                  </w:r>
                  <w:r>
                    <w:rPr>
                      <w:rFonts w:hint="default" w:ascii="Times New Roman" w:hAnsi="Times New Roman" w:cs="Times New Roman"/>
                      <w:b/>
                      <w:bCs/>
                      <w:color w:val="auto"/>
                      <w:sz w:val="21"/>
                      <w:highlight w:val="none"/>
                      <w:vertAlign w:val="superscript"/>
                    </w:rPr>
                    <w:t>3</w:t>
                  </w:r>
                  <w:r>
                    <w:rPr>
                      <w:rFonts w:hint="default" w:ascii="Times New Roman" w:hAnsi="Times New Roman" w:cs="Times New Roman"/>
                      <w:b/>
                      <w:bCs/>
                      <w:color w:val="auto"/>
                      <w:sz w:val="21"/>
                      <w:highlight w:val="none"/>
                    </w:rPr>
                    <w:t>）</w:t>
                  </w:r>
                </w:p>
              </w:tc>
              <w:tc>
                <w:tcPr>
                  <w:tcW w:w="1155" w:type="dxa"/>
                  <w:tcBorders>
                    <w:right w:val="nil"/>
                  </w:tcBorders>
                  <w:vAlign w:val="center"/>
                </w:tcPr>
                <w:p>
                  <w:pPr>
                    <w:spacing w:line="240" w:lineRule="auto"/>
                    <w:ind w:firstLine="0" w:firstLineChars="0"/>
                    <w:contextualSpacing/>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最大浓度占标率%</w:t>
                  </w:r>
                </w:p>
              </w:tc>
              <w:tc>
                <w:tcPr>
                  <w:tcW w:w="794" w:type="dxa"/>
                  <w:tcBorders>
                    <w:right w:val="nil"/>
                  </w:tcBorders>
                  <w:vAlign w:val="center"/>
                </w:tcPr>
                <w:p>
                  <w:pPr>
                    <w:spacing w:line="240" w:lineRule="auto"/>
                    <w:ind w:firstLine="0" w:firstLineChars="0"/>
                    <w:contextualSpacing/>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超标率%</w:t>
                  </w:r>
                </w:p>
              </w:tc>
              <w:tc>
                <w:tcPr>
                  <w:tcW w:w="871" w:type="dxa"/>
                  <w:tcBorders>
                    <w:right w:val="nil"/>
                  </w:tcBorders>
                  <w:vAlign w:val="center"/>
                </w:tcPr>
                <w:p>
                  <w:pPr>
                    <w:spacing w:line="240" w:lineRule="auto"/>
                    <w:ind w:firstLine="0" w:firstLineChars="0"/>
                    <w:contextualSpacing/>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达标</w:t>
                  </w:r>
                </w:p>
                <w:p>
                  <w:pPr>
                    <w:spacing w:line="240" w:lineRule="auto"/>
                    <w:ind w:firstLine="0" w:firstLineChars="0"/>
                    <w:contextualSpacing/>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2" w:type="dxa"/>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49" w:type="dxa"/>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1031" w:type="dxa"/>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w:t>
                  </w:r>
                </w:p>
              </w:tc>
              <w:tc>
                <w:tcPr>
                  <w:tcW w:w="1065"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440" w:type="dxa"/>
                  <w:tcBorders>
                    <w:right w:val="nil"/>
                  </w:tcBorders>
                  <w:shd w:val="clear" w:color="auto" w:fill="auto"/>
                  <w:vAlign w:val="center"/>
                </w:tcPr>
                <w:p>
                  <w:pPr>
                    <w:pStyle w:val="38"/>
                    <w:tabs>
                      <w:tab w:val="left" w:pos="2700"/>
                    </w:tabs>
                    <w:ind w:firstLine="0" w:firstLineChars="0"/>
                    <w:rPr>
                      <w:rFonts w:hint="default" w:ascii="Times New Roman" w:hAnsi="Times New Roman" w:cs="Times New Roman"/>
                      <w:color w:val="auto"/>
                      <w:highlight w:val="none"/>
                      <w:lang w:val="en-US"/>
                    </w:rPr>
                  </w:pPr>
                  <w:r>
                    <w:rPr>
                      <w:rFonts w:hint="default" w:ascii="Times New Roman" w:hAnsi="Times New Roman" w:cs="Times New Roman"/>
                      <w:color w:val="auto"/>
                      <w:sz w:val="21"/>
                      <w:szCs w:val="21"/>
                      <w:highlight w:val="none"/>
                      <w:lang w:val="en-US" w:eastAsia="zh-CN"/>
                    </w:rPr>
                    <w:t>222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260</w:t>
                  </w:r>
                </w:p>
              </w:tc>
              <w:tc>
                <w:tcPr>
                  <w:tcW w:w="1155"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86.7</w:t>
                  </w:r>
                </w:p>
              </w:tc>
              <w:tc>
                <w:tcPr>
                  <w:tcW w:w="794"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871" w:type="dxa"/>
                  <w:tcBorders>
                    <w:right w:val="nil"/>
                  </w:tcBorders>
                  <w:shd w:val="clear" w:color="auto" w:fill="auto"/>
                  <w:vAlign w:val="center"/>
                </w:tcPr>
                <w:p>
                  <w:pPr>
                    <w:pStyle w:val="38"/>
                    <w:tabs>
                      <w:tab w:val="left" w:pos="2700"/>
                    </w:tabs>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2" w:type="dxa"/>
                  <w:tcBorders>
                    <w:lef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949" w:type="dxa"/>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1031" w:type="dxa"/>
                  <w:shd w:val="clear" w:color="auto" w:fill="auto"/>
                  <w:vAlign w:val="center"/>
                </w:tcPr>
                <w:p>
                  <w:pPr>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highlight w:val="none"/>
                    </w:rPr>
                    <w:t>一次值</w:t>
                  </w:r>
                </w:p>
              </w:tc>
              <w:tc>
                <w:tcPr>
                  <w:tcW w:w="1065" w:type="dxa"/>
                  <w:tcBorders>
                    <w:right w:val="nil"/>
                  </w:tcBorders>
                  <w:shd w:val="clear" w:color="auto" w:fill="auto"/>
                  <w:vAlign w:val="center"/>
                </w:tcPr>
                <w:p>
                  <w:pPr>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highlight w:val="none"/>
                    </w:rPr>
                    <w:t>2000</w:t>
                  </w:r>
                </w:p>
              </w:tc>
              <w:tc>
                <w:tcPr>
                  <w:tcW w:w="1440" w:type="dxa"/>
                  <w:tcBorders>
                    <w:right w:val="nil"/>
                  </w:tcBorders>
                  <w:shd w:val="clear" w:color="auto" w:fill="auto"/>
                  <w:vAlign w:val="center"/>
                </w:tcPr>
                <w:p>
                  <w:pPr>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114-123</w:t>
                  </w:r>
                </w:p>
              </w:tc>
              <w:tc>
                <w:tcPr>
                  <w:tcW w:w="1155" w:type="dxa"/>
                  <w:tcBorders>
                    <w:right w:val="nil"/>
                  </w:tcBorders>
                  <w:shd w:val="clear" w:color="auto" w:fill="auto"/>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6.15</w:t>
                  </w:r>
                </w:p>
              </w:tc>
              <w:tc>
                <w:tcPr>
                  <w:tcW w:w="794" w:type="dxa"/>
                  <w:tcBorders>
                    <w:right w:val="nil"/>
                  </w:tcBorders>
                  <w:shd w:val="clear" w:color="auto" w:fill="auto"/>
                  <w:vAlign w:val="center"/>
                </w:tcPr>
                <w:p>
                  <w:pPr>
                    <w:spacing w:line="240" w:lineRule="auto"/>
                    <w:ind w:firstLine="0" w:firstLineChars="0"/>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highlight w:val="none"/>
                    </w:rPr>
                    <w:t>0</w:t>
                  </w:r>
                </w:p>
              </w:tc>
              <w:tc>
                <w:tcPr>
                  <w:tcW w:w="871" w:type="dxa"/>
                  <w:tcBorders>
                    <w:right w:val="nil"/>
                  </w:tcBorders>
                  <w:shd w:val="clear" w:color="auto" w:fill="auto"/>
                  <w:vAlign w:val="center"/>
                </w:tcPr>
                <w:p>
                  <w:pPr>
                    <w:pStyle w:val="38"/>
                    <w:tabs>
                      <w:tab w:val="left" w:pos="2700"/>
                    </w:tabs>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bookmarkEnd w:id="5"/>
          </w:tbl>
          <w:p>
            <w:pPr>
              <w:spacing w:before="60" w:beforeLines="25"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由表</w:t>
            </w:r>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zh-CN"/>
              </w:rPr>
              <w:t>监测结果表明，监测点</w:t>
            </w:r>
            <w:r>
              <w:rPr>
                <w:rFonts w:hint="default" w:ascii="Times New Roman" w:hAnsi="Times New Roman" w:cs="Times New Roman"/>
                <w:color w:val="auto"/>
                <w:highlight w:val="none"/>
              </w:rPr>
              <w:t>TSP满足《环境空气质量标准（GB3095-2012）》二级标准，未出现超标情况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非甲烷总烃浓度满足《大气污染物综合排放标准详解》中的相应标准。</w:t>
            </w:r>
          </w:p>
          <w:p>
            <w:pPr>
              <w:spacing w:before="60" w:beforeLines="25" w:line="360" w:lineRule="auto"/>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2</w:t>
            </w:r>
            <w:r>
              <w:rPr>
                <w:rFonts w:hint="default" w:ascii="Times New Roman" w:hAnsi="Times New Roman" w:cs="Times New Roman"/>
                <w:b/>
                <w:bCs/>
                <w:color w:val="auto"/>
                <w:highlight w:val="none"/>
              </w:rPr>
              <w:t>地表水环境质量现状</w:t>
            </w:r>
          </w:p>
          <w:p>
            <w:pPr>
              <w:spacing w:before="60" w:beforeLines="25"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w:t>
            </w:r>
            <w:r>
              <w:rPr>
                <w:rFonts w:hint="default" w:ascii="Times New Roman" w:hAnsi="Times New Roman" w:cs="Times New Roman"/>
                <w:color w:val="auto"/>
                <w:highlight w:val="none"/>
                <w:lang w:eastAsia="zh-CN"/>
              </w:rPr>
              <w:t>（试行）》</w:t>
            </w:r>
            <w:r>
              <w:rPr>
                <w:rFonts w:hint="default" w:ascii="Times New Roman" w:hAnsi="Times New Roman" w:cs="Times New Roman"/>
                <w:color w:val="auto"/>
                <w:highlight w:val="none"/>
              </w:rPr>
              <w:t>，本项目地表水评价应采用生态环境保护主管部门发布的水环境质量数据或地表水达标情况的结论。</w:t>
            </w:r>
          </w:p>
          <w:p>
            <w:pPr>
              <w:adjustRightInd w:val="0"/>
              <w:snapToGrid w:val="0"/>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本项目地表水环境质量引用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巴音郭楞蒙古自治州人民政府最新发布</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巴音郭楞蒙古自治州2024年生态环境状况公报》中地表水评价结果：（一）地表水环境质量。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公示网址：https://www.xjbz.gov.cn/xjbz/c114861/202506/3296787ace6b413fa9513d215ed67b48.shtml。</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生活污水排放</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进入园区</w:t>
            </w:r>
            <w:r>
              <w:rPr>
                <w:rFonts w:hint="default" w:ascii="Times New Roman" w:hAnsi="Times New Roman" w:cs="Times New Roman"/>
                <w:color w:val="auto"/>
                <w:highlight w:val="none"/>
                <w:lang w:val="en-US" w:eastAsia="zh-CN"/>
              </w:rPr>
              <w:t>污水管</w:t>
            </w:r>
            <w:r>
              <w:rPr>
                <w:rFonts w:hint="default" w:ascii="Times New Roman" w:hAnsi="Times New Roman" w:eastAsia="宋体" w:cs="Times New Roman"/>
                <w:color w:val="auto"/>
                <w:highlight w:val="none"/>
                <w:lang w:val="en-US" w:eastAsia="zh-CN"/>
              </w:rPr>
              <w:t>网</w:t>
            </w:r>
            <w:r>
              <w:rPr>
                <w:rFonts w:hint="default" w:ascii="Times New Roman" w:hAnsi="Times New Roman" w:eastAsia="宋体" w:cs="Times New Roman"/>
                <w:color w:val="auto"/>
                <w:highlight w:val="none"/>
              </w:rPr>
              <w:t>，且项目周边无地表水体存在，本项目与地表水无水力联系，因此本环评不再开展地表水环境质量现状评价。</w:t>
            </w:r>
          </w:p>
          <w:p>
            <w:pPr>
              <w:pStyle w:val="5"/>
              <w:adjustRightInd w:val="0"/>
              <w:snapToGri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w:t>
            </w:r>
            <w:r>
              <w:rPr>
                <w:rFonts w:hint="default" w:ascii="Times New Roman" w:hAnsi="Times New Roman" w:cs="Times New Roman"/>
                <w:color w:val="auto"/>
                <w:highlight w:val="none"/>
              </w:rPr>
              <w:t>声环境质量现状</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w:t>
            </w:r>
            <w:r>
              <w:rPr>
                <w:rFonts w:hint="default" w:ascii="Times New Roman" w:hAnsi="Times New Roman" w:cs="Times New Roman"/>
                <w:color w:val="auto"/>
                <w:highlight w:val="none"/>
                <w:lang w:eastAsia="zh-CN"/>
              </w:rPr>
              <w:t>（试行）》</w:t>
            </w:r>
            <w:r>
              <w:rPr>
                <w:rFonts w:hint="default" w:ascii="Times New Roman" w:hAnsi="Times New Roman" w:cs="Times New Roman"/>
                <w:color w:val="auto"/>
                <w:highlight w:val="none"/>
              </w:rPr>
              <w:t>中区域环境质量现状评价要求，厂界外周边50米范围内存在声环境保护目标的建设项目，应监测保护目标声环境质量现状并评价达标情况。根据现场勘查，项目厂界外周边50m范围内无声环境保护目标，因此，可不开展声环境现状调查与评价。</w:t>
            </w:r>
          </w:p>
          <w:p>
            <w:pPr>
              <w:adjustRightInd w:val="0"/>
              <w:snapToGrid w:val="0"/>
              <w:spacing w:line="360" w:lineRule="auto"/>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4</w:t>
            </w:r>
            <w:r>
              <w:rPr>
                <w:rFonts w:hint="default" w:ascii="Times New Roman" w:hAnsi="Times New Roman" w:cs="Times New Roman"/>
                <w:b/>
                <w:bCs/>
                <w:color w:val="auto"/>
                <w:highlight w:val="none"/>
              </w:rPr>
              <w:t>地下水、土壤环境</w:t>
            </w:r>
          </w:p>
          <w:p>
            <w:pPr>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原则上不开展环境质量现状调查。建设项目存在土壤、地下水环境污染途径的，应结合污染源、保护目标分布情况开展现状调查以留作背景值。本项目运营期无地下水和土壤污染源，对地下水及土壤影响不大，故不再开展地下水、土壤环境质量现状评价。</w:t>
            </w:r>
          </w:p>
          <w:p>
            <w:pPr>
              <w:pStyle w:val="5"/>
              <w:adjustRightInd w:val="0"/>
              <w:snapToGrid w:val="0"/>
              <w:spacing w:beforeLines="50" w:after="0"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5</w:t>
            </w:r>
            <w:r>
              <w:rPr>
                <w:rFonts w:hint="default" w:ascii="Times New Roman" w:hAnsi="Times New Roman" w:cs="Times New Roman"/>
                <w:color w:val="auto"/>
                <w:highlight w:val="none"/>
              </w:rPr>
              <w:t>生态环境</w:t>
            </w:r>
          </w:p>
          <w:p>
            <w:pPr>
              <w:adjustRightInd w:val="0"/>
              <w:snapToGrid w:val="0"/>
              <w:spacing w:line="360" w:lineRule="auto"/>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根据《建设项目环境影响报告表编制技术指南（污染影响类）</w:t>
            </w:r>
            <w:r>
              <w:rPr>
                <w:rFonts w:hint="default" w:ascii="Times New Roman" w:hAnsi="Times New Roman" w:cs="Times New Roman"/>
                <w:color w:val="auto"/>
                <w:kern w:val="0"/>
                <w:szCs w:val="21"/>
                <w:highlight w:val="none"/>
                <w:lang w:eastAsia="zh-CN"/>
              </w:rPr>
              <w:t>（试行）》</w:t>
            </w:r>
            <w:r>
              <w:rPr>
                <w:rFonts w:hint="default" w:ascii="Times New Roman" w:hAnsi="Times New Roman" w:cs="Times New Roman"/>
                <w:color w:val="auto"/>
                <w:kern w:val="0"/>
                <w:szCs w:val="21"/>
                <w:highlight w:val="none"/>
              </w:rPr>
              <w:t>要求，产业园区外建设项目新增用地且用地范围内含有生态环境保护目标时，应进行生态现状调查，本项目位于规划的工业园区内</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可</w:t>
            </w:r>
            <w:r>
              <w:rPr>
                <w:rFonts w:hint="default" w:ascii="Times New Roman" w:hAnsi="Times New Roman" w:cs="Times New Roman"/>
                <w:color w:val="auto"/>
                <w:kern w:val="0"/>
                <w:szCs w:val="21"/>
                <w:highlight w:val="none"/>
              </w:rPr>
              <w:t>不开展生态现状调查。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0" w:hRule="atLeast"/>
          <w:jc w:val="center"/>
        </w:trPr>
        <w:tc>
          <w:tcPr>
            <w:tcW w:w="421" w:type="pct"/>
            <w:vAlign w:val="center"/>
          </w:tcPr>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4578" w:type="pct"/>
            <w:vAlign w:val="center"/>
          </w:tcPr>
          <w:p>
            <w:pPr>
              <w:pStyle w:val="5"/>
              <w:adjustRightInd w:val="0"/>
              <w:snapToGri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rPr>
              <w:t>1</w:t>
            </w:r>
            <w:r>
              <w:rPr>
                <w:rFonts w:hint="default" w:ascii="Times New Roman" w:hAnsi="Times New Roman" w:cs="Times New Roman"/>
                <w:color w:val="auto"/>
                <w:highlight w:val="none"/>
              </w:rPr>
              <w:t>大气环境</w:t>
            </w:r>
          </w:p>
          <w:p>
            <w:pPr>
              <w:pStyle w:val="5"/>
              <w:adjustRightInd w:val="0"/>
              <w:snapToGrid w:val="0"/>
              <w:spacing w:before="0" w:after="0"/>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本项目厂界外500米范围内无自然保护区、风景名胜区、居住区、文化区和农村地区中人群较集中的区域等保护目标。</w:t>
            </w:r>
          </w:p>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rPr>
              <w:t>声环境</w:t>
            </w:r>
          </w:p>
          <w:p>
            <w:pPr>
              <w:adjustRightInd w:val="0"/>
              <w:snapToGrid w:val="0"/>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本项目厂界外50米范围无声环境保护目标</w:t>
            </w:r>
          </w:p>
          <w:p>
            <w:pPr>
              <w:pStyle w:val="5"/>
              <w:numPr>
                <w:ilvl w:val="0"/>
                <w:numId w:val="0"/>
              </w:numPr>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地表水环境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本项目厂界外500米范围内无地表水。</w:t>
            </w:r>
          </w:p>
          <w:p>
            <w:pPr>
              <w:pStyle w:val="5"/>
              <w:numPr>
                <w:ilvl w:val="0"/>
                <w:numId w:val="0"/>
              </w:numPr>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地下水环境</w:t>
            </w:r>
          </w:p>
          <w:p>
            <w:pPr>
              <w:adjustRightInd w:val="0"/>
              <w:snapToGrid w:val="0"/>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本项目厂界外500米范围内无地下水集中式饮用水水源和热水、矿泉水、温泉等特殊地下水资源。</w:t>
            </w:r>
          </w:p>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5</w:t>
            </w:r>
            <w:r>
              <w:rPr>
                <w:rFonts w:hint="default" w:ascii="Times New Roman" w:hAnsi="Times New Roman" w:cs="Times New Roman"/>
                <w:color w:val="auto"/>
                <w:highlight w:val="none"/>
              </w:rPr>
              <w:t>生态环境</w:t>
            </w:r>
          </w:p>
          <w:p>
            <w:pPr>
              <w:adjustRightInd w:val="0"/>
              <w:snapToGrid w:val="0"/>
              <w:ind w:firstLine="480"/>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本项目位于轮台县红桥石油服</w:t>
            </w:r>
            <w:r>
              <w:rPr>
                <w:rFonts w:hint="default" w:ascii="Times New Roman" w:hAnsi="Times New Roman" w:cs="Times New Roman"/>
                <w:color w:val="auto"/>
                <w:kern w:val="0"/>
                <w:szCs w:val="21"/>
                <w:highlight w:val="none"/>
                <w:lang w:eastAsia="zh-CN"/>
              </w:rPr>
              <w:t>务区</w:t>
            </w:r>
            <w:r>
              <w:rPr>
                <w:rFonts w:hint="default" w:ascii="Times New Roman" w:hAnsi="Times New Roman" w:cs="Times New Roman"/>
                <w:color w:val="auto"/>
                <w:kern w:val="0"/>
                <w:szCs w:val="21"/>
                <w:highlight w:val="none"/>
                <w:lang w:val="en-US" w:eastAsia="zh-CN"/>
              </w:rPr>
              <w:t>内</w:t>
            </w:r>
            <w:r>
              <w:rPr>
                <w:rFonts w:hint="default" w:ascii="Times New Roman" w:hAnsi="Times New Roman" w:cs="Times New Roman"/>
                <w:color w:val="auto"/>
                <w:kern w:val="0"/>
                <w:szCs w:val="21"/>
                <w:highlight w:val="none"/>
              </w:rPr>
              <w:t>，厂区内无生态环境保护目标。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tcMar>
              <w:left w:w="28" w:type="dxa"/>
              <w:right w:w="28" w:type="dxa"/>
            </w:tcMar>
            <w:vAlign w:val="center"/>
          </w:tcPr>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4578" w:type="pct"/>
            <w:vAlign w:val="center"/>
          </w:tcPr>
          <w:p>
            <w:pPr>
              <w:pStyle w:val="5"/>
              <w:adjustRightInd w:val="0"/>
              <w:snapToGri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1</w:t>
            </w:r>
            <w:r>
              <w:rPr>
                <w:rFonts w:hint="default" w:ascii="Times New Roman" w:hAnsi="Times New Roman" w:cs="Times New Roman"/>
                <w:color w:val="auto"/>
                <w:highlight w:val="none"/>
              </w:rPr>
              <w:t>废气</w:t>
            </w:r>
          </w:p>
          <w:p>
            <w:pPr>
              <w:spacing w:line="360" w:lineRule="auto"/>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运营期粉尘排放执行《大气污染物综合排放标准》（GB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16297-1996）表2中新污染源</w:t>
            </w:r>
            <w:r>
              <w:rPr>
                <w:rFonts w:hint="default" w:ascii="Times New Roman" w:hAnsi="Times New Roman" w:cs="Times New Roman"/>
                <w:color w:val="auto"/>
                <w:highlight w:val="none"/>
                <w:lang w:val="en-US" w:eastAsia="zh-CN"/>
              </w:rPr>
              <w:t>有</w:t>
            </w:r>
            <w:r>
              <w:rPr>
                <w:rFonts w:hint="default" w:ascii="Times New Roman" w:hAnsi="Times New Roman" w:cs="Times New Roman"/>
                <w:color w:val="auto"/>
                <w:highlight w:val="none"/>
              </w:rPr>
              <w:t>组织排放监控浓度限值；厂界无组织颗粒物执行《大气污染物综合排放标准》（GB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16297-1996）表2中无组织排放监控浓度限值</w:t>
            </w:r>
            <w:r>
              <w:rPr>
                <w:rFonts w:hint="default" w:ascii="Times New Roman" w:hAnsi="Times New Roman" w:cs="Times New Roman"/>
                <w:color w:val="auto"/>
                <w:highlight w:val="none"/>
                <w:lang w:eastAsia="zh-CN"/>
              </w:rPr>
              <w:t>。</w:t>
            </w:r>
          </w:p>
          <w:p>
            <w:pPr>
              <w:spacing w:line="360" w:lineRule="auto"/>
              <w:ind w:firstLine="48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val="en-US" w:eastAsia="zh-CN"/>
              </w:rPr>
              <w:t>非甲烷总烃、二甲苯</w:t>
            </w:r>
            <w:r>
              <w:rPr>
                <w:rFonts w:hint="default" w:ascii="Times New Roman" w:hAnsi="Times New Roman" w:cs="Times New Roman"/>
                <w:b w:val="0"/>
                <w:bCs w:val="0"/>
                <w:color w:val="auto"/>
                <w:highlight w:val="none"/>
                <w:lang w:eastAsia="zh-CN"/>
              </w:rPr>
              <w:t>执行《大气污染物综合排放标准》（GB</w:t>
            </w:r>
            <w:r>
              <w:rPr>
                <w:rFonts w:hint="eastAsia"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eastAsia="zh-CN"/>
              </w:rPr>
              <w:t>16297-1996）中表2新污染源大气污染物排放限值二级标准。</w:t>
            </w:r>
          </w:p>
          <w:p>
            <w:pPr>
              <w:spacing w:line="360" w:lineRule="auto"/>
              <w:ind w:firstLine="48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val="en-US" w:eastAsia="zh-CN"/>
              </w:rPr>
              <w:t>根据规划要求可知，厂区</w:t>
            </w:r>
            <w:r>
              <w:rPr>
                <w:rFonts w:hint="default" w:ascii="Times New Roman" w:hAnsi="Times New Roman" w:cs="Times New Roman"/>
                <w:b w:val="0"/>
                <w:bCs w:val="0"/>
                <w:color w:val="auto"/>
                <w:highlight w:val="none"/>
                <w:lang w:eastAsia="zh-CN"/>
              </w:rPr>
              <w:t>内非甲烷总烃无组织排放执行《挥发性有机物无组织排放控制标准</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lang w:eastAsia="zh-CN"/>
              </w:rPr>
              <w:t>GB</w:t>
            </w:r>
            <w:r>
              <w:rPr>
                <w:rFonts w:hint="eastAsia"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eastAsia="zh-CN"/>
              </w:rPr>
              <w:t>37822-2019</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lang w:eastAsia="zh-CN"/>
              </w:rPr>
              <w:t>表A.1排放限值要求。</w:t>
            </w:r>
          </w:p>
          <w:p>
            <w:pPr>
              <w:spacing w:line="360" w:lineRule="auto"/>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食堂油烟执行</w:t>
            </w:r>
            <w:r>
              <w:rPr>
                <w:rFonts w:hint="default" w:ascii="Times New Roman" w:hAnsi="Times New Roman" w:eastAsia="宋体" w:cs="Times New Roman"/>
                <w:b w:val="0"/>
                <w:bCs/>
                <w:color w:val="auto"/>
                <w:sz w:val="24"/>
                <w:szCs w:val="24"/>
                <w:highlight w:val="none"/>
              </w:rPr>
              <w:t>《饮食业油烟排放标准（试行</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》（GB</w:t>
            </w:r>
            <w:r>
              <w:rPr>
                <w:rFonts w:hint="eastAsia"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18483-2001）要求：最高允许排放浓度2mg/</w:t>
            </w:r>
            <w:r>
              <w:rPr>
                <w:rFonts w:hint="default" w:ascii="Times New Roman" w:hAnsi="Times New Roman" w:eastAsia="宋体" w:cs="Times New Roman"/>
                <w:b w:val="0"/>
                <w:bCs/>
                <w:color w:val="auto"/>
                <w:sz w:val="24"/>
                <w:szCs w:val="24"/>
                <w:highlight w:val="none"/>
                <w:lang w:val="en-US" w:eastAsia="zh-CN"/>
              </w:rPr>
              <w:t>m³</w:t>
            </w:r>
            <w:r>
              <w:rPr>
                <w:rFonts w:hint="default" w:ascii="Times New Roman" w:hAnsi="Times New Roman" w:eastAsia="宋体" w:cs="Times New Roman"/>
                <w:b w:val="0"/>
                <w:bCs/>
                <w:color w:val="auto"/>
                <w:sz w:val="24"/>
                <w:szCs w:val="24"/>
                <w:highlight w:val="none"/>
              </w:rPr>
              <w:t>。</w:t>
            </w:r>
          </w:p>
          <w:p>
            <w:pPr>
              <w:pStyle w:val="9"/>
              <w:spacing w:line="24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大气污染物排放限值</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310"/>
              <w:gridCol w:w="1432"/>
              <w:gridCol w:w="1105"/>
              <w:gridCol w:w="1026"/>
              <w:gridCol w:w="2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460"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8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r>
                    <w:rPr>
                      <w:rFonts w:hint="default" w:ascii="Times New Roman" w:hAnsi="Times New Roman" w:cs="Times New Roman"/>
                      <w:color w:val="auto"/>
                      <w:sz w:val="21"/>
                      <w:szCs w:val="21"/>
                      <w:highlight w:val="none"/>
                      <w:lang w:val="en-US" w:eastAsia="zh-Hans"/>
                    </w:rPr>
                    <w:t>浓度</w:t>
                  </w:r>
                  <w:r>
                    <w:rPr>
                      <w:rFonts w:hint="default" w:ascii="Times New Roman" w:hAnsi="Times New Roman" w:cs="Times New Roman"/>
                      <w:color w:val="auto"/>
                      <w:sz w:val="21"/>
                      <w:szCs w:val="21"/>
                      <w:highlight w:val="none"/>
                      <w:lang w:eastAsia="zh-Hans"/>
                    </w:rPr>
                    <w:t>（</w:t>
                  </w:r>
                  <w:r>
                    <w:rPr>
                      <w:rFonts w:hint="default" w:ascii="Times New Roman" w:hAnsi="Times New Roman" w:cs="Times New Roman"/>
                      <w:color w:val="auto"/>
                      <w:sz w:val="21"/>
                      <w:szCs w:val="21"/>
                      <w:highlight w:val="none"/>
                      <w:lang w:val="en-US" w:eastAsia="zh-Hans"/>
                    </w:rPr>
                    <w:t>mg</w:t>
                  </w:r>
                  <w:r>
                    <w:rPr>
                      <w:rFonts w:hint="default" w:ascii="Times New Roman" w:hAnsi="Times New Roman" w:cs="Times New Roman"/>
                      <w:color w:val="auto"/>
                      <w:sz w:val="21"/>
                      <w:szCs w:val="21"/>
                      <w:highlight w:val="none"/>
                      <w:lang w:eastAsia="zh-Hans"/>
                    </w:rPr>
                    <w:t>/</w:t>
                  </w:r>
                  <w:r>
                    <w:rPr>
                      <w:rFonts w:hint="default" w:ascii="Times New Roman" w:hAnsi="Times New Roman" w:cs="Times New Roman"/>
                      <w:color w:val="auto"/>
                      <w:sz w:val="21"/>
                      <w:szCs w:val="21"/>
                      <w:highlight w:val="none"/>
                      <w:lang w:val="en-US" w:eastAsia="zh-Hans"/>
                    </w:rPr>
                    <w:t>m</w:t>
                  </w:r>
                  <w:r>
                    <w:rPr>
                      <w:rFonts w:hint="default" w:ascii="Times New Roman" w:hAnsi="Times New Roman" w:cs="Times New Roman"/>
                      <w:color w:val="auto"/>
                      <w:sz w:val="21"/>
                      <w:szCs w:val="21"/>
                      <w:highlight w:val="none"/>
                      <w:vertAlign w:val="superscript"/>
                      <w:lang w:eastAsia="zh-Hans"/>
                    </w:rPr>
                    <w:t>3</w:t>
                  </w:r>
                  <w:r>
                    <w:rPr>
                      <w:rFonts w:hint="default" w:ascii="Times New Roman" w:hAnsi="Times New Roman" w:cs="Times New Roman"/>
                      <w:color w:val="auto"/>
                      <w:sz w:val="21"/>
                      <w:szCs w:val="21"/>
                      <w:highlight w:val="none"/>
                      <w:lang w:eastAsia="zh-Hans"/>
                    </w:rPr>
                    <w:t>）</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排放速率（kg/h）</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排气筒高度</w:t>
                  </w:r>
                </w:p>
              </w:tc>
              <w:tc>
                <w:tcPr>
                  <w:tcW w:w="13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Hans"/>
                    </w:rPr>
                    <w:t>有组织</w:t>
                  </w:r>
                </w:p>
              </w:tc>
              <w:tc>
                <w:tcPr>
                  <w:tcW w:w="8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CN"/>
                    </w:rPr>
                    <w:t>颗粒物</w:t>
                  </w:r>
                </w:p>
              </w:tc>
              <w:tc>
                <w:tcPr>
                  <w:tcW w:w="8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15m</w:t>
                  </w:r>
                </w:p>
              </w:tc>
              <w:tc>
                <w:tcPr>
                  <w:tcW w:w="131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Hans"/>
                    </w:rPr>
                    <w:t>《大气污染物综合排放标准》</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Hans"/>
                    </w:rPr>
                    <w:t>（GB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Hans"/>
                    </w:rPr>
                    <w:t>16297-1996）表2中新污染源大气污染物排放限值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2"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Hans" w:bidi="ar-SA"/>
                    </w:rPr>
                  </w:pPr>
                  <w:r>
                    <w:rPr>
                      <w:rFonts w:hint="default" w:ascii="Times New Roman" w:hAnsi="Times New Roman" w:cs="Times New Roman"/>
                      <w:color w:val="auto"/>
                      <w:sz w:val="21"/>
                      <w:szCs w:val="21"/>
                      <w:highlight w:val="none"/>
                      <w:lang w:val="en-US" w:eastAsia="zh-Hans"/>
                    </w:rPr>
                    <w:t>有组织</w:t>
                  </w:r>
                </w:p>
              </w:tc>
              <w:tc>
                <w:tcPr>
                  <w:tcW w:w="817"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 xml:space="preserve">0 </w:t>
                  </w:r>
                </w:p>
              </w:tc>
              <w:tc>
                <w:tcPr>
                  <w:tcW w:w="68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640"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15m</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2"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CN"/>
                    </w:rPr>
                    <w:t>有组织</w:t>
                  </w:r>
                </w:p>
              </w:tc>
              <w:tc>
                <w:tcPr>
                  <w:tcW w:w="817"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68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40"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15m</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8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8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CN"/>
                    </w:rPr>
                    <w:t>--</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无组织</w:t>
                  </w:r>
                </w:p>
              </w:tc>
              <w:tc>
                <w:tcPr>
                  <w:tcW w:w="817"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p>
              </w:tc>
              <w:tc>
                <w:tcPr>
                  <w:tcW w:w="68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8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8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CN"/>
                    </w:rPr>
                    <w:t>--</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厂区内</w:t>
                  </w:r>
                </w:p>
              </w:tc>
              <w:tc>
                <w:tcPr>
                  <w:tcW w:w="817" w:type="pct"/>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1h平均浓度值：≤10毫克/立方米</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31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eastAsia="宋体" w:cs="Times New Roman"/>
                      <w:color w:val="auto"/>
                      <w:sz w:val="21"/>
                      <w:szCs w:val="21"/>
                      <w:highlight w:val="none"/>
                      <w:lang w:val="en-US" w:eastAsia="zh-CN"/>
                    </w:rPr>
                    <w:t>《挥发性有机物无组织排放控制标准》（GB</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37822-2019）中表A.1排放限值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p>
              </w:tc>
              <w:tc>
                <w:tcPr>
                  <w:tcW w:w="817"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任意一次浓度值：≤30毫克/立方米</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cs="Times New Roman"/>
                      <w:color w:val="auto"/>
                      <w:sz w:val="21"/>
                      <w:szCs w:val="21"/>
                      <w:highlight w:val="none"/>
                      <w:lang w:val="en-US" w:eastAsia="zh-CN"/>
                    </w:rPr>
                    <w:t>--</w:t>
                  </w:r>
                </w:p>
              </w:tc>
              <w:tc>
                <w:tcPr>
                  <w:tcW w:w="131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8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893"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89"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3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《饮食业油烟排放标准（试行）》</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Hans"/>
                    </w:rPr>
                  </w:pPr>
                  <w:r>
                    <w:rPr>
                      <w:rFonts w:hint="default" w:ascii="Times New Roman" w:hAnsi="Times New Roman" w:eastAsia="宋体" w:cs="Times New Roman"/>
                      <w:color w:val="auto"/>
                      <w:sz w:val="21"/>
                      <w:szCs w:val="21"/>
                      <w:highlight w:val="none"/>
                    </w:rPr>
                    <w:t>（GB</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18483-2001）</w:t>
                  </w:r>
                </w:p>
              </w:tc>
            </w:tr>
          </w:tbl>
          <w:p>
            <w:pPr>
              <w:pStyle w:val="5"/>
              <w:adjustRightInd w:val="0"/>
              <w:snapToGrid w:val="0"/>
              <w:spacing w:beforeLines="50" w:after="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lang w:eastAsia="zh-Hans"/>
              </w:rPr>
              <w:t>废水</w:t>
            </w:r>
          </w:p>
          <w:p>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生活污水</w:t>
            </w:r>
            <w:r>
              <w:rPr>
                <w:rFonts w:hint="default" w:ascii="Times New Roman" w:hAnsi="Times New Roman" w:cs="Times New Roman"/>
                <w:color w:val="auto"/>
                <w:highlight w:val="none"/>
              </w:rPr>
              <w:t>执行《污水综合排放标准》（GB8978-1996）中三级标准，项目污水排放标准限值见表3-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pPr>
              <w:pStyle w:val="9"/>
              <w:spacing w:line="24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污水排放限值</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单位：mg/L</w:t>
            </w:r>
          </w:p>
          <w:tbl>
            <w:tblPr>
              <w:tblStyle w:val="21"/>
              <w:tblW w:w="498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504"/>
              <w:gridCol w:w="2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悬浮物（SS）</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五日生化需氧量（BOD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化学需氧量（COD）</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17" w:type="pc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815"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动植物油</w:t>
                  </w:r>
                </w:p>
              </w:tc>
              <w:tc>
                <w:tcPr>
                  <w:tcW w:w="166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r>
          </w:tbl>
          <w:p>
            <w:pPr>
              <w:pStyle w:val="5"/>
              <w:adjustRightInd w:val="0"/>
              <w:snapToGri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w:t>
            </w:r>
            <w:r>
              <w:rPr>
                <w:rFonts w:hint="default" w:ascii="Times New Roman" w:hAnsi="Times New Roman" w:cs="Times New Roman"/>
                <w:color w:val="auto"/>
                <w:highlight w:val="none"/>
              </w:rPr>
              <w:t>噪声</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施工期噪声执行《建筑施工噪声排放标准》（GB</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12523-</w:t>
            </w:r>
            <w:r>
              <w:rPr>
                <w:rFonts w:hint="default" w:ascii="Times New Roman" w:hAnsi="Times New Roman"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rPr>
              <w:t>）中表1建筑施工场界噪声排放限值相关标准限值；</w:t>
            </w:r>
            <w:r>
              <w:rPr>
                <w:rFonts w:hint="default" w:ascii="Times New Roman" w:hAnsi="Times New Roman" w:cs="Times New Roman"/>
                <w:color w:val="auto"/>
                <w:highlight w:val="none"/>
                <w:lang w:val="en-US" w:eastAsia="zh-CN"/>
              </w:rPr>
              <w:t>运营期噪声</w:t>
            </w:r>
            <w:r>
              <w:rPr>
                <w:rFonts w:hint="default" w:ascii="Times New Roman" w:hAnsi="Times New Roman" w:cs="Times New Roman"/>
                <w:color w:val="auto"/>
                <w:highlight w:val="none"/>
              </w:rPr>
              <w:t>执行《工业企业厂界环境噪声排放标准》（GB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12348-2008）中3类标准。</w:t>
            </w:r>
          </w:p>
          <w:p>
            <w:pPr>
              <w:pStyle w:val="9"/>
              <w:spacing w:line="24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 xml:space="preserve">6   </w:t>
            </w:r>
            <w:r>
              <w:rPr>
                <w:rFonts w:hint="default" w:ascii="Times New Roman" w:hAnsi="Times New Roman" w:cs="Times New Roman"/>
                <w:color w:val="auto"/>
                <w:highlight w:val="none"/>
              </w:rPr>
              <w:t>噪声排放限值</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单位：dB（A）</w:t>
            </w:r>
          </w:p>
          <w:tbl>
            <w:tblPr>
              <w:tblStyle w:val="21"/>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54"/>
              <w:gridCol w:w="1118"/>
              <w:gridCol w:w="4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时期</w:t>
                  </w:r>
                </w:p>
              </w:tc>
              <w:tc>
                <w:tcPr>
                  <w:tcW w:w="954"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昼间</w:t>
                  </w:r>
                </w:p>
              </w:tc>
              <w:tc>
                <w:tcPr>
                  <w:tcW w:w="1118"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夜间</w:t>
                  </w:r>
                </w:p>
              </w:tc>
              <w:tc>
                <w:tcPr>
                  <w:tcW w:w="493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执行</w:t>
                  </w:r>
                  <w:r>
                    <w:rPr>
                      <w:rFonts w:hint="default" w:ascii="Times New Roman" w:hAnsi="Times New Roman" w:eastAsia="宋体" w:cs="Times New Roman"/>
                      <w:bCs/>
                      <w:color w:val="auto"/>
                      <w:kern w:val="0"/>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95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4937" w:type="dxa"/>
                  <w:tcBorders>
                    <w:tl2br w:val="nil"/>
                    <w:tr2bl w:val="nil"/>
                  </w:tcBorders>
                  <w:vAlign w:val="center"/>
                </w:tcPr>
                <w:p>
                  <w:pPr>
                    <w:adjustRightInd w:val="0"/>
                    <w:snapToGrid w:val="0"/>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《建筑施工噪声排放标准》（GB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12523-2025）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95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11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4937" w:type="dxa"/>
                  <w:tcBorders>
                    <w:tl2br w:val="nil"/>
                    <w:tr2bl w:val="nil"/>
                  </w:tcBorders>
                  <w:vAlign w:val="center"/>
                </w:tcPr>
                <w:p>
                  <w:pPr>
                    <w:adjustRightInd w:val="0"/>
                    <w:snapToGrid w:val="0"/>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12348-2008）</w:t>
                  </w:r>
                </w:p>
              </w:tc>
            </w:tr>
          </w:tbl>
          <w:p>
            <w:pPr>
              <w:pStyle w:val="5"/>
              <w:adjustRightInd w:val="0"/>
              <w:snapToGrid w:val="0"/>
              <w:spacing w:beforeLines="50" w:after="0"/>
              <w:rPr>
                <w:rFonts w:hint="default" w:ascii="Times New Roman" w:hAnsi="Times New Roman" w:cs="Times New Roman"/>
                <w:color w:val="auto"/>
                <w:highlight w:val="none"/>
              </w:rPr>
            </w:pPr>
            <w:r>
              <w:rPr>
                <w:rFonts w:hint="default" w:ascii="Times New Roman" w:hAnsi="Times New Roman" w:cs="Times New Roman"/>
                <w:color w:val="auto"/>
                <w:highlight w:val="none"/>
              </w:rPr>
              <w:t>4一般</w:t>
            </w:r>
            <w:r>
              <w:rPr>
                <w:rFonts w:hint="default" w:ascii="Times New Roman" w:hAnsi="Times New Roman" w:cs="Times New Roman"/>
                <w:color w:val="auto"/>
                <w:highlight w:val="none"/>
                <w:lang w:eastAsia="zh-Hans"/>
              </w:rPr>
              <w:t>工业</w:t>
            </w:r>
            <w:r>
              <w:rPr>
                <w:rFonts w:hint="default" w:ascii="Times New Roman" w:hAnsi="Times New Roman" w:cs="Times New Roman"/>
                <w:color w:val="auto"/>
                <w:highlight w:val="none"/>
              </w:rPr>
              <w:t>固体废物</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根据固废的类别，一般固废按照《一般工业固体废物贮存和填埋污染控制标准》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GB18599-2020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中的固废临时贮存场所的要求进行处置，采用库房、包装工具（罐、桶、包装袋等）贮存一般工业固体废物的，其贮存过程应满足相应防渗漏、防雨淋、防扬尘等环境保护要求。</w:t>
            </w:r>
          </w:p>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rPr>
              <w:t>5危险废物</w:t>
            </w:r>
          </w:p>
          <w:p>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执行《危险废物贮存污染控制标准》（GB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18597-2023）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《危险废物识别标志设置技术规范》（HJ</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1276-2022）。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421" w:type="pct"/>
            <w:vAlign w:val="center"/>
          </w:tcPr>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4578" w:type="pct"/>
            <w:vAlign w:val="center"/>
          </w:tcPr>
          <w:p>
            <w:pPr>
              <w:pStyle w:val="44"/>
              <w:snapToGrid w:val="0"/>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根据本项目污染物排放总量，建议其总量控制指标按以下执行：</w:t>
            </w:r>
          </w:p>
          <w:p>
            <w:pPr>
              <w:pStyle w:val="44"/>
              <w:numPr>
                <w:ilvl w:val="0"/>
                <w:numId w:val="2"/>
              </w:numPr>
              <w:snapToGrid w:val="0"/>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水污染物排放总量控制指标：</w:t>
            </w:r>
          </w:p>
          <w:p>
            <w:pPr>
              <w:pStyle w:val="44"/>
              <w:numPr>
                <w:ilvl w:val="0"/>
                <w:numId w:val="0"/>
              </w:numPr>
              <w:snapToGrid w:val="0"/>
              <w:spacing w:line="46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无生产废水排放，</w:t>
            </w:r>
            <w:r>
              <w:rPr>
                <w:rFonts w:hint="default" w:ascii="Times New Roman" w:hAnsi="Times New Roman" w:cs="Times New Roman"/>
                <w:color w:val="auto"/>
                <w:highlight w:val="none"/>
              </w:rPr>
              <w:t>食堂废水经隔油池处理后，与生活污水一同排入园区污水管网，最终进入轮台县新城区污水处理厂处理。总量纳入污水处理厂总量，</w:t>
            </w:r>
            <w:r>
              <w:rPr>
                <w:rFonts w:hint="default" w:ascii="Times New Roman" w:hAnsi="Times New Roman" w:cs="Times New Roman"/>
                <w:color w:val="auto"/>
                <w:highlight w:val="none"/>
                <w:lang w:val="en-US" w:eastAsia="zh-CN"/>
              </w:rPr>
              <w:t>因此无需申请COD、NH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-N总量控制指标。</w:t>
            </w:r>
          </w:p>
          <w:p>
            <w:pPr>
              <w:pStyle w:val="44"/>
              <w:snapToGrid w:val="0"/>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2.大气污染物排放总量控制指标：</w:t>
            </w:r>
          </w:p>
          <w:p>
            <w:pPr>
              <w:pStyle w:val="44"/>
              <w:snapToGrid w:val="0"/>
              <w:spacing w:line="460" w:lineRule="exa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根据本项目工程分析及源强核算，建议大气污染物总量控制指标为</w:t>
            </w: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0.651</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rPr>
              <w:t>根据上述建议值可以作为环保管理部门制定企业污染物排放总量控制指标的参考。</w:t>
            </w:r>
          </w:p>
        </w:tc>
      </w:tr>
    </w:tbl>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p>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p>
    <w:p>
      <w:pPr>
        <w:pStyle w:val="17"/>
        <w:spacing w:line="240" w:lineRule="auto"/>
        <w:ind w:firstLine="0" w:firstLine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tcMar>
              <w:left w:w="28" w:type="dxa"/>
              <w:right w:w="28" w:type="dxa"/>
            </w:tcMar>
            <w:vAlign w:val="center"/>
          </w:tcPr>
          <w:p>
            <w:pPr>
              <w:keepNext w:val="0"/>
              <w:keepLines/>
              <w:pageBreakBefore w:val="0"/>
              <w:widowControl w:val="0"/>
              <w:wordWrap/>
              <w:bidi w:val="0"/>
              <w:adjustRightInd/>
              <w:snapToGrid/>
              <w:spacing w:before="0" w:beforeAutospacing="0" w:after="0" w:afterAutospacing="0"/>
              <w:ind w:left="0" w:leftChars="0" w:firstLine="0" w:firstLineChars="0"/>
              <w:jc w:val="both"/>
              <w:rPr>
                <w:rFonts w:hint="default" w:ascii="Times New Roman" w:hAnsi="Times New Roman" w:eastAsia="宋体" w:cs="Times New Roman"/>
                <w:color w:val="auto"/>
                <w:kern w:val="2"/>
                <w:szCs w:val="24"/>
                <w:highlight w:val="none"/>
              </w:rPr>
            </w:pPr>
            <w:r>
              <w:rPr>
                <w:rFonts w:hint="default" w:ascii="Times New Roman" w:hAnsi="Times New Roman" w:eastAsia="宋体" w:cs="Times New Roman"/>
                <w:color w:val="auto"/>
                <w:kern w:val="2"/>
                <w:szCs w:val="24"/>
                <w:highlight w:val="none"/>
              </w:rPr>
              <w:t>施工期环境保</w:t>
            </w:r>
          </w:p>
          <w:p>
            <w:pPr>
              <w:keepNext w:val="0"/>
              <w:keepLines/>
              <w:pageBreakBefore w:val="0"/>
              <w:widowControl w:val="0"/>
              <w:wordWrap/>
              <w:bidi w:val="0"/>
              <w:adjustRightInd/>
              <w:snapToGrid/>
              <w:spacing w:before="0" w:beforeAutospacing="0" w:after="0" w:afterAutospacing="0"/>
              <w:ind w:left="0" w:leftChars="0" w:firstLine="0" w:firstLineChars="0"/>
              <w:jc w:val="both"/>
              <w:rPr>
                <w:rFonts w:hint="default" w:ascii="Times New Roman" w:hAnsi="Times New Roman" w:eastAsia="宋体" w:cs="Times New Roman"/>
                <w:bCs/>
                <w:color w:val="auto"/>
                <w:kern w:val="2"/>
                <w:szCs w:val="24"/>
                <w:highlight w:val="none"/>
              </w:rPr>
            </w:pPr>
            <w:r>
              <w:rPr>
                <w:rFonts w:hint="default" w:ascii="Times New Roman" w:hAnsi="Times New Roman" w:eastAsia="宋体" w:cs="Times New Roman"/>
                <w:color w:val="auto"/>
                <w:kern w:val="2"/>
                <w:szCs w:val="24"/>
                <w:highlight w:val="none"/>
              </w:rPr>
              <w:t>护措施</w:t>
            </w:r>
          </w:p>
        </w:tc>
        <w:tc>
          <w:tcPr>
            <w:tcW w:w="8611" w:type="dxa"/>
            <w:noWrap w:val="0"/>
            <w:vAlign w:val="center"/>
          </w:tcPr>
          <w:p>
            <w:pPr>
              <w:ind w:left="0" w:leftChars="0" w:firstLine="0" w:firstLineChars="0"/>
              <w:rPr>
                <w:rFonts w:hint="default" w:ascii="Times New Roman" w:hAnsi="Times New Roman" w:eastAsia="宋体" w:cs="Times New Roman"/>
                <w:b/>
                <w:color w:val="auto"/>
                <w:sz w:val="24"/>
                <w:highlight w:val="none"/>
              </w:rPr>
            </w:pPr>
            <w:r>
              <w:rPr>
                <w:rFonts w:hint="default" w:ascii="Times New Roman" w:hAnsi="Times New Roman" w:cs="Times New Roman"/>
                <w:b/>
                <w:bCs/>
                <w:snapToGrid w:val="0"/>
                <w:color w:val="auto"/>
                <w:kern w:val="0"/>
                <w:szCs w:val="21"/>
                <w:highlight w:val="none"/>
              </w:rPr>
              <w:t>1</w:t>
            </w:r>
            <w:r>
              <w:rPr>
                <w:rFonts w:hint="default" w:ascii="Times New Roman" w:hAnsi="Times New Roman" w:eastAsia="宋体" w:cs="Times New Roman"/>
                <w:b/>
                <w:color w:val="auto"/>
                <w:sz w:val="24"/>
                <w:highlight w:val="none"/>
              </w:rPr>
              <w:t>施工期大气污染环境保护措施</w:t>
            </w:r>
          </w:p>
          <w:p>
            <w:pPr>
              <w:keepNext w:val="0"/>
              <w:keepLines w:val="0"/>
              <w:pageBreakBefore w:val="0"/>
              <w:kinsoku/>
              <w:wordWrap/>
              <w:overflowPunct/>
              <w:topLinePunct/>
              <w:bidi w:val="0"/>
              <w:adjustRightInd/>
              <w:spacing w:line="360" w:lineRule="auto"/>
              <w:ind w:right="0"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施工期产生的大气污染物主要为场地平整、挖掘时的泥土扬尘，搅拌混凝土时的扬尘，白灰、水泥、砂子、砖等建筑材料搬运、堆放时的扬尘，建筑垃圾堆放、清理时的扬尘，运输车辆碾压道路时的扬尘；运输车辆碾压路面时的扬尘，以及施工机械燃油产生的少量SO</w:t>
            </w:r>
            <w:r>
              <w:rPr>
                <w:rFonts w:hint="default" w:ascii="Times New Roman" w:hAnsi="Times New Roman" w:eastAsia="宋体" w:cs="Times New Roman"/>
                <w:snapToGrid w:val="0"/>
                <w:color w:val="auto"/>
                <w:kern w:val="0"/>
                <w:sz w:val="24"/>
                <w:highlight w:val="none"/>
                <w:vertAlign w:val="subscript"/>
              </w:rPr>
              <w:t>2</w:t>
            </w:r>
            <w:r>
              <w:rPr>
                <w:rFonts w:hint="default" w:ascii="Times New Roman" w:hAnsi="Times New Roman" w:eastAsia="宋体" w:cs="Times New Roman"/>
                <w:snapToGrid w:val="0"/>
                <w:color w:val="auto"/>
                <w:kern w:val="0"/>
                <w:sz w:val="24"/>
                <w:highlight w:val="none"/>
              </w:rPr>
              <w:t>、NO</w:t>
            </w:r>
            <w:r>
              <w:rPr>
                <w:rFonts w:hint="default" w:ascii="Times New Roman" w:hAnsi="Times New Roman" w:eastAsia="宋体" w:cs="Times New Roman"/>
                <w:snapToGrid w:val="0"/>
                <w:color w:val="auto"/>
                <w:kern w:val="0"/>
                <w:sz w:val="24"/>
                <w:highlight w:val="none"/>
                <w:vertAlign w:val="subscript"/>
              </w:rPr>
              <w:t>x</w:t>
            </w:r>
            <w:r>
              <w:rPr>
                <w:rFonts w:hint="default" w:ascii="Times New Roman" w:hAnsi="Times New Roman" w:eastAsia="宋体" w:cs="Times New Roman"/>
                <w:snapToGrid w:val="0"/>
                <w:color w:val="auto"/>
                <w:kern w:val="0"/>
                <w:sz w:val="24"/>
                <w:highlight w:val="none"/>
              </w:rPr>
              <w:t>、CO等气体。</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为有效防治本项目施工可能产生的环境空气污染，采取以下防治措施：</w:t>
            </w:r>
          </w:p>
          <w:p>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施工工地开工前必须做到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六个到位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，即审批到位、报备到位、治理方案到位、配套措施到位、监控到位、人员（施工单位管理人员、责任部门监管人员）到位。施工现场应有环境保护牌，施工前应编制扬尘专项方案提交给施工单位实施</w:t>
            </w:r>
            <w:r>
              <w:rPr>
                <w:rFonts w:hint="default" w:ascii="Times New Roman" w:hAnsi="Times New Roman" w:cs="Times New Roman"/>
                <w:color w:val="auto"/>
                <w:highlight w:val="none"/>
                <w:lang w:eastAsia="zh-CN"/>
              </w:rPr>
              <w:t>。</w:t>
            </w:r>
          </w:p>
          <w:p>
            <w:pPr>
              <w:keepNext w:val="0"/>
              <w:keepLines w:val="0"/>
              <w:suppressLineNumbers w:val="0"/>
              <w:bidi w:val="0"/>
              <w:spacing w:before="0" w:beforeAutospacing="0" w:after="0" w:afterAutospacing="0"/>
              <w:ind w:left="0" w:right="0"/>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施工场地采取洒水抑尘，对散装物料进行遮盖，定期对运输车辆进行冲洗。</w:t>
            </w:r>
          </w:p>
          <w:p>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围挡的设置。施工期间在工程施工</w:t>
            </w:r>
            <w:r>
              <w:rPr>
                <w:rFonts w:hint="default" w:ascii="Times New Roman" w:hAnsi="Times New Roman" w:cs="Times New Roman"/>
                <w:color w:val="auto"/>
                <w:highlight w:val="none"/>
                <w:lang w:eastAsia="zh-CN"/>
              </w:rPr>
              <w:t>场地</w:t>
            </w:r>
            <w:r>
              <w:rPr>
                <w:rFonts w:hint="default" w:ascii="Times New Roman" w:hAnsi="Times New Roman" w:cs="Times New Roman"/>
                <w:color w:val="auto"/>
                <w:highlight w:val="none"/>
              </w:rPr>
              <w:t>边界应设置围挡</w:t>
            </w:r>
            <w:r>
              <w:rPr>
                <w:rFonts w:hint="default" w:ascii="Times New Roman" w:hAnsi="Times New Roman" w:cs="Times New Roman"/>
                <w:color w:val="auto"/>
                <w:highlight w:val="none"/>
                <w:lang w:eastAsia="zh-CN"/>
              </w:rPr>
              <w:t>。</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highlight w:val="none"/>
              </w:rPr>
              <w:t>本项目经采取以上污染防治措施后，施工场地扬尘不会对周围环境产生较大的影响，其对环境的影响也将随施工期的结束而消失。</w:t>
            </w:r>
          </w:p>
          <w:p>
            <w:pPr>
              <w:keepNext w:val="0"/>
              <w:keepLines w:val="0"/>
              <w:pageBreakBefore w:val="0"/>
              <w:tabs>
                <w:tab w:val="left" w:pos="855"/>
              </w:tabs>
              <w:kinsoku/>
              <w:wordWrap/>
              <w:overflowPunct/>
              <w:bidi w:val="0"/>
              <w:adjustRightInd/>
              <w:spacing w:line="360" w:lineRule="auto"/>
              <w:ind w:left="0" w:leftChars="0" w:right="0" w:firstLine="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2施工期废水污染防治措施</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（1）工程废水</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施工生产废水主要为建筑地基挖掘机械设备的洗涤废水、混凝土养护等过程产生的废水，以及运输车辆冲洗废水。施工生产产生的废水量较少，主要污染物为泥沙，建议在临时施工区设置沉淀池，废水经沉淀池澄清后循环使用或用于场地洒水抑尘，不会对周边环境产生明显影响。</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（2）生活污水</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项目施工人员不在项目区住宿，不设置施工生活区，无施工生活污水产生。</w:t>
            </w:r>
          </w:p>
          <w:p>
            <w:pPr>
              <w:keepNext w:val="0"/>
              <w:keepLines w:val="0"/>
              <w:pageBreakBefore w:val="0"/>
              <w:tabs>
                <w:tab w:val="left" w:pos="855"/>
              </w:tabs>
              <w:kinsoku/>
              <w:wordWrap/>
              <w:overflowPunct/>
              <w:bidi w:val="0"/>
              <w:adjustRightInd/>
              <w:spacing w:line="360" w:lineRule="auto"/>
              <w:ind w:left="0" w:leftChars="0" w:right="0" w:firstLine="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3施工期噪声防治措施</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kern w:val="0"/>
                <w:sz w:val="24"/>
                <w:highlight w:val="none"/>
              </w:rPr>
              <w:t>本项目</w:t>
            </w:r>
            <w:r>
              <w:rPr>
                <w:rFonts w:hint="default" w:ascii="Times New Roman" w:hAnsi="Times New Roman" w:eastAsia="宋体" w:cs="Times New Roman"/>
                <w:color w:val="auto"/>
                <w:sz w:val="24"/>
                <w:highlight w:val="none"/>
              </w:rPr>
              <w:t>施工期主要噪声源为：场地平整和地基开挖阶段采用挖掘机、推土机等；主体浇筑阶段主要有安装和拆卸模板时的打击声，搅拌机、捣振棒等产生的机械噪声；装修阶段主要噪声设备有电锯、电刨、空压机等，其噪声强度与施工设备的种类和施工队伍的管理有关；各个阶段均有运输车辆产生的交通噪声；另外还有突发性、冲击性、不连续性的敲打撞击噪声。</w:t>
            </w:r>
          </w:p>
          <w:p>
            <w:pPr>
              <w:keepNext w:val="0"/>
              <w:keepLines w:val="0"/>
              <w:pageBreakBefore w:val="0"/>
              <w:kinsoku/>
              <w:wordWrap/>
              <w:overflowPunct/>
              <w:topLinePunct/>
              <w:bidi w:val="0"/>
              <w:adjustRightInd/>
              <w:spacing w:line="360" w:lineRule="auto"/>
              <w:ind w:right="0"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为减少对周围声环境噪声污染，环评要求采取以下噪声控制措施：</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合理安排好施工时间，尽量缩短施工期。本评价要求建设方禁止</w:t>
            </w:r>
            <w:r>
              <w:rPr>
                <w:rFonts w:hint="default" w:ascii="Times New Roman" w:hAnsi="Times New Roman" w:cs="Times New Roman"/>
                <w:color w:val="auto"/>
                <w:sz w:val="24"/>
                <w:highlight w:val="none"/>
                <w:lang w:val="en-US" w:eastAsia="zh-CN"/>
              </w:rPr>
              <w:t>在</w:t>
            </w:r>
            <w:r>
              <w:rPr>
                <w:rFonts w:hint="default" w:ascii="Times New Roman" w:hAnsi="Times New Roman" w:cs="Times New Roman"/>
                <w:color w:val="auto"/>
                <w:sz w:val="24"/>
                <w:highlight w:val="none"/>
                <w:lang w:eastAsia="zh-CN"/>
              </w:rPr>
              <w:t>规定的</w:t>
            </w:r>
            <w:r>
              <w:rPr>
                <w:rFonts w:hint="default" w:ascii="Times New Roman" w:hAnsi="Times New Roman" w:cs="Times New Roman"/>
                <w:color w:val="auto"/>
                <w:sz w:val="24"/>
                <w:highlight w:val="none"/>
                <w:lang w:val="en-US" w:eastAsia="zh-CN"/>
              </w:rPr>
              <w:t>休息</w:t>
            </w:r>
            <w:r>
              <w:rPr>
                <w:rFonts w:hint="default" w:ascii="Times New Roman" w:hAnsi="Times New Roman" w:cs="Times New Roman"/>
                <w:color w:val="auto"/>
                <w:sz w:val="24"/>
                <w:highlight w:val="none"/>
                <w:lang w:eastAsia="zh-CN"/>
              </w:rPr>
              <w:t>时间</w:t>
            </w:r>
            <w:r>
              <w:rPr>
                <w:rFonts w:hint="default" w:ascii="Times New Roman" w:hAnsi="Times New Roman" w:eastAsia="宋体" w:cs="Times New Roman"/>
                <w:color w:val="auto"/>
                <w:sz w:val="24"/>
                <w:highlight w:val="none"/>
              </w:rPr>
              <w:t>进行施工，如特殊工序需进行夜间施工，应按相关规定到环保管理部门办理夜间施工许可证，并通告受影响人群，让其早做准备。</w:t>
            </w:r>
          </w:p>
          <w:p>
            <w:pPr>
              <w:keepNext w:val="0"/>
              <w:keepLines w:val="0"/>
              <w:pageBreakBefore w:val="0"/>
              <w:kinsoku/>
              <w:wordWrap/>
              <w:overflowPunct/>
              <w:autoSpaceDE w:val="0"/>
              <w:autoSpaceDN w:val="0"/>
              <w:bidi w:val="0"/>
              <w:adjustRightInd/>
              <w:spacing w:line="360" w:lineRule="auto"/>
              <w:ind w:right="0" w:firstLine="480" w:firstLineChars="200"/>
              <w:textAlignment w:val="baseline"/>
              <w:rPr>
                <w:rFonts w:hint="default" w:ascii="Times New Roman" w:hAnsi="Times New Roman" w:eastAsia="宋体" w:cs="Times New Roman"/>
                <w:color w:val="auto"/>
                <w:kern w:val="24"/>
                <w:sz w:val="24"/>
                <w:highlight w:val="none"/>
                <w:lang w:val="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施工期的噪声主要来自施工机械和运输车辆。施工单位必须选用符合《机汽车加速行驶车外噪声限值及测量方法》（GB</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1495-2002）有关标准的施工机械和运输车辆</w:t>
            </w:r>
            <w:r>
              <w:rPr>
                <w:rFonts w:hint="default" w:ascii="Times New Roman" w:hAnsi="Times New Roman" w:cs="Times New Roman"/>
                <w:color w:val="auto"/>
                <w:sz w:val="24"/>
                <w:highlight w:val="none"/>
                <w:lang w:eastAsia="zh-CN"/>
              </w:rPr>
              <w:t>，在</w:t>
            </w:r>
            <w:r>
              <w:rPr>
                <w:rFonts w:hint="default" w:ascii="Times New Roman" w:hAnsi="Times New Roman" w:eastAsia="宋体" w:cs="Times New Roman"/>
                <w:color w:val="auto"/>
                <w:sz w:val="24"/>
                <w:highlight w:val="none"/>
              </w:rPr>
              <w:t>施工设备选型时，在满足施工需要的前提下，尽可能选取噪声低、振动小、能耗小的先进设备，并避免长时间使用高噪声设备，加强施工机械的维护保养，高噪声设备设置在施工场地中部并修建临时隔声棚，</w:t>
            </w:r>
            <w:r>
              <w:rPr>
                <w:rFonts w:hint="default" w:ascii="Times New Roman" w:hAnsi="Times New Roman" w:eastAsia="宋体" w:cs="Times New Roman"/>
                <w:color w:val="auto"/>
                <w:kern w:val="24"/>
                <w:sz w:val="24"/>
                <w:highlight w:val="none"/>
                <w:lang w:val="zh-CN"/>
              </w:rPr>
              <w:t>并加强对现场工作人员进行培训，严格按操作规范使用各类机械设备。</w:t>
            </w:r>
          </w:p>
          <w:p>
            <w:pPr>
              <w:keepNext w:val="0"/>
              <w:keepLines w:val="0"/>
              <w:pageBreakBefore w:val="0"/>
              <w:kinsoku/>
              <w:wordWrap/>
              <w:overflowPunct/>
              <w:autoSpaceDE w:val="0"/>
              <w:autoSpaceDN w:val="0"/>
              <w:bidi w:val="0"/>
              <w:adjustRightInd/>
              <w:spacing w:line="360" w:lineRule="auto"/>
              <w:ind w:right="0"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施工设备的维护保养，发生故障应及时维修，保持润滑、紧固各部件，减少运行振动噪声；施工机械设备应安放稳固，并与地面保持良好接触，有条件的应使用减振机座。加强施工管理、文明施工，杜绝施工机械在运行过程中因维护不当而产生的其他噪声。</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为保护施工人员的健康，施工单位要合理安排工作人员，轮流操作高强度噪声的施工机械，减少接触高噪声施工机械的时间，或穿插安排操作高噪声和低噪声施工机械工作。加强对施工人员的个人防护，对高噪声机械设备附近工作的施工人员，可采取配备耳塞、耳机、防声头盔等防噪用具。</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建设单位应责成施工单位在施工现场标明施工通告和投诉电话，建设单位在接到投诉后，应及时与当地环保部门取得联系，以便能及时处理各种环境纠纷。</w:t>
            </w:r>
          </w:p>
          <w:p>
            <w:pPr>
              <w:keepNext w:val="0"/>
              <w:keepLines w:val="0"/>
              <w:pageBreakBefore w:val="0"/>
              <w:kinsoku/>
              <w:wordWrap/>
              <w:overflowPunct/>
              <w:autoSpaceDE w:val="0"/>
              <w:autoSpaceDN w:val="0"/>
              <w:bidi w:val="0"/>
              <w:adjustRightInd/>
              <w:spacing w:line="360" w:lineRule="auto"/>
              <w:ind w:right="0"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加强施工期间道路交通的管理，保持道路畅通也是减缓施工</w:t>
            </w:r>
            <w:r>
              <w:rPr>
                <w:rFonts w:hint="default" w:ascii="Times New Roman" w:hAnsi="Times New Roman" w:cs="Times New Roman"/>
                <w:color w:val="auto"/>
                <w:sz w:val="24"/>
                <w:highlight w:val="none"/>
                <w:lang w:eastAsia="zh-CN"/>
              </w:rPr>
              <w:t>期间</w:t>
            </w:r>
            <w:r>
              <w:rPr>
                <w:rFonts w:hint="default" w:ascii="Times New Roman" w:hAnsi="Times New Roman" w:eastAsia="宋体" w:cs="Times New Roman"/>
                <w:color w:val="auto"/>
                <w:sz w:val="24"/>
                <w:highlight w:val="none"/>
              </w:rPr>
              <w:t>噪声影响的重要手段。</w:t>
            </w:r>
          </w:p>
          <w:p>
            <w:pPr>
              <w:keepNext w:val="0"/>
              <w:keepLines w:val="0"/>
              <w:pageBreakBefore w:val="0"/>
              <w:tabs>
                <w:tab w:val="left" w:pos="855"/>
              </w:tabs>
              <w:kinsoku/>
              <w:wordWrap/>
              <w:overflowPunct/>
              <w:bidi w:val="0"/>
              <w:adjustRightInd/>
              <w:spacing w:line="360" w:lineRule="auto"/>
              <w:ind w:left="0" w:leftChars="0" w:right="0" w:firstLine="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4施工期固废污染防治措施</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工程施工期间产生的固体废物主要为建筑垃圾和施工人员产生的生活垃圾。建筑垃圾主要包括施工过程地基处理和建材损耗、装修阶段产生的少量砂土石块、水泥、废金属等。建筑垃圾采取有计划地堆放，按要求分类处置、综合回收利用；施工人员的生活垃圾应定点收集，送环卫部门指定地点处理。</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为避免施工期固体废物对周围环境产生不利影响，本评价参照《城市建筑垃圾管理规定》（建设部令第139号）建议建设单位采取以下防范措施：</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施工单位应指派专人负责施工区固体废物的收集及转运工作，不得随意丢弃，施工现场废弃的固体废物宜分类回收；</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各类设备的包装箱、袋等应派专人负责收集分类存放，统一运往废品收购站回收利用；</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建筑垃圾外运过程中，运输车辆应用苫布覆盖，避免沿途遗洒，并按指定路线行驶。建筑垃圾及渣土最终进入建筑垃圾填埋场填埋处理。</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综上所述，若能按照本评价提出的防范措施妥善处置施工期产生的固体废物，不会对周围环境产生明显影响。</w:t>
            </w:r>
          </w:p>
          <w:p>
            <w:pPr>
              <w:keepNext w:val="0"/>
              <w:keepLines w:val="0"/>
              <w:pageBreakBefore w:val="0"/>
              <w:tabs>
                <w:tab w:val="left" w:pos="855"/>
              </w:tabs>
              <w:kinsoku/>
              <w:wordWrap/>
              <w:overflowPunct/>
              <w:bidi w:val="0"/>
              <w:adjustRightInd/>
              <w:spacing w:line="360" w:lineRule="auto"/>
              <w:ind w:left="0" w:leftChars="0" w:right="0" w:firstLine="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5施工期水土流失保护措施</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本项目施工期产生的固体废物主要包括：工程建设产生的弃土、废弃建材等。</w:t>
            </w:r>
          </w:p>
          <w:p>
            <w:pPr>
              <w:pStyle w:val="16"/>
              <w:keepNext w:val="0"/>
              <w:keepLines w:val="0"/>
              <w:pageBreakBefore w:val="0"/>
              <w:kinsoku/>
              <w:wordWrap/>
              <w:overflowPunct/>
              <w:bidi w:val="0"/>
              <w:adjustRightInd/>
              <w:spacing w:line="360" w:lineRule="auto"/>
              <w:ind w:left="0" w:right="0"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为减少弃土在堆放和运输过程中对环境的影响，建议采取如下措施：</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建筑垃圾：施工期间有部分施工垃圾如废砖、废钢铁</w:t>
            </w:r>
            <w:r>
              <w:rPr>
                <w:rFonts w:hint="default" w:ascii="Times New Roman" w:hAnsi="Times New Roman" w:cs="Times New Roman"/>
                <w:color w:val="auto"/>
                <w:sz w:val="24"/>
                <w:highlight w:val="none"/>
                <w:lang w:eastAsia="zh-CN"/>
              </w:rPr>
              <w:t>、废混凝土块</w:t>
            </w:r>
            <w:r>
              <w:rPr>
                <w:rFonts w:hint="default" w:ascii="Times New Roman" w:hAnsi="Times New Roman" w:eastAsia="宋体" w:cs="Times New Roman"/>
                <w:color w:val="auto"/>
                <w:sz w:val="24"/>
                <w:highlight w:val="none"/>
              </w:rPr>
              <w:t>等，这些建筑垃圾应分类收集，集中处理，回收利用，以实现固体废料的“减量化、资源化、无害化”。</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车辆运输散体物料和废弃物时，必须密闭、包扎、覆盖，不得沿途漏撒；运载土方的车辆必须在规定的时间内，按指定路段行驶。</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施工期应尽量集中并避开雨期，要边弃土边压实，弃土完毕后应尽快复垦利用。</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施工单位应该在施工前5日向渣土管理部门申报建筑垃圾、工程渣土处置计划，如实填报建筑垃圾和渣土的种类、数量、运输路线及处置场地等事项，并与渣土管理部门签订环境卫生责任书。</w:t>
            </w:r>
          </w:p>
          <w:p>
            <w:pPr>
              <w:keepNext w:val="0"/>
              <w:keepLines w:val="0"/>
              <w:pageBreakBefore w:val="0"/>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部门应当持渣土管理部门核发的处置证明，向运输单位办理建筑垃圾、工程渣土托运手续。运输车辆在运输工程弃土、建筑垃圾时应随车携带处置证明，接受渣土管理部门的检查，运输路线应按渣土管理部门会同公安、交通管理部门规定的线路运输。</w:t>
            </w:r>
          </w:p>
          <w:p>
            <w:pPr>
              <w:keepNext w:val="0"/>
              <w:keepLines w:val="0"/>
              <w:pageBreakBefore w:val="0"/>
              <w:tabs>
                <w:tab w:val="left" w:pos="855"/>
              </w:tabs>
              <w:kinsoku/>
              <w:wordWrap/>
              <w:overflowPunct/>
              <w:bidi w:val="0"/>
              <w:adjustRightInd/>
              <w:spacing w:line="360" w:lineRule="auto"/>
              <w:ind w:left="0" w:leftChars="0" w:right="0" w:firstLine="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6施工期生态环境保护</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施工方在施工前应先做好施工组织，做出详细的规划，划定施工活动范围，包括材料的堆存范围、人员食宿及活动范围，尽量减少临时占地数量。在施工前应首先修好道路，使拉运建筑材料和土石方的车辆在固定的道路上行驶，防止四处乱辗，扰动地表。在施工过程中需加强管理，严禁不按操作规程野蛮施工。施工监理部门和当地生态环境部门也应紧密合作，进行监督管理。施工结束后，须及时清理场地，恢复当地的植被。</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施工承包商在进行工程承包时，应将施工期的环境污染控制列入承包内容，并在工程开工前和施工过程中制定相应的环保防治措施和工程计划。</w:t>
            </w:r>
          </w:p>
          <w:p>
            <w:pPr>
              <w:keepNext w:val="0"/>
              <w:keepLines w:val="0"/>
              <w:pageBreakBefore w:val="0"/>
              <w:tabs>
                <w:tab w:val="left" w:pos="855"/>
              </w:tabs>
              <w:kinsoku/>
              <w:wordWrap/>
              <w:overflowPunct/>
              <w:bidi w:val="0"/>
              <w:adjustRightInd/>
              <w:spacing w:line="360" w:lineRule="auto"/>
              <w:ind w:right="0" w:firstLine="480" w:firstLineChars="200"/>
              <w:rPr>
                <w:rFonts w:hint="default" w:ascii="Times New Roman" w:hAnsi="Times New Roman" w:cs="Times New Roman"/>
                <w:bCs/>
                <w:color w:val="auto"/>
                <w:spacing w:val="-10"/>
                <w:szCs w:val="21"/>
                <w:highlight w:val="none"/>
                <w:lang w:eastAsia="zh-CN"/>
              </w:rPr>
            </w:pPr>
            <w:r>
              <w:rPr>
                <w:rFonts w:hint="default" w:ascii="Times New Roman" w:hAnsi="Times New Roman" w:cs="Times New Roman"/>
                <w:color w:val="auto"/>
                <w:sz w:val="24"/>
                <w:highlight w:val="none"/>
                <w:lang w:val="en-US" w:eastAsia="zh-CN"/>
              </w:rPr>
              <w:t>项目施工时应向当地生态环境行政主管部门及其他有关主管部门申报；设立专人负责管理并培训施工人员，以正确的工作方法控制施工过程中产生的不利环境影响；必要时，还需对施工人员进行环境保护知识培训，以确保项目施工期各项环保控制措施的落实。工程监理单位有责任配合当地生态环境主管机构，在做好工程监理的同时、做好环境监理，以保证环保工程与主体工程同时设计、同时施工、同时运行、同时投产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pPr>
              <w:keepNext w:val="0"/>
              <w:keepLines/>
              <w:pageBreakBefore w:val="0"/>
              <w:widowControl w:val="0"/>
              <w:wordWrap/>
              <w:bidi w:val="0"/>
              <w:adjustRightInd/>
              <w:snapToGrid/>
              <w:spacing w:beforeAutospacing="0" w:afterAutospacing="0"/>
              <w:ind w:left="0" w:leftChars="0" w:firstLine="0" w:firstLineChars="0"/>
              <w:jc w:val="both"/>
              <w:rPr>
                <w:rFonts w:hint="default" w:ascii="Times New Roman" w:hAnsi="Times New Roman" w:eastAsia="宋体" w:cs="Times New Roman"/>
                <w:color w:val="auto"/>
                <w:kern w:val="2"/>
                <w:szCs w:val="24"/>
                <w:highlight w:val="none"/>
              </w:rPr>
            </w:pPr>
            <w:r>
              <w:rPr>
                <w:rFonts w:hint="default" w:ascii="Times New Roman" w:hAnsi="Times New Roman" w:eastAsia="宋体" w:cs="Times New Roman"/>
                <w:bCs/>
                <w:color w:val="auto"/>
                <w:sz w:val="24"/>
                <w:highlight w:val="none"/>
              </w:rPr>
              <w:t>运营期环境影响和保护</w:t>
            </w:r>
            <w:r>
              <w:rPr>
                <w:rFonts w:hint="default" w:ascii="Times New Roman" w:hAnsi="Times New Roman" w:eastAsia="宋体" w:cs="Times New Roman"/>
                <w:bCs/>
                <w:color w:val="auto"/>
                <w:szCs w:val="24"/>
                <w:highlight w:val="none"/>
              </w:rPr>
              <w:t>措施</w:t>
            </w:r>
          </w:p>
        </w:tc>
        <w:tc>
          <w:tcPr>
            <w:tcW w:w="8611" w:type="dxa"/>
            <w:noWrap w:val="0"/>
            <w:vAlign w:val="top"/>
          </w:tcPr>
          <w:p>
            <w:pPr>
              <w:pStyle w:val="5"/>
              <w:numPr>
                <w:ilvl w:val="0"/>
                <w:numId w:val="0"/>
              </w:numPr>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废气</w:t>
            </w:r>
            <w:r>
              <w:rPr>
                <w:rFonts w:hint="default" w:ascii="Times New Roman" w:hAnsi="Times New Roman" w:cs="Times New Roman"/>
                <w:color w:val="auto"/>
                <w:szCs w:val="21"/>
                <w:highlight w:val="none"/>
              </w:rPr>
              <w:t>环境影响及保护措施</w:t>
            </w:r>
          </w:p>
          <w:p>
            <w:pPr>
              <w:adjustRightInd w:val="0"/>
              <w:snapToGrid w:val="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1.1源强核算</w:t>
            </w:r>
          </w:p>
          <w:p>
            <w:pPr>
              <w:overflowPunct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项目运营期间，废气污染源主要来自</w:t>
            </w:r>
            <w:r>
              <w:rPr>
                <w:rFonts w:hint="default" w:ascii="Times New Roman" w:hAnsi="Times New Roman" w:cs="Times New Roman"/>
                <w:color w:val="auto"/>
                <w:highlight w:val="none"/>
                <w:lang w:val="en-US" w:eastAsia="zh-CN"/>
              </w:rPr>
              <w:t>切割工序产生金属粉尘；焊接工序产生的焊接烟尘；喷砂工序产生金属粉尘；喷漆工序产生</w:t>
            </w:r>
            <w:r>
              <w:rPr>
                <w:rFonts w:hint="default" w:ascii="Times New Roman" w:hAnsi="Times New Roman" w:cs="Times New Roman"/>
                <w:color w:val="auto"/>
                <w:sz w:val="24"/>
                <w:highlight w:val="none"/>
              </w:rPr>
              <w:t>漆雾颗粒</w:t>
            </w:r>
            <w:r>
              <w:rPr>
                <w:rFonts w:hint="default" w:ascii="Times New Roman" w:hAnsi="Times New Roman" w:cs="Times New Roman"/>
                <w:color w:val="auto"/>
                <w:highlight w:val="none"/>
                <w:lang w:val="en-US" w:eastAsia="zh-CN"/>
              </w:rPr>
              <w:t>、非甲烷总烃</w:t>
            </w:r>
            <w:r>
              <w:rPr>
                <w:rFonts w:hint="default" w:ascii="Times New Roman" w:hAnsi="Times New Roman" w:eastAsia="宋体" w:cs="Times New Roman"/>
                <w:color w:val="auto"/>
                <w:sz w:val="24"/>
                <w:highlight w:val="none"/>
                <w:lang w:val="en-US" w:eastAsia="zh-CN"/>
              </w:rPr>
              <w:t>。</w:t>
            </w:r>
          </w:p>
          <w:p>
            <w:pPr>
              <w:ind w:left="0" w:leftChars="0" w:firstLine="480" w:firstLineChars="200"/>
              <w:rPr>
                <w:rFonts w:hint="default" w:ascii="Times New Roman" w:hAnsi="Times New Roman" w:eastAsia="宋体" w:cs="Times New Roman"/>
                <w:b w:val="0"/>
                <w:bCs w:val="0"/>
                <w:color w:val="auto"/>
                <w:highlight w:val="none"/>
                <w:lang w:val="en-US" w:eastAsia="zh-CN"/>
              </w:rPr>
            </w:pPr>
            <w:bookmarkStart w:id="6" w:name="OLE_LINK214"/>
            <w:bookmarkStart w:id="7" w:name="OLE_LINK228"/>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1）切割工序金属粉尘</w:t>
            </w:r>
          </w:p>
          <w:p>
            <w:pPr>
              <w:overflowPunct w:val="0"/>
              <w:adjustRightInd w:val="0"/>
              <w:snapToGrid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b w:val="0"/>
                <w:bCs w:val="0"/>
                <w:color w:val="auto"/>
                <w:highlight w:val="none"/>
              </w:rPr>
              <w:t>切割主要采用光纤激光切割机</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color w:val="auto"/>
                <w:sz w:val="24"/>
                <w:highlight w:val="none"/>
              </w:rPr>
              <w:t>在</w:t>
            </w:r>
            <w:r>
              <w:rPr>
                <w:rFonts w:hint="default" w:ascii="Times New Roman" w:hAnsi="Times New Roman" w:cs="Times New Roman"/>
                <w:color w:val="auto"/>
                <w:sz w:val="24"/>
                <w:highlight w:val="none"/>
                <w:lang w:eastAsia="zh-CN"/>
              </w:rPr>
              <w:t>切割</w:t>
            </w:r>
            <w:r>
              <w:rPr>
                <w:rFonts w:hint="default" w:ascii="Times New Roman" w:hAnsi="Times New Roman" w:cs="Times New Roman"/>
                <w:color w:val="auto"/>
                <w:sz w:val="24"/>
                <w:highlight w:val="none"/>
              </w:rPr>
              <w:t>过程中产生少量的金属粉尘，光纤激光切割在原理和产污特性上与等离子切割高度相似，都属于高能量密度、非接触式热切割。依据“工艺原理相似”原则，选择</w:t>
            </w:r>
            <w:r>
              <w:rPr>
                <w:rFonts w:hint="default" w:ascii="Times New Roman" w:hAnsi="Times New Roman" w:cs="Times New Roman"/>
                <w:color w:val="auto"/>
                <w:sz w:val="24"/>
                <w:highlight w:val="none"/>
                <w:lang w:val="en-US" w:eastAsia="zh-CN"/>
              </w:rPr>
              <w:t>参考</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cs="Times New Roman"/>
                <w:color w:val="auto"/>
                <w:sz w:val="24"/>
                <w:highlight w:val="none"/>
              </w:rPr>
              <w:t>（生态环境部办公厅2021年6月11日）中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33-37，431-434机械行业系数手册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第46页中04</w:t>
            </w:r>
            <w:r>
              <w:rPr>
                <w:rFonts w:hint="default" w:ascii="Times New Roman" w:hAnsi="Times New Roman" w:cs="Times New Roman"/>
                <w:color w:val="auto"/>
                <w:sz w:val="24"/>
                <w:highlight w:val="none"/>
              </w:rPr>
              <w:t>下料</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具体产物系数见表4-1。</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1   下料废气产生情况</w:t>
            </w:r>
          </w:p>
          <w:tbl>
            <w:tblPr>
              <w:tblStyle w:val="2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586"/>
              <w:gridCol w:w="962"/>
              <w:gridCol w:w="1274"/>
              <w:gridCol w:w="1037"/>
              <w:gridCol w:w="1257"/>
              <w:gridCol w:w="723"/>
              <w:gridCol w:w="1071"/>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工段名称</w:t>
                  </w:r>
                </w:p>
              </w:tc>
              <w:tc>
                <w:tcPr>
                  <w:tcW w:w="346" w:type="pct"/>
                  <w:vAlign w:val="center"/>
                </w:tcPr>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产品名称</w:t>
                  </w:r>
                </w:p>
              </w:tc>
              <w:tc>
                <w:tcPr>
                  <w:tcW w:w="56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名称</w:t>
                  </w:r>
                </w:p>
              </w:tc>
              <w:tc>
                <w:tcPr>
                  <w:tcW w:w="75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工艺名称</w:t>
                  </w:r>
                </w:p>
              </w:tc>
              <w:tc>
                <w:tcPr>
                  <w:tcW w:w="61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污染物指标</w:t>
                  </w:r>
                </w:p>
              </w:tc>
              <w:tc>
                <w:tcPr>
                  <w:tcW w:w="74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系数单位</w:t>
                  </w:r>
                </w:p>
              </w:tc>
              <w:tc>
                <w:tcPr>
                  <w:tcW w:w="4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产污系数</w:t>
                  </w:r>
                </w:p>
              </w:tc>
              <w:tc>
                <w:tcPr>
                  <w:tcW w:w="63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技术名称</w:t>
                  </w:r>
                </w:p>
              </w:tc>
              <w:tc>
                <w:tcPr>
                  <w:tcW w:w="58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下料</w:t>
                  </w:r>
                </w:p>
              </w:tc>
              <w:tc>
                <w:tcPr>
                  <w:tcW w:w="346" w:type="pct"/>
                  <w:vMerge w:val="restart"/>
                  <w:vAlign w:val="center"/>
                </w:tcPr>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下料件</w:t>
                  </w:r>
                </w:p>
              </w:tc>
              <w:tc>
                <w:tcPr>
                  <w:tcW w:w="568" w:type="pct"/>
                  <w:vMerge w:val="restar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钢板、铝</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板、铝合</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金板、其</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它金属材料</w:t>
                  </w:r>
                </w:p>
              </w:tc>
              <w:tc>
                <w:tcPr>
                  <w:tcW w:w="753"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等离子切割</w:t>
                  </w:r>
                </w:p>
              </w:tc>
              <w:tc>
                <w:tcPr>
                  <w:tcW w:w="61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废气量</w:t>
                  </w:r>
                </w:p>
              </w:tc>
              <w:tc>
                <w:tcPr>
                  <w:tcW w:w="74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4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4635</w:t>
                  </w:r>
                </w:p>
              </w:tc>
              <w:tc>
                <w:tcPr>
                  <w:tcW w:w="633"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83"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p>
              </w:tc>
              <w:tc>
                <w:tcPr>
                  <w:tcW w:w="346" w:type="pct"/>
                  <w:vMerge w:val="continue"/>
                  <w:vAlign w:val="center"/>
                </w:tcPr>
                <w:p>
                  <w:pPr>
                    <w:pStyle w:val="45"/>
                    <w:spacing w:line="240" w:lineRule="auto"/>
                    <w:ind w:firstLine="0" w:firstLineChars="0"/>
                    <w:jc w:val="center"/>
                    <w:rPr>
                      <w:rFonts w:hint="default" w:ascii="Times New Roman" w:hAnsi="Times New Roman" w:cs="Times New Roman"/>
                      <w:b w:val="0"/>
                      <w:bCs w:val="0"/>
                      <w:color w:val="auto"/>
                      <w:highlight w:val="none"/>
                    </w:rPr>
                  </w:pPr>
                </w:p>
              </w:tc>
              <w:tc>
                <w:tcPr>
                  <w:tcW w:w="568"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753"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613"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743"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42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1.10</w:t>
                  </w:r>
                </w:p>
              </w:tc>
              <w:tc>
                <w:tcPr>
                  <w:tcW w:w="63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袋式除尘</w:t>
                  </w:r>
                </w:p>
              </w:tc>
              <w:tc>
                <w:tcPr>
                  <w:tcW w:w="58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346"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68"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753"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613"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743"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42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63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8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bl>
          <w:p>
            <w:pPr>
              <w:overflowPunct w:val="0"/>
              <w:adjustRightInd w:val="0"/>
              <w:snapToGrid w:val="0"/>
              <w:spacing w:line="360" w:lineRule="auto"/>
              <w:ind w:left="0" w:leftChars="0"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highlight w:val="none"/>
              </w:rPr>
              <w:t>切割工作量为</w:t>
            </w:r>
            <w:r>
              <w:rPr>
                <w:rFonts w:hint="default" w:ascii="Times New Roman" w:hAnsi="Times New Roman" w:cs="Times New Roman"/>
                <w:color w:val="auto"/>
                <w:sz w:val="24"/>
                <w:highlight w:val="none"/>
                <w:lang w:eastAsia="zh-CN"/>
              </w:rPr>
              <w:t>槽钢</w:t>
            </w:r>
            <w:r>
              <w:rPr>
                <w:rFonts w:hint="default" w:ascii="Times New Roman" w:hAnsi="Times New Roman" w:cs="Times New Roman"/>
                <w:color w:val="auto"/>
                <w:sz w:val="24"/>
                <w:highlight w:val="none"/>
                <w:lang w:val="en-US" w:eastAsia="zh-CN"/>
              </w:rPr>
              <w:t>400t/a</w:t>
            </w:r>
            <w:r>
              <w:rPr>
                <w:rFonts w:hint="default" w:ascii="Times New Roman" w:hAnsi="Times New Roman" w:cs="Times New Roman"/>
                <w:color w:val="auto"/>
                <w:sz w:val="24"/>
                <w:highlight w:val="none"/>
                <w:lang w:eastAsia="zh-CN"/>
              </w:rPr>
              <w:t>、方管</w:t>
            </w:r>
            <w:r>
              <w:rPr>
                <w:rFonts w:hint="default" w:ascii="Times New Roman" w:hAnsi="Times New Roman" w:cs="Times New Roman"/>
                <w:color w:val="auto"/>
                <w:sz w:val="24"/>
                <w:highlight w:val="none"/>
                <w:lang w:val="en-US" w:eastAsia="zh-CN"/>
              </w:rPr>
              <w:t>1000t/a</w:t>
            </w:r>
            <w:r>
              <w:rPr>
                <w:rFonts w:hint="default" w:ascii="Times New Roman" w:hAnsi="Times New Roman" w:cs="Times New Roman"/>
                <w:color w:val="auto"/>
                <w:sz w:val="24"/>
                <w:highlight w:val="none"/>
                <w:lang w:eastAsia="zh-CN"/>
              </w:rPr>
              <w:t>、热板</w:t>
            </w:r>
            <w:r>
              <w:rPr>
                <w:rFonts w:hint="default" w:ascii="Times New Roman" w:hAnsi="Times New Roman" w:cs="Times New Roman"/>
                <w:color w:val="auto"/>
                <w:sz w:val="24"/>
                <w:highlight w:val="none"/>
                <w:lang w:val="en-US" w:eastAsia="zh-CN"/>
              </w:rPr>
              <w:t>750t/a</w:t>
            </w:r>
            <w:r>
              <w:rPr>
                <w:rFonts w:hint="default" w:ascii="Times New Roman" w:hAnsi="Times New Roman" w:cs="Times New Roman"/>
                <w:color w:val="auto"/>
                <w:sz w:val="24"/>
                <w:highlight w:val="none"/>
                <w:lang w:eastAsia="zh-CN"/>
              </w:rPr>
              <w:t>、角钢</w:t>
            </w:r>
            <w:r>
              <w:rPr>
                <w:rFonts w:hint="default" w:ascii="Times New Roman" w:hAnsi="Times New Roman" w:cs="Times New Roman"/>
                <w:color w:val="auto"/>
                <w:sz w:val="24"/>
                <w:highlight w:val="none"/>
                <w:lang w:val="en-US" w:eastAsia="zh-CN"/>
              </w:rPr>
              <w:t>50t/a等共计2200t/a，金属粉尘</w:t>
            </w:r>
            <w:r>
              <w:rPr>
                <w:rFonts w:hint="default" w:ascii="Times New Roman" w:hAnsi="Times New Roman" w:cs="Times New Roman"/>
                <w:color w:val="auto"/>
                <w:highlight w:val="none"/>
              </w:rPr>
              <w:t>产生量为</w:t>
            </w:r>
            <w:r>
              <w:rPr>
                <w:rFonts w:hint="default" w:ascii="Times New Roman" w:hAnsi="Times New Roman" w:cs="Times New Roman"/>
                <w:color w:val="auto"/>
                <w:highlight w:val="none"/>
                <w:lang w:val="en-US" w:eastAsia="zh-CN"/>
              </w:rPr>
              <w:t>2.42</w:t>
            </w:r>
            <w:r>
              <w:rPr>
                <w:rFonts w:hint="default" w:ascii="Times New Roman" w:hAnsi="Times New Roman" w:cs="Times New Roman"/>
                <w:color w:val="auto"/>
                <w:highlight w:val="none"/>
              </w:rPr>
              <w:t>t/a。</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highlight w:val="none"/>
              </w:rPr>
              <w:t>本环评要求企业在</w:t>
            </w:r>
            <w:r>
              <w:rPr>
                <w:rFonts w:hint="default" w:ascii="Times New Roman" w:hAnsi="Times New Roman" w:cs="Times New Roman"/>
                <w:color w:val="auto"/>
                <w:highlight w:val="none"/>
                <w:lang w:val="en-US" w:eastAsia="zh-CN"/>
              </w:rPr>
              <w:t>切割</w:t>
            </w:r>
            <w:r>
              <w:rPr>
                <w:rFonts w:hint="default" w:ascii="Times New Roman" w:hAnsi="Times New Roman" w:eastAsia="宋体" w:cs="Times New Roman"/>
                <w:color w:val="auto"/>
                <w:sz w:val="24"/>
                <w:highlight w:val="none"/>
                <w:lang w:val="en-US" w:eastAsia="zh-CN"/>
              </w:rPr>
              <w:t>工序切割处设置</w:t>
            </w:r>
            <w:r>
              <w:rPr>
                <w:rFonts w:hint="default" w:ascii="Times New Roman" w:hAnsi="Times New Roman" w:cs="Times New Roman"/>
                <w:color w:val="auto"/>
                <w:highlight w:val="none"/>
              </w:rPr>
              <w:t>集气罩，废气经</w:t>
            </w:r>
            <w:r>
              <w:rPr>
                <w:rFonts w:hint="eastAsia" w:cs="Times New Roman"/>
                <w:color w:val="auto"/>
                <w:highlight w:val="none"/>
                <w:lang w:val="en-US" w:eastAsia="zh-CN"/>
              </w:rPr>
              <w:t>收集后，送至</w:t>
            </w:r>
            <w:r>
              <w:rPr>
                <w:rFonts w:hint="default" w:ascii="Times New Roman" w:hAnsi="Times New Roman" w:cs="Times New Roman"/>
                <w:color w:val="auto"/>
                <w:highlight w:val="none"/>
              </w:rPr>
              <w:t>布袋除尘器处理后，通过1根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排气筒（DA001）排放，风机风量为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收尘效率不低于</w:t>
            </w:r>
            <w:r>
              <w:rPr>
                <w:rFonts w:hint="default" w:ascii="Times New Roman" w:hAnsi="Times New Roman" w:cs="Times New Roman"/>
                <w:color w:val="auto"/>
                <w:highlight w:val="none"/>
                <w:lang w:val="en-US" w:eastAsia="zh-CN"/>
              </w:rPr>
              <w:t>80</w:t>
            </w:r>
            <w:r>
              <w:rPr>
                <w:rFonts w:hint="default" w:ascii="Times New Roman" w:hAnsi="Times New Roman" w:cs="Times New Roman"/>
                <w:color w:val="auto"/>
                <w:highlight w:val="none"/>
              </w:rPr>
              <w:t>%，密闭厂房，处理效率按</w:t>
            </w: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%计，则项目</w:t>
            </w:r>
            <w:r>
              <w:rPr>
                <w:rFonts w:hint="default" w:ascii="Times New Roman" w:hAnsi="Times New Roman" w:cs="Times New Roman"/>
                <w:color w:val="auto"/>
                <w:highlight w:val="none"/>
                <w:lang w:eastAsia="zh-CN"/>
              </w:rPr>
              <w:t>切割</w:t>
            </w:r>
            <w:r>
              <w:rPr>
                <w:rFonts w:hint="default" w:ascii="Times New Roman" w:hAnsi="Times New Roman" w:cs="Times New Roman"/>
                <w:color w:val="auto"/>
                <w:highlight w:val="none"/>
              </w:rPr>
              <w:t>工序</w:t>
            </w:r>
            <w:r>
              <w:rPr>
                <w:rFonts w:hint="default" w:ascii="Times New Roman" w:hAnsi="Times New Roman" w:cs="Times New Roman"/>
                <w:color w:val="auto"/>
                <w:highlight w:val="none"/>
                <w:lang w:val="en-US" w:eastAsia="zh-CN"/>
              </w:rPr>
              <w:t>金属</w:t>
            </w:r>
            <w:r>
              <w:rPr>
                <w:rFonts w:hint="default" w:ascii="Times New Roman" w:hAnsi="Times New Roman" w:cs="Times New Roman"/>
                <w:color w:val="auto"/>
                <w:highlight w:val="none"/>
              </w:rPr>
              <w:t>粉尘有组织产生量</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1.94</w:t>
            </w:r>
            <w:r>
              <w:rPr>
                <w:rFonts w:hint="default" w:ascii="Times New Roman" w:hAnsi="Times New Roman" w:cs="Times New Roman"/>
                <w:color w:val="auto"/>
                <w:highlight w:val="none"/>
              </w:rPr>
              <w:t>t/a，产生速率为</w:t>
            </w:r>
            <w:r>
              <w:rPr>
                <w:rFonts w:hint="default" w:ascii="Times New Roman" w:hAnsi="Times New Roman" w:cs="Times New Roman"/>
                <w:color w:val="auto"/>
                <w:sz w:val="24"/>
                <w:szCs w:val="24"/>
                <w:highlight w:val="none"/>
                <w:vertAlign w:val="baseline"/>
                <w:lang w:val="en-US" w:eastAsia="zh-CN"/>
              </w:rPr>
              <w:t>0.8083</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浓度269.43</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；经除尘后</w:t>
            </w:r>
            <w:r>
              <w:rPr>
                <w:rFonts w:hint="default" w:ascii="Times New Roman" w:hAnsi="Times New Roman" w:cs="Times New Roman"/>
                <w:color w:val="auto"/>
                <w:highlight w:val="none"/>
                <w:lang w:val="en-US" w:eastAsia="zh-CN"/>
              </w:rPr>
              <w:t>金属</w:t>
            </w:r>
            <w:r>
              <w:rPr>
                <w:rFonts w:hint="default" w:ascii="Times New Roman" w:hAnsi="Times New Roman" w:cs="Times New Roman"/>
                <w:color w:val="auto"/>
                <w:highlight w:val="none"/>
              </w:rPr>
              <w:t>粉尘有组织排放量</w:t>
            </w:r>
            <w:r>
              <w:rPr>
                <w:rFonts w:hint="default" w:ascii="Times New Roman" w:hAnsi="Times New Roman" w:cs="Times New Roman"/>
                <w:color w:val="auto"/>
                <w:highlight w:val="none"/>
                <w:lang w:val="en-US" w:eastAsia="zh-CN"/>
              </w:rPr>
              <w:t>0.097</w:t>
            </w:r>
            <w:r>
              <w:rPr>
                <w:rFonts w:hint="default" w:ascii="Times New Roman" w:hAnsi="Times New Roman" w:cs="Times New Roman"/>
                <w:color w:val="auto"/>
                <w:highlight w:val="none"/>
              </w:rPr>
              <w:t>t/a，排放速率为</w:t>
            </w:r>
            <w:r>
              <w:rPr>
                <w:rFonts w:hint="default" w:ascii="Times New Roman" w:hAnsi="Times New Roman" w:cs="Times New Roman"/>
                <w:color w:val="auto"/>
                <w:sz w:val="24"/>
                <w:szCs w:val="24"/>
                <w:highlight w:val="none"/>
                <w:vertAlign w:val="baseline"/>
                <w:lang w:val="en-US" w:eastAsia="zh-CN"/>
              </w:rPr>
              <w:t>0.0404</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vertAlign w:val="baseline"/>
                <w:lang w:val="en-US" w:eastAsia="zh-CN"/>
              </w:rPr>
              <w:t>排放浓度13.54</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此工序无组织</w:t>
            </w:r>
            <w:r>
              <w:rPr>
                <w:rFonts w:hint="default" w:ascii="Times New Roman" w:hAnsi="Times New Roman" w:cs="Times New Roman"/>
                <w:color w:val="auto"/>
                <w:sz w:val="24"/>
                <w:highlight w:val="none"/>
              </w:rPr>
              <w:t>金属粉尘</w:t>
            </w:r>
            <w:r>
              <w:rPr>
                <w:rFonts w:hint="default" w:ascii="Times New Roman" w:hAnsi="Times New Roman" w:cs="Times New Roman"/>
                <w:color w:val="auto"/>
                <w:sz w:val="24"/>
                <w:szCs w:val="24"/>
                <w:highlight w:val="none"/>
                <w:vertAlign w:val="baseline"/>
                <w:lang w:val="en-US" w:eastAsia="zh-CN"/>
              </w:rPr>
              <w:t>产生量约为0.48t/a，产生速率0.2kg/h</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切割金属粉尘密度比重较大，大部分沉降在车间内，按90%计，无组织</w:t>
            </w:r>
            <w:r>
              <w:rPr>
                <w:rFonts w:hint="default" w:ascii="Times New Roman" w:hAnsi="Times New Roman" w:cs="Times New Roman"/>
                <w:color w:val="auto"/>
                <w:sz w:val="24"/>
                <w:highlight w:val="none"/>
              </w:rPr>
              <w:t>金属粉尘</w:t>
            </w:r>
            <w:r>
              <w:rPr>
                <w:rFonts w:hint="default" w:ascii="Times New Roman" w:hAnsi="Times New Roman" w:cs="Times New Roman"/>
                <w:color w:val="auto"/>
                <w:sz w:val="24"/>
                <w:szCs w:val="24"/>
                <w:highlight w:val="none"/>
                <w:vertAlign w:val="baseline"/>
                <w:lang w:val="en-US" w:eastAsia="zh-CN"/>
              </w:rPr>
              <w:t>排放量为0.048t/a，排放速率0.02kg/h。</w:t>
            </w:r>
          </w:p>
          <w:p>
            <w:pPr>
              <w:widowControl/>
              <w:ind w:firstLine="48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highlight w:val="none"/>
                <w:lang w:val="en-US" w:eastAsia="zh-CN"/>
              </w:rPr>
              <w:t>切割工序颗粒物产生及排放情况</w:t>
            </w:r>
            <w:r>
              <w:rPr>
                <w:rFonts w:hint="default" w:ascii="Times New Roman" w:hAnsi="Times New Roman" w:cs="Times New Roman"/>
                <w:color w:val="auto"/>
                <w:highlight w:val="none"/>
              </w:rPr>
              <w:t>，见表4-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 xml:space="preserve">2   </w:t>
            </w:r>
            <w:r>
              <w:rPr>
                <w:rFonts w:hint="default" w:ascii="Times New Roman" w:hAnsi="Times New Roman" w:cs="Times New Roman"/>
                <w:b/>
                <w:bCs/>
                <w:color w:val="auto"/>
                <w:highlight w:val="none"/>
                <w:lang w:eastAsia="zh-CN"/>
              </w:rPr>
              <w:t>切割</w:t>
            </w:r>
            <w:r>
              <w:rPr>
                <w:rFonts w:hint="default" w:ascii="Times New Roman" w:hAnsi="Times New Roman" w:cs="Times New Roman"/>
                <w:b/>
                <w:bCs/>
                <w:color w:val="auto"/>
                <w:highlight w:val="none"/>
                <w:lang w:val="en-US" w:eastAsia="zh-CN"/>
              </w:rPr>
              <w:t>工</w:t>
            </w:r>
            <w:r>
              <w:rPr>
                <w:rFonts w:hint="default" w:ascii="Times New Roman" w:hAnsi="Times New Roman" w:cs="Times New Roman"/>
                <w:b/>
                <w:bCs/>
                <w:color w:val="auto"/>
                <w:highlight w:val="none"/>
              </w:rPr>
              <w:t>序金属粉</w:t>
            </w:r>
            <w:r>
              <w:rPr>
                <w:rFonts w:hint="default" w:ascii="Times New Roman" w:hAnsi="Times New Roman" w:cs="Times New Roman"/>
                <w:b/>
                <w:bCs/>
                <w:color w:val="auto"/>
                <w:highlight w:val="none"/>
                <w:lang w:eastAsia="zh-CN"/>
              </w:rPr>
              <w:t>尘</w:t>
            </w:r>
            <w:r>
              <w:rPr>
                <w:rFonts w:hint="default" w:ascii="Times New Roman" w:hAnsi="Times New Roman" w:cs="Times New Roman"/>
                <w:b/>
                <w:bCs/>
                <w:color w:val="auto"/>
                <w:highlight w:val="none"/>
              </w:rPr>
              <w:t>产生及排放情况</w:t>
            </w:r>
          </w:p>
          <w:tbl>
            <w:tblPr>
              <w:tblStyle w:val="22"/>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49"/>
              <w:gridCol w:w="979"/>
              <w:gridCol w:w="1124"/>
              <w:gridCol w:w="1073"/>
              <w:gridCol w:w="1009"/>
              <w:gridCol w:w="1156"/>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污染物</w:t>
                  </w:r>
                </w:p>
              </w:tc>
              <w:tc>
                <w:tcPr>
                  <w:tcW w:w="1898"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产生情况</w:t>
                  </w:r>
                </w:p>
              </w:tc>
              <w:tc>
                <w:tcPr>
                  <w:tcW w:w="2050"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continue"/>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p>
              </w:tc>
              <w:tc>
                <w:tcPr>
                  <w:tcW w:w="585" w:type="pct"/>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产生量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7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64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c>
                <w:tcPr>
                  <w:tcW w:w="603"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排放量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9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755"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颗粒物</w:t>
                  </w: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有组织</w:t>
                  </w:r>
                </w:p>
              </w:tc>
              <w:tc>
                <w:tcPr>
                  <w:tcW w:w="585"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1.94</w:t>
                  </w:r>
                </w:p>
              </w:tc>
              <w:tc>
                <w:tcPr>
                  <w:tcW w:w="67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0.8083</w:t>
                  </w:r>
                </w:p>
              </w:tc>
              <w:tc>
                <w:tcPr>
                  <w:tcW w:w="64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269.43</w:t>
                  </w:r>
                </w:p>
              </w:tc>
              <w:tc>
                <w:tcPr>
                  <w:tcW w:w="603"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0.097</w:t>
                  </w:r>
                </w:p>
              </w:tc>
              <w:tc>
                <w:tcPr>
                  <w:tcW w:w="69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0.0404</w:t>
                  </w:r>
                </w:p>
              </w:tc>
              <w:tc>
                <w:tcPr>
                  <w:tcW w:w="755"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无组织</w:t>
                  </w:r>
                </w:p>
              </w:tc>
              <w:tc>
                <w:tcPr>
                  <w:tcW w:w="58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0.48</w:t>
                  </w:r>
                </w:p>
              </w:tc>
              <w:tc>
                <w:tcPr>
                  <w:tcW w:w="67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4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w:t>
                  </w:r>
                </w:p>
              </w:tc>
              <w:tc>
                <w:tcPr>
                  <w:tcW w:w="60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0.048</w:t>
                  </w:r>
                </w:p>
              </w:tc>
              <w:tc>
                <w:tcPr>
                  <w:tcW w:w="69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default" w:ascii="Times New Roman" w:hAnsi="Times New Roman" w:cs="Times New Roman"/>
                      <w:b w:val="0"/>
                      <w:bCs w:val="0"/>
                      <w:color w:val="auto"/>
                      <w:sz w:val="21"/>
                      <w:szCs w:val="21"/>
                      <w:highlight w:val="none"/>
                      <w:lang w:val="en-US" w:eastAsia="zh-CN"/>
                    </w:rPr>
                    <w:t>2</w:t>
                  </w:r>
                </w:p>
              </w:tc>
              <w:tc>
                <w:tcPr>
                  <w:tcW w:w="75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bl>
          <w:p>
            <w:pPr>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（2）焊接工序烟尘</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焊接是利用电能加热，促使被焊接的金属局部达到液态或接近液态，而使之结合形成牢固的不可拆卸接头的工艺方法。</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根据《装焊车间焊接烟尘的危害及治理》（北京市劳动保护科学研究所）可知，焊接烟尘是金属及非金属物质在过热条件下产生的蒸汽经氧化和冷凝而形成的，其中80%</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90%来源于焊条药皮和焊芯，焊接烟尘中所含的元素多达20种以上，是一种十分复杂的物质，其中主要成分为Fe</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、SiO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、MnO、HF等，其中含量最多的为Fe</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，一般占烟尘总量的35.56%，其次是SiO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，其含量占</w:t>
            </w:r>
            <w:r>
              <w:rPr>
                <w:rFonts w:hint="default" w:ascii="Times New Roman" w:hAnsi="Times New Roman" w:cs="Times New Roman"/>
                <w:color w:val="auto"/>
                <w:kern w:val="0"/>
                <w:sz w:val="24"/>
                <w:highlight w:val="none"/>
                <w:lang w:eastAsia="zh-CN"/>
              </w:rPr>
              <w:t>10%</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eastAsia="zh-CN"/>
              </w:rPr>
              <w:t>20%</w:t>
            </w:r>
            <w:r>
              <w:rPr>
                <w:rFonts w:hint="default" w:ascii="Times New Roman" w:hAnsi="Times New Roman" w:cs="Times New Roman"/>
                <w:color w:val="auto"/>
                <w:kern w:val="0"/>
                <w:sz w:val="24"/>
                <w:highlight w:val="none"/>
              </w:rPr>
              <w:t>，MnO占</w:t>
            </w:r>
            <w:r>
              <w:rPr>
                <w:rFonts w:hint="default" w:ascii="Times New Roman" w:hAnsi="Times New Roman" w:cs="Times New Roman"/>
                <w:color w:val="auto"/>
                <w:kern w:val="0"/>
                <w:sz w:val="24"/>
                <w:highlight w:val="none"/>
                <w:lang w:eastAsia="zh-CN"/>
              </w:rPr>
              <w:t>5%</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eastAsia="zh-CN"/>
              </w:rPr>
              <w:t>20%</w:t>
            </w:r>
            <w:r>
              <w:rPr>
                <w:rFonts w:hint="default" w:ascii="Times New Roman" w:hAnsi="Times New Roman" w:cs="Times New Roman"/>
                <w:color w:val="auto"/>
                <w:kern w:val="0"/>
                <w:sz w:val="24"/>
                <w:highlight w:val="none"/>
              </w:rPr>
              <w:t>左右；焊接烟尘中有害气体的成分主要包括CO、CO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x</w:t>
            </w:r>
            <w:r>
              <w:rPr>
                <w:rFonts w:hint="default" w:ascii="Times New Roman" w:hAnsi="Times New Roman" w:cs="Times New Roman"/>
                <w:color w:val="auto"/>
                <w:kern w:val="0"/>
                <w:sz w:val="24"/>
                <w:highlight w:val="none"/>
              </w:rPr>
              <w:t>、CH</w:t>
            </w:r>
            <w:r>
              <w:rPr>
                <w:rFonts w:hint="default" w:ascii="Times New Roman" w:hAnsi="Times New Roman" w:cs="Times New Roman"/>
                <w:color w:val="auto"/>
                <w:kern w:val="0"/>
                <w:sz w:val="24"/>
                <w:highlight w:val="none"/>
                <w:vertAlign w:val="subscript"/>
              </w:rPr>
              <w:t>4</w:t>
            </w:r>
            <w:r>
              <w:rPr>
                <w:rFonts w:hint="default" w:ascii="Times New Roman" w:hAnsi="Times New Roman" w:cs="Times New Roman"/>
                <w:color w:val="auto"/>
                <w:kern w:val="0"/>
                <w:sz w:val="24"/>
                <w:highlight w:val="none"/>
              </w:rPr>
              <w:t>等，其中CO所占的比例最大。焊接烟尘粒子小，烟尘呈碎片状，粒径在0.1</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1.25μm左右含尘浓度约5.0</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10.5mg/m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，平均约8.6mg/m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kern w:val="0"/>
                <w:sz w:val="24"/>
                <w:highlight w:val="none"/>
              </w:rPr>
              <w:t>本项目采用CO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气体保护焊，</w:t>
            </w:r>
            <w:r>
              <w:rPr>
                <w:rFonts w:hint="default" w:ascii="Times New Roman" w:hAnsi="Times New Roman" w:cs="Times New Roman"/>
                <w:color w:val="auto"/>
                <w:sz w:val="24"/>
                <w:highlight w:val="none"/>
              </w:rPr>
              <w:t>使用的焊丝为药芯焊丝，</w:t>
            </w:r>
            <w:r>
              <w:rPr>
                <w:rFonts w:hint="default" w:ascii="Times New Roman" w:hAnsi="Times New Roman" w:cs="Times New Roman"/>
                <w:color w:val="auto"/>
                <w:kern w:val="0"/>
                <w:sz w:val="24"/>
                <w:highlight w:val="none"/>
              </w:rPr>
              <w:t>焊接烟尘主要污染物是Fe</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、SiO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、MnO。</w:t>
            </w:r>
            <w:r>
              <w:rPr>
                <w:rFonts w:hint="default" w:ascii="Times New Roman" w:hAnsi="Times New Roman" w:cs="Times New Roman"/>
                <w:color w:val="auto"/>
                <w:sz w:val="24"/>
                <w:highlight w:val="none"/>
                <w:lang w:val="en-US" w:eastAsia="zh-CN"/>
              </w:rPr>
              <w:t>参考</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cs="Times New Roman"/>
                <w:color w:val="auto"/>
                <w:sz w:val="24"/>
                <w:highlight w:val="none"/>
              </w:rPr>
              <w:t>（生态环境部办公厅2021年6月11日）中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33-37，431-434机械行业系数手册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第64页中09焊接</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lang w:val="en-US" w:eastAsia="zh-CN"/>
              </w:rPr>
              <w:t>具体产物系数见表4-3。</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3   焊接废气产生情况</w:t>
            </w:r>
          </w:p>
          <w:tbl>
            <w:tblPr>
              <w:tblStyle w:val="2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586"/>
              <w:gridCol w:w="962"/>
              <w:gridCol w:w="975"/>
              <w:gridCol w:w="914"/>
              <w:gridCol w:w="1186"/>
              <w:gridCol w:w="996"/>
              <w:gridCol w:w="137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工段名称</w:t>
                  </w:r>
                </w:p>
              </w:tc>
              <w:tc>
                <w:tcPr>
                  <w:tcW w:w="346" w:type="pct"/>
                  <w:vAlign w:val="center"/>
                </w:tcPr>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产品名称</w:t>
                  </w:r>
                </w:p>
              </w:tc>
              <w:tc>
                <w:tcPr>
                  <w:tcW w:w="568"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名称</w:t>
                  </w:r>
                </w:p>
              </w:tc>
              <w:tc>
                <w:tcPr>
                  <w:tcW w:w="57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工艺名称</w:t>
                  </w:r>
                </w:p>
              </w:tc>
              <w:tc>
                <w:tcPr>
                  <w:tcW w:w="540"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污染物指标</w:t>
                  </w:r>
                </w:p>
              </w:tc>
              <w:tc>
                <w:tcPr>
                  <w:tcW w:w="70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系数单位</w:t>
                  </w:r>
                </w:p>
              </w:tc>
              <w:tc>
                <w:tcPr>
                  <w:tcW w:w="588"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产污系数</w:t>
                  </w:r>
                </w:p>
              </w:tc>
              <w:tc>
                <w:tcPr>
                  <w:tcW w:w="81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技术名称</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焊接</w:t>
                  </w:r>
                </w:p>
              </w:tc>
              <w:tc>
                <w:tcPr>
                  <w:tcW w:w="346" w:type="pct"/>
                  <w:vMerge w:val="restart"/>
                  <w:vAlign w:val="center"/>
                </w:tcPr>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焊接件</w:t>
                  </w:r>
                </w:p>
              </w:tc>
              <w:tc>
                <w:tcPr>
                  <w:tcW w:w="568" w:type="pct"/>
                  <w:vMerge w:val="restar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药芯</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焊丝</w:t>
                  </w:r>
                </w:p>
              </w:tc>
              <w:tc>
                <w:tcPr>
                  <w:tcW w:w="576"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二氧化碳</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保护焊、</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埋弧焊、</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氩弧焊</w:t>
                  </w:r>
                </w:p>
              </w:tc>
              <w:tc>
                <w:tcPr>
                  <w:tcW w:w="540"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废气量</w:t>
                  </w:r>
                </w:p>
              </w:tc>
              <w:tc>
                <w:tcPr>
                  <w:tcW w:w="70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588"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2130193</w:t>
                  </w:r>
                </w:p>
              </w:tc>
              <w:tc>
                <w:tcPr>
                  <w:tcW w:w="814"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32"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p>
              </w:tc>
              <w:tc>
                <w:tcPr>
                  <w:tcW w:w="346" w:type="pct"/>
                  <w:vMerge w:val="continue"/>
                  <w:vAlign w:val="center"/>
                </w:tcPr>
                <w:p>
                  <w:pPr>
                    <w:pStyle w:val="45"/>
                    <w:spacing w:line="240" w:lineRule="auto"/>
                    <w:ind w:firstLine="0" w:firstLineChars="0"/>
                    <w:jc w:val="center"/>
                    <w:rPr>
                      <w:rFonts w:hint="default" w:ascii="Times New Roman" w:hAnsi="Times New Roman" w:cs="Times New Roman"/>
                      <w:b w:val="0"/>
                      <w:bCs w:val="0"/>
                      <w:color w:val="auto"/>
                      <w:highlight w:val="none"/>
                    </w:rPr>
                  </w:pPr>
                </w:p>
              </w:tc>
              <w:tc>
                <w:tcPr>
                  <w:tcW w:w="568"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57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540"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70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588"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20.5</w:t>
                  </w:r>
                </w:p>
              </w:tc>
              <w:tc>
                <w:tcPr>
                  <w:tcW w:w="81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其他（移动式烟尘净化器）</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346"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68"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7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40"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70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88"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81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bl>
          <w:p>
            <w:pPr>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使用</w:t>
            </w:r>
            <w:r>
              <w:rPr>
                <w:rFonts w:hint="default" w:ascii="Times New Roman" w:hAnsi="Times New Roman" w:cs="Times New Roman"/>
                <w:color w:val="auto"/>
                <w:sz w:val="24"/>
                <w:highlight w:val="none"/>
              </w:rPr>
              <w:t>药芯焊丝用量约为</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t/a，则焊接烟尘产生量为</w:t>
            </w:r>
            <w:r>
              <w:rPr>
                <w:rFonts w:hint="default" w:ascii="Times New Roman" w:hAnsi="Times New Roman" w:cs="Times New Roman"/>
                <w:color w:val="auto"/>
                <w:sz w:val="24"/>
                <w:highlight w:val="none"/>
                <w:lang w:val="en-US" w:eastAsia="zh-CN"/>
              </w:rPr>
              <w:t>1.23</w:t>
            </w:r>
            <w:r>
              <w:rPr>
                <w:rFonts w:hint="default" w:ascii="Times New Roman" w:hAnsi="Times New Roman" w:cs="Times New Roman"/>
                <w:color w:val="auto"/>
                <w:sz w:val="24"/>
                <w:highlight w:val="none"/>
              </w:rPr>
              <w:t>t/a。</w:t>
            </w:r>
          </w:p>
          <w:p>
            <w:pPr>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本环评要求</w:t>
            </w:r>
            <w:r>
              <w:rPr>
                <w:rFonts w:hint="default" w:ascii="Times New Roman" w:hAnsi="Times New Roman" w:cs="Times New Roman"/>
                <w:color w:val="auto"/>
                <w:kern w:val="0"/>
                <w:sz w:val="24"/>
                <w:highlight w:val="none"/>
              </w:rPr>
              <w:t>焊接工序设置移动式烟尘净化器对焊接过程中产生的焊接烟尘进行收集处理，处置效率为95%，处理后的烟气以无组织的形式排放。焊接烟尘产生及排放情况，见表4-</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 xml:space="preserve">4   </w:t>
            </w:r>
            <w:r>
              <w:rPr>
                <w:rFonts w:hint="default" w:ascii="Times New Roman" w:hAnsi="Times New Roman" w:cs="Times New Roman"/>
                <w:b/>
                <w:bCs/>
                <w:color w:val="auto"/>
                <w:highlight w:val="none"/>
              </w:rPr>
              <w:t>焊接工序烟尘产生及排放情况</w:t>
            </w:r>
          </w:p>
          <w:tbl>
            <w:tblPr>
              <w:tblStyle w:val="22"/>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848"/>
              <w:gridCol w:w="978"/>
              <w:gridCol w:w="1123"/>
              <w:gridCol w:w="1072"/>
              <w:gridCol w:w="1008"/>
              <w:gridCol w:w="1154"/>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污染物</w:t>
                  </w:r>
                </w:p>
              </w:tc>
              <w:tc>
                <w:tcPr>
                  <w:tcW w:w="1898"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产生情况</w:t>
                  </w:r>
                </w:p>
              </w:tc>
              <w:tc>
                <w:tcPr>
                  <w:tcW w:w="2049"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continue"/>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p>
              </w:tc>
              <w:tc>
                <w:tcPr>
                  <w:tcW w:w="585" w:type="pct"/>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产生量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7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64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c>
                <w:tcPr>
                  <w:tcW w:w="603"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排放量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9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755"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焊接</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烟尘</w:t>
                  </w: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无组织</w:t>
                  </w:r>
                </w:p>
              </w:tc>
              <w:tc>
                <w:tcPr>
                  <w:tcW w:w="58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w:t>
                  </w:r>
                </w:p>
              </w:tc>
              <w:tc>
                <w:tcPr>
                  <w:tcW w:w="67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0.82</w:t>
                  </w:r>
                </w:p>
              </w:tc>
              <w:tc>
                <w:tcPr>
                  <w:tcW w:w="64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w:t>
                  </w:r>
                </w:p>
              </w:tc>
              <w:tc>
                <w:tcPr>
                  <w:tcW w:w="60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0.062</w:t>
                  </w:r>
                </w:p>
              </w:tc>
              <w:tc>
                <w:tcPr>
                  <w:tcW w:w="69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0.041</w:t>
                  </w:r>
                </w:p>
              </w:tc>
              <w:tc>
                <w:tcPr>
                  <w:tcW w:w="75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000" w:type="pct"/>
                  <w:gridSpan w:val="8"/>
                  <w:tcBorders>
                    <w:left w:val="nil"/>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注：平均每天按5h计。</w:t>
                  </w:r>
                </w:p>
              </w:tc>
            </w:tr>
          </w:tbl>
          <w:p>
            <w:pPr>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（3）喷砂工序金属粉尘</w:t>
            </w:r>
          </w:p>
          <w:p>
            <w:pPr>
              <w:ind w:left="0" w:leftChars="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本项目焊接后的工件送入</w:t>
            </w:r>
            <w:r>
              <w:rPr>
                <w:rFonts w:hint="default" w:ascii="Times New Roman" w:hAnsi="Times New Roman" w:cs="Times New Roman"/>
                <w:color w:val="auto"/>
                <w:sz w:val="24"/>
                <w:highlight w:val="none"/>
                <w:lang w:val="en-US" w:eastAsia="zh-CN"/>
              </w:rPr>
              <w:t>全封闭</w:t>
            </w:r>
            <w:r>
              <w:rPr>
                <w:rFonts w:hint="default" w:ascii="Times New Roman" w:hAnsi="Times New Roman" w:eastAsia="宋体" w:cs="Times New Roman"/>
                <w:color w:val="auto"/>
                <w:sz w:val="24"/>
                <w:highlight w:val="none"/>
              </w:rPr>
              <w:t>喷砂房，</w:t>
            </w:r>
            <w:r>
              <w:rPr>
                <w:rFonts w:hint="default" w:ascii="Times New Roman" w:hAnsi="Times New Roman" w:cs="Times New Roman"/>
                <w:color w:val="auto"/>
                <w:sz w:val="24"/>
                <w:highlight w:val="none"/>
              </w:rPr>
              <w:t>对其表面打磨光滑、平整喷砂，以便喷漆。喷砂过程中粉尘主要为工件表面金属屑，其密度较大粉尘在喷砂房内易于沉降。在打磨、喷砂过程中产生少量的打磨、喷砂粉尘。</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本项目喷砂采用干式预处理，</w:t>
            </w:r>
            <w:r>
              <w:rPr>
                <w:rFonts w:hint="default" w:ascii="Times New Roman" w:hAnsi="Times New Roman" w:cs="Times New Roman"/>
                <w:color w:val="auto"/>
                <w:sz w:val="24"/>
                <w:highlight w:val="none"/>
                <w:lang w:val="en-US" w:eastAsia="zh-CN"/>
              </w:rPr>
              <w:t>参考</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cs="Times New Roman"/>
                <w:color w:val="auto"/>
                <w:sz w:val="24"/>
                <w:highlight w:val="none"/>
              </w:rPr>
              <w:t>（生态环境部办公厅2021年6月11日）中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33-37，431-434机械行业系数手册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第50页中06预处理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具体产物系数见表4-5。</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5   预处理废气产生情况</w:t>
            </w:r>
          </w:p>
          <w:tbl>
            <w:tblPr>
              <w:tblStyle w:val="22"/>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586"/>
              <w:gridCol w:w="1745"/>
              <w:gridCol w:w="819"/>
              <w:gridCol w:w="859"/>
              <w:gridCol w:w="1091"/>
              <w:gridCol w:w="791"/>
              <w:gridCol w:w="110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工段名称</w:t>
                  </w:r>
                </w:p>
              </w:tc>
              <w:tc>
                <w:tcPr>
                  <w:tcW w:w="346" w:type="pct"/>
                  <w:vAlign w:val="center"/>
                </w:tcPr>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产品名称</w:t>
                  </w:r>
                </w:p>
              </w:tc>
              <w:tc>
                <w:tcPr>
                  <w:tcW w:w="1031"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名称</w:t>
                  </w:r>
                </w:p>
              </w:tc>
              <w:tc>
                <w:tcPr>
                  <w:tcW w:w="48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工艺名称</w:t>
                  </w:r>
                </w:p>
              </w:tc>
              <w:tc>
                <w:tcPr>
                  <w:tcW w:w="50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污染物指标</w:t>
                  </w:r>
                </w:p>
              </w:tc>
              <w:tc>
                <w:tcPr>
                  <w:tcW w:w="64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系数单位</w:t>
                  </w:r>
                </w:p>
              </w:tc>
              <w:tc>
                <w:tcPr>
                  <w:tcW w:w="46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产污系数</w:t>
                  </w:r>
                </w:p>
              </w:tc>
              <w:tc>
                <w:tcPr>
                  <w:tcW w:w="65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技术名称</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31"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预处理</w:t>
                  </w:r>
                </w:p>
              </w:tc>
              <w:tc>
                <w:tcPr>
                  <w:tcW w:w="346" w:type="pct"/>
                  <w:vMerge w:val="restart"/>
                  <w:vAlign w:val="center"/>
                </w:tcPr>
                <w:p>
                  <w:pPr>
                    <w:pStyle w:val="45"/>
                    <w:spacing w:line="240" w:lineRule="auto"/>
                    <w:ind w:firstLine="0" w:firstLineChars="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干式</w:t>
                  </w:r>
                </w:p>
                <w:p>
                  <w:pPr>
                    <w:pStyle w:val="45"/>
                    <w:spacing w:line="240" w:lineRule="auto"/>
                    <w:ind w:firstLine="0" w:firstLineChars="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预处</w:t>
                  </w:r>
                </w:p>
                <w:p>
                  <w:pPr>
                    <w:pStyle w:val="45"/>
                    <w:spacing w:line="240" w:lineRule="auto"/>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理件</w:t>
                  </w:r>
                </w:p>
              </w:tc>
              <w:tc>
                <w:tcPr>
                  <w:tcW w:w="1031" w:type="pct"/>
                  <w:vMerge w:val="restar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钢材（含板材、构件等）、铝材（含板材、构件等）、铝合金（含板材、构件等）、铁材、其它金属材料</w:t>
                  </w:r>
                </w:p>
              </w:tc>
              <w:tc>
                <w:tcPr>
                  <w:tcW w:w="484"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抛丸、</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喷砂、</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打磨、</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滚筒</w:t>
                  </w:r>
                </w:p>
              </w:tc>
              <w:tc>
                <w:tcPr>
                  <w:tcW w:w="50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废气量</w:t>
                  </w:r>
                </w:p>
              </w:tc>
              <w:tc>
                <w:tcPr>
                  <w:tcW w:w="64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46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8500</w:t>
                  </w:r>
                </w:p>
              </w:tc>
              <w:tc>
                <w:tcPr>
                  <w:tcW w:w="653"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32"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p>
              </w:tc>
              <w:tc>
                <w:tcPr>
                  <w:tcW w:w="346" w:type="pct"/>
                  <w:vMerge w:val="continue"/>
                  <w:vAlign w:val="center"/>
                </w:tcPr>
                <w:p>
                  <w:pPr>
                    <w:pStyle w:val="45"/>
                    <w:spacing w:line="240" w:lineRule="auto"/>
                    <w:ind w:firstLine="0" w:firstLineChars="0"/>
                    <w:jc w:val="center"/>
                    <w:rPr>
                      <w:rFonts w:hint="default" w:ascii="Times New Roman" w:hAnsi="Times New Roman" w:cs="Times New Roman"/>
                      <w:b w:val="0"/>
                      <w:bCs w:val="0"/>
                      <w:color w:val="auto"/>
                      <w:highlight w:val="none"/>
                    </w:rPr>
                  </w:pPr>
                </w:p>
              </w:tc>
              <w:tc>
                <w:tcPr>
                  <w:tcW w:w="103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48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50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645"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46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2.19</w:t>
                  </w:r>
                </w:p>
              </w:tc>
              <w:tc>
                <w:tcPr>
                  <w:tcW w:w="65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袋式除尘</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1"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346"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103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48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0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645"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46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65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bl>
          <w:p>
            <w:pPr>
              <w:overflowPunct w:val="0"/>
              <w:adjustRightInd w:val="0"/>
              <w:snapToGrid w:val="0"/>
              <w:spacing w:line="360" w:lineRule="auto"/>
              <w:ind w:left="0" w:leftChars="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本项目使用</w:t>
            </w:r>
            <w:r>
              <w:rPr>
                <w:rFonts w:hint="default" w:ascii="Times New Roman" w:hAnsi="Times New Roman" w:cs="Times New Roman"/>
                <w:color w:val="auto"/>
                <w:sz w:val="24"/>
                <w:highlight w:val="none"/>
                <w:lang w:eastAsia="zh-CN"/>
              </w:rPr>
              <w:t>槽钢</w:t>
            </w:r>
            <w:r>
              <w:rPr>
                <w:rFonts w:hint="default" w:ascii="Times New Roman" w:hAnsi="Times New Roman" w:cs="Times New Roman"/>
                <w:color w:val="auto"/>
                <w:sz w:val="24"/>
                <w:highlight w:val="none"/>
                <w:lang w:val="en-US" w:eastAsia="zh-CN"/>
              </w:rPr>
              <w:t>400t/a</w:t>
            </w:r>
            <w:r>
              <w:rPr>
                <w:rFonts w:hint="default" w:ascii="Times New Roman" w:hAnsi="Times New Roman" w:cs="Times New Roman"/>
                <w:color w:val="auto"/>
                <w:sz w:val="24"/>
                <w:highlight w:val="none"/>
                <w:lang w:eastAsia="zh-CN"/>
              </w:rPr>
              <w:t>、方管</w:t>
            </w:r>
            <w:r>
              <w:rPr>
                <w:rFonts w:hint="default" w:ascii="Times New Roman" w:hAnsi="Times New Roman" w:cs="Times New Roman"/>
                <w:color w:val="auto"/>
                <w:sz w:val="24"/>
                <w:highlight w:val="none"/>
                <w:lang w:val="en-US" w:eastAsia="zh-CN"/>
              </w:rPr>
              <w:t>1000t/a</w:t>
            </w:r>
            <w:r>
              <w:rPr>
                <w:rFonts w:hint="default" w:ascii="Times New Roman" w:hAnsi="Times New Roman" w:cs="Times New Roman"/>
                <w:color w:val="auto"/>
                <w:sz w:val="24"/>
                <w:highlight w:val="none"/>
                <w:lang w:eastAsia="zh-CN"/>
              </w:rPr>
              <w:t>、热板</w:t>
            </w:r>
            <w:r>
              <w:rPr>
                <w:rFonts w:hint="default" w:ascii="Times New Roman" w:hAnsi="Times New Roman" w:cs="Times New Roman"/>
                <w:color w:val="auto"/>
                <w:sz w:val="24"/>
                <w:highlight w:val="none"/>
                <w:lang w:val="en-US" w:eastAsia="zh-CN"/>
              </w:rPr>
              <w:t>750t/a</w:t>
            </w:r>
            <w:r>
              <w:rPr>
                <w:rFonts w:hint="default" w:ascii="Times New Roman" w:hAnsi="Times New Roman" w:cs="Times New Roman"/>
                <w:color w:val="auto"/>
                <w:sz w:val="24"/>
                <w:highlight w:val="none"/>
                <w:lang w:eastAsia="zh-CN"/>
              </w:rPr>
              <w:t>、角钢</w:t>
            </w:r>
            <w:r>
              <w:rPr>
                <w:rFonts w:hint="default" w:ascii="Times New Roman" w:hAnsi="Times New Roman" w:cs="Times New Roman"/>
                <w:color w:val="auto"/>
                <w:sz w:val="24"/>
                <w:highlight w:val="none"/>
                <w:lang w:val="en-US" w:eastAsia="zh-CN"/>
              </w:rPr>
              <w:t>50t/a等共计2200t/a，根据建设单位提供的资料，切割工序产生的金属碎屑及边角料量约为原料量的0.5%，金属碎屑及边角料产生量为11t/a，</w:t>
            </w:r>
            <w:r>
              <w:rPr>
                <w:rFonts w:hint="eastAsia" w:ascii="Times New Roman" w:hAnsi="Times New Roman" w:cs="Times New Roman"/>
                <w:color w:val="auto"/>
                <w:sz w:val="24"/>
                <w:highlight w:val="none"/>
                <w:lang w:val="en-US" w:eastAsia="zh-CN"/>
              </w:rPr>
              <w:t>则喷砂原料量为2189t/a，</w:t>
            </w:r>
            <w:r>
              <w:rPr>
                <w:rFonts w:hint="default" w:ascii="Times New Roman" w:hAnsi="Times New Roman" w:cs="Times New Roman"/>
                <w:color w:val="auto"/>
                <w:sz w:val="24"/>
                <w:highlight w:val="none"/>
                <w:lang w:val="en-US" w:eastAsia="zh-CN"/>
              </w:rPr>
              <w:t>金属粉尘</w:t>
            </w:r>
            <w:r>
              <w:rPr>
                <w:rFonts w:hint="default" w:ascii="Times New Roman" w:hAnsi="Times New Roman" w:cs="Times New Roman"/>
                <w:color w:val="auto"/>
                <w:highlight w:val="none"/>
              </w:rPr>
              <w:t>产生量为</w:t>
            </w:r>
            <w:r>
              <w:rPr>
                <w:rFonts w:hint="eastAsia" w:ascii="Times New Roman" w:hAnsi="Times New Roman" w:cs="Times New Roman"/>
                <w:color w:val="auto"/>
                <w:highlight w:val="none"/>
                <w:lang w:val="en-US" w:eastAsia="zh-CN"/>
              </w:rPr>
              <w:t>4.79</w:t>
            </w:r>
            <w:r>
              <w:rPr>
                <w:rFonts w:hint="default" w:ascii="Times New Roman" w:hAnsi="Times New Roman" w:cs="Times New Roman"/>
                <w:color w:val="auto"/>
                <w:highlight w:val="none"/>
              </w:rPr>
              <w:t>t/a。</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highlight w:val="none"/>
              </w:rPr>
              <w:t>本环评要求企业在</w:t>
            </w:r>
            <w:r>
              <w:rPr>
                <w:rFonts w:hint="default" w:ascii="Times New Roman" w:hAnsi="Times New Roman" w:cs="Times New Roman"/>
                <w:color w:val="auto"/>
                <w:highlight w:val="none"/>
                <w:lang w:val="en-US" w:eastAsia="zh-CN"/>
              </w:rPr>
              <w:t>喷砂工序</w:t>
            </w:r>
            <w:r>
              <w:rPr>
                <w:rFonts w:hint="default" w:ascii="Times New Roman" w:hAnsi="Times New Roman" w:eastAsia="宋体" w:cs="Times New Roman"/>
                <w:color w:val="auto"/>
                <w:sz w:val="24"/>
                <w:highlight w:val="none"/>
                <w:lang w:val="en-US" w:eastAsia="zh-CN"/>
              </w:rPr>
              <w:t>处设置</w:t>
            </w:r>
            <w:r>
              <w:rPr>
                <w:rFonts w:hint="default" w:ascii="Times New Roman" w:hAnsi="Times New Roman" w:cs="Times New Roman"/>
                <w:color w:val="auto"/>
                <w:highlight w:val="none"/>
              </w:rPr>
              <w:t>集气罩，废气经</w:t>
            </w:r>
            <w:r>
              <w:rPr>
                <w:rFonts w:hint="eastAsia" w:cs="Times New Roman"/>
                <w:color w:val="auto"/>
                <w:highlight w:val="none"/>
                <w:lang w:val="en-US" w:eastAsia="zh-CN"/>
              </w:rPr>
              <w:t>收集后，送至</w:t>
            </w:r>
            <w:r>
              <w:rPr>
                <w:rFonts w:hint="default" w:ascii="Times New Roman" w:hAnsi="Times New Roman" w:cs="Times New Roman"/>
                <w:color w:val="auto"/>
                <w:highlight w:val="none"/>
              </w:rPr>
              <w:t>布袋除尘器处理后，通过1根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收尘效率不低于</w:t>
            </w: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%，密闭厂房，处理效率按</w:t>
            </w: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%计，则项目</w:t>
            </w:r>
            <w:r>
              <w:rPr>
                <w:rFonts w:hint="eastAsia" w:cs="Times New Roman"/>
                <w:color w:val="auto"/>
                <w:highlight w:val="none"/>
                <w:lang w:val="en-US" w:eastAsia="zh-CN"/>
              </w:rPr>
              <w:t>喷砂工序</w:t>
            </w:r>
            <w:r>
              <w:rPr>
                <w:rFonts w:hint="default" w:ascii="Times New Roman" w:hAnsi="Times New Roman" w:cs="Times New Roman"/>
                <w:color w:val="auto"/>
                <w:highlight w:val="none"/>
              </w:rPr>
              <w:t>粉尘有组织产生量</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eastAsia" w:cs="Times New Roman"/>
                <w:color w:val="auto"/>
                <w:highlight w:val="none"/>
                <w:lang w:val="en-US" w:eastAsia="zh-CN"/>
              </w:rPr>
              <w:t>4.31</w:t>
            </w:r>
            <w:r>
              <w:rPr>
                <w:rFonts w:hint="default" w:ascii="Times New Roman" w:hAnsi="Times New Roman" w:cs="Times New Roman"/>
                <w:color w:val="auto"/>
                <w:highlight w:val="none"/>
              </w:rPr>
              <w:t>t/a，粉尘产生速率为</w:t>
            </w:r>
            <w:r>
              <w:rPr>
                <w:rFonts w:hint="eastAsia" w:cs="Times New Roman"/>
                <w:color w:val="auto"/>
                <w:highlight w:val="none"/>
                <w:lang w:val="en-US" w:eastAsia="zh-CN"/>
              </w:rPr>
              <w:t>1.8</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w:t>
            </w:r>
            <w:r>
              <w:rPr>
                <w:rFonts w:hint="eastAsia" w:cs="Times New Roman"/>
                <w:color w:val="auto"/>
                <w:sz w:val="24"/>
                <w:szCs w:val="24"/>
                <w:highlight w:val="none"/>
                <w:vertAlign w:val="baseline"/>
                <w:lang w:val="en-US" w:eastAsia="zh-CN"/>
              </w:rPr>
              <w:t>600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；经除尘后</w:t>
            </w:r>
            <w:r>
              <w:rPr>
                <w:rFonts w:hint="default" w:ascii="Times New Roman" w:hAnsi="Times New Roman" w:cs="Times New Roman"/>
                <w:color w:val="auto"/>
                <w:highlight w:val="none"/>
                <w:lang w:val="en-US" w:eastAsia="zh-CN"/>
              </w:rPr>
              <w:t>金属</w:t>
            </w:r>
            <w:r>
              <w:rPr>
                <w:rFonts w:hint="default" w:ascii="Times New Roman" w:hAnsi="Times New Roman" w:cs="Times New Roman"/>
                <w:color w:val="auto"/>
                <w:highlight w:val="none"/>
              </w:rPr>
              <w:t>粉尘有组织排放量</w:t>
            </w:r>
            <w:r>
              <w:rPr>
                <w:rFonts w:hint="default" w:ascii="Times New Roman" w:hAnsi="Times New Roman" w:cs="Times New Roman"/>
                <w:color w:val="auto"/>
                <w:highlight w:val="none"/>
                <w:lang w:val="en-US" w:eastAsia="zh-CN"/>
              </w:rPr>
              <w:t>约为</w:t>
            </w:r>
            <w:r>
              <w:rPr>
                <w:rFonts w:hint="eastAsia" w:cs="Times New Roman"/>
                <w:color w:val="auto"/>
                <w:highlight w:val="none"/>
                <w:lang w:val="en-US" w:eastAsia="zh-CN"/>
              </w:rPr>
              <w:t>0.216</w:t>
            </w:r>
            <w:r>
              <w:rPr>
                <w:rFonts w:hint="default" w:ascii="Times New Roman" w:hAnsi="Times New Roman" w:cs="Times New Roman"/>
                <w:color w:val="auto"/>
                <w:highlight w:val="none"/>
              </w:rPr>
              <w:t>t/a，排放速率为</w:t>
            </w:r>
            <w:r>
              <w:rPr>
                <w:rFonts w:hint="eastAsia" w:cs="Times New Roman"/>
                <w:color w:val="auto"/>
                <w:highlight w:val="none"/>
                <w:lang w:val="en-US" w:eastAsia="zh-CN"/>
              </w:rPr>
              <w:t>0.09</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vertAlign w:val="baseline"/>
                <w:lang w:val="en-US" w:eastAsia="zh-CN"/>
              </w:rPr>
              <w:t>排放浓度</w:t>
            </w:r>
            <w:r>
              <w:rPr>
                <w:rFonts w:hint="eastAsia" w:cs="Times New Roman"/>
                <w:color w:val="auto"/>
                <w:sz w:val="24"/>
                <w:szCs w:val="24"/>
                <w:highlight w:val="none"/>
                <w:vertAlign w:val="baseline"/>
                <w:lang w:val="en-US" w:eastAsia="zh-CN"/>
              </w:rPr>
              <w:t>30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此工序无组织</w:t>
            </w:r>
            <w:r>
              <w:rPr>
                <w:rFonts w:hint="default" w:ascii="Times New Roman" w:hAnsi="Times New Roman" w:cs="Times New Roman"/>
                <w:color w:val="auto"/>
                <w:highlight w:val="none"/>
                <w:lang w:val="en-US" w:eastAsia="zh-CN"/>
              </w:rPr>
              <w:t>金属粉尘</w:t>
            </w:r>
            <w:r>
              <w:rPr>
                <w:rFonts w:hint="default" w:ascii="Times New Roman" w:hAnsi="Times New Roman" w:cs="Times New Roman"/>
                <w:color w:val="auto"/>
                <w:sz w:val="24"/>
                <w:szCs w:val="24"/>
                <w:highlight w:val="none"/>
                <w:vertAlign w:val="baseline"/>
                <w:lang w:val="en-US" w:eastAsia="zh-CN"/>
              </w:rPr>
              <w:t>产生量约</w:t>
            </w:r>
            <w:r>
              <w:rPr>
                <w:rFonts w:hint="eastAsia" w:cs="Times New Roman"/>
                <w:color w:val="auto"/>
                <w:sz w:val="24"/>
                <w:szCs w:val="24"/>
                <w:highlight w:val="none"/>
                <w:vertAlign w:val="baseline"/>
                <w:lang w:val="en-US" w:eastAsia="zh-CN"/>
              </w:rPr>
              <w:t>0.48</w:t>
            </w:r>
            <w:r>
              <w:rPr>
                <w:rFonts w:hint="default" w:ascii="Times New Roman" w:hAnsi="Times New Roman" w:cs="Times New Roman"/>
                <w:color w:val="auto"/>
                <w:sz w:val="24"/>
                <w:szCs w:val="24"/>
                <w:highlight w:val="none"/>
                <w:vertAlign w:val="baseline"/>
                <w:lang w:val="en-US" w:eastAsia="zh-CN"/>
              </w:rPr>
              <w:t>为t/a，产生速率</w:t>
            </w:r>
            <w:r>
              <w:rPr>
                <w:rFonts w:hint="eastAsia" w:cs="Times New Roman"/>
                <w:color w:val="auto"/>
                <w:sz w:val="24"/>
                <w:szCs w:val="24"/>
                <w:highlight w:val="none"/>
                <w:vertAlign w:val="baseline"/>
                <w:lang w:val="en-US" w:eastAsia="zh-CN"/>
              </w:rPr>
              <w:t>0.2</w:t>
            </w:r>
            <w:r>
              <w:rPr>
                <w:rFonts w:hint="default" w:ascii="Times New Roman" w:hAnsi="Times New Roman" w:cs="Times New Roman"/>
                <w:color w:val="auto"/>
                <w:sz w:val="24"/>
                <w:szCs w:val="24"/>
                <w:highlight w:val="none"/>
                <w:vertAlign w:val="baseline"/>
                <w:lang w:val="en-US" w:eastAsia="zh-CN"/>
              </w:rPr>
              <w:t>kg/h</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喷砂产生</w:t>
            </w:r>
            <w:r>
              <w:rPr>
                <w:rFonts w:hint="default" w:ascii="Times New Roman" w:hAnsi="Times New Roman" w:cs="Times New Roman"/>
                <w:color w:val="auto"/>
                <w:sz w:val="24"/>
                <w:szCs w:val="24"/>
                <w:highlight w:val="none"/>
                <w:vertAlign w:val="baseline"/>
                <w:lang w:val="en-US" w:eastAsia="zh-CN"/>
              </w:rPr>
              <w:t>金属粉尘密度比重较大，大部分沉降在车间内，按90%计，无组织</w:t>
            </w:r>
            <w:r>
              <w:rPr>
                <w:rFonts w:hint="default" w:ascii="Times New Roman" w:hAnsi="Times New Roman" w:cs="Times New Roman"/>
                <w:color w:val="auto"/>
                <w:highlight w:val="none"/>
                <w:lang w:val="en-US" w:eastAsia="zh-CN"/>
              </w:rPr>
              <w:t>金属粉尘</w:t>
            </w:r>
            <w:r>
              <w:rPr>
                <w:rFonts w:hint="default" w:ascii="Times New Roman" w:hAnsi="Times New Roman" w:cs="Times New Roman"/>
                <w:color w:val="auto"/>
                <w:sz w:val="24"/>
                <w:szCs w:val="24"/>
                <w:highlight w:val="none"/>
                <w:vertAlign w:val="baseline"/>
                <w:lang w:val="en-US" w:eastAsia="zh-CN"/>
              </w:rPr>
              <w:t>排放量为</w:t>
            </w:r>
            <w:r>
              <w:rPr>
                <w:rFonts w:hint="eastAsia" w:cs="Times New Roman"/>
                <w:color w:val="auto"/>
                <w:sz w:val="24"/>
                <w:szCs w:val="24"/>
                <w:highlight w:val="none"/>
                <w:vertAlign w:val="baseline"/>
                <w:lang w:val="en-US" w:eastAsia="zh-CN"/>
              </w:rPr>
              <w:t>0.048</w:t>
            </w:r>
            <w:r>
              <w:rPr>
                <w:rFonts w:hint="default" w:ascii="Times New Roman" w:hAnsi="Times New Roman" w:cs="Times New Roman"/>
                <w:color w:val="auto"/>
                <w:sz w:val="24"/>
                <w:szCs w:val="24"/>
                <w:highlight w:val="none"/>
                <w:vertAlign w:val="baseline"/>
                <w:lang w:val="en-US" w:eastAsia="zh-CN"/>
              </w:rPr>
              <w:t>t/a，排放速率</w:t>
            </w:r>
            <w:r>
              <w:rPr>
                <w:rFonts w:hint="eastAsia" w:cs="Times New Roman"/>
                <w:color w:val="auto"/>
                <w:sz w:val="24"/>
                <w:szCs w:val="24"/>
                <w:highlight w:val="none"/>
                <w:vertAlign w:val="baseline"/>
                <w:lang w:val="en-US" w:eastAsia="zh-CN"/>
              </w:rPr>
              <w:t>0.02</w:t>
            </w:r>
            <w:r>
              <w:rPr>
                <w:rFonts w:hint="default" w:ascii="Times New Roman" w:hAnsi="Times New Roman" w:cs="Times New Roman"/>
                <w:color w:val="auto"/>
                <w:sz w:val="24"/>
                <w:szCs w:val="24"/>
                <w:highlight w:val="none"/>
                <w:vertAlign w:val="baseline"/>
                <w:lang w:val="en-US" w:eastAsia="zh-CN"/>
              </w:rPr>
              <w:t>kg/h。</w:t>
            </w:r>
          </w:p>
          <w:p>
            <w:pPr>
              <w:widowControl/>
              <w:ind w:firstLine="48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highlight w:val="none"/>
                <w:lang w:val="en-US" w:eastAsia="zh-CN"/>
              </w:rPr>
              <w:t>喷砂工序金属粉尘产生及排放情况</w:t>
            </w:r>
            <w:r>
              <w:rPr>
                <w:rFonts w:hint="default" w:ascii="Times New Roman" w:hAnsi="Times New Roman" w:cs="Times New Roman"/>
                <w:color w:val="auto"/>
                <w:highlight w:val="none"/>
              </w:rPr>
              <w:t>，见表4-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6   喷砂工</w:t>
            </w:r>
            <w:r>
              <w:rPr>
                <w:rFonts w:hint="default" w:ascii="Times New Roman" w:hAnsi="Times New Roman" w:cs="Times New Roman"/>
                <w:b/>
                <w:bCs/>
                <w:color w:val="auto"/>
                <w:highlight w:val="none"/>
              </w:rPr>
              <w:t>序金属粉尘产生及排放情况</w:t>
            </w:r>
          </w:p>
          <w:tbl>
            <w:tblPr>
              <w:tblStyle w:val="22"/>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49"/>
              <w:gridCol w:w="979"/>
              <w:gridCol w:w="1124"/>
              <w:gridCol w:w="1073"/>
              <w:gridCol w:w="1009"/>
              <w:gridCol w:w="1156"/>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污染物</w:t>
                  </w:r>
                </w:p>
              </w:tc>
              <w:tc>
                <w:tcPr>
                  <w:tcW w:w="1898"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产生情况</w:t>
                  </w:r>
                </w:p>
              </w:tc>
              <w:tc>
                <w:tcPr>
                  <w:tcW w:w="2050"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continue"/>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p>
              </w:tc>
              <w:tc>
                <w:tcPr>
                  <w:tcW w:w="585" w:type="pct"/>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产生量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7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64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c>
                <w:tcPr>
                  <w:tcW w:w="603"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排放量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9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755"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颗粒物</w:t>
                  </w: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有组织</w:t>
                  </w:r>
                </w:p>
              </w:tc>
              <w:tc>
                <w:tcPr>
                  <w:tcW w:w="585"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4.31</w:t>
                  </w:r>
                </w:p>
              </w:tc>
              <w:tc>
                <w:tcPr>
                  <w:tcW w:w="67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w:t>
                  </w:r>
                </w:p>
              </w:tc>
              <w:tc>
                <w:tcPr>
                  <w:tcW w:w="64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w:t>
                  </w:r>
                </w:p>
              </w:tc>
              <w:tc>
                <w:tcPr>
                  <w:tcW w:w="603"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0.216</w:t>
                  </w:r>
                </w:p>
              </w:tc>
              <w:tc>
                <w:tcPr>
                  <w:tcW w:w="69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0.09</w:t>
                  </w:r>
                </w:p>
              </w:tc>
              <w:tc>
                <w:tcPr>
                  <w:tcW w:w="755"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无组织</w:t>
                  </w:r>
                </w:p>
              </w:tc>
              <w:tc>
                <w:tcPr>
                  <w:tcW w:w="58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0.48</w:t>
                  </w:r>
                </w:p>
              </w:tc>
              <w:tc>
                <w:tcPr>
                  <w:tcW w:w="67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4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w:t>
                  </w:r>
                </w:p>
              </w:tc>
              <w:tc>
                <w:tcPr>
                  <w:tcW w:w="1009" w:type="dxa"/>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0.048</w:t>
                  </w:r>
                </w:p>
              </w:tc>
              <w:tc>
                <w:tcPr>
                  <w:tcW w:w="1156" w:type="dxa"/>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755"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bl>
          <w:p>
            <w:pPr>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（4）喷漆工序废气</w:t>
            </w:r>
          </w:p>
          <w:p>
            <w:pPr>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调漆、喷漆、烘干均在</w:t>
            </w:r>
            <w:r>
              <w:rPr>
                <w:rFonts w:hint="default" w:ascii="Times New Roman" w:hAnsi="Times New Roman" w:cs="Times New Roman"/>
                <w:color w:val="auto"/>
                <w:highlight w:val="none"/>
                <w:lang w:val="en-US" w:eastAsia="zh-CN"/>
              </w:rPr>
              <w:t>全封闭</w:t>
            </w:r>
            <w:r>
              <w:rPr>
                <w:rFonts w:hint="default" w:ascii="Times New Roman" w:hAnsi="Times New Roman" w:cs="Times New Roman"/>
                <w:color w:val="auto"/>
                <w:highlight w:val="none"/>
              </w:rPr>
              <w:t>喷漆房内进行，采用自动喷涂。底漆喷涂后送入</w:t>
            </w:r>
            <w:r>
              <w:rPr>
                <w:rFonts w:hint="default" w:ascii="Times New Roman" w:hAnsi="Times New Roman" w:cs="Times New Roman"/>
                <w:color w:val="auto"/>
                <w:highlight w:val="none"/>
                <w:lang w:val="en-US" w:eastAsia="zh-CN"/>
              </w:rPr>
              <w:t>电加热</w:t>
            </w:r>
            <w:r>
              <w:rPr>
                <w:rFonts w:hint="default" w:ascii="Times New Roman" w:hAnsi="Times New Roman" w:cs="Times New Roman"/>
                <w:color w:val="auto"/>
                <w:highlight w:val="none"/>
              </w:rPr>
              <w:t>烘干室间接烘干后再进行面漆喷涂，面漆喷涂后再次进行烘干。</w:t>
            </w:r>
            <w:r>
              <w:rPr>
                <w:rFonts w:hint="default" w:ascii="Times New Roman" w:hAnsi="Times New Roman" w:cs="Times New Roman"/>
                <w:color w:val="auto"/>
                <w:highlight w:val="none"/>
                <w:lang w:val="en-US" w:eastAsia="zh-CN"/>
              </w:rPr>
              <w:t>喷漆</w:t>
            </w:r>
            <w:r>
              <w:rPr>
                <w:rFonts w:hint="default" w:ascii="Times New Roman" w:hAnsi="Times New Roman" w:cs="Times New Roman"/>
                <w:color w:val="auto"/>
                <w:highlight w:val="none"/>
              </w:rPr>
              <w:t>时油漆在高压作用下雾化成漆雾，大部分漆雾附着在工件表面，其余逸散在喷漆室内，会产生漆雾颗粒和VOCs，喷漆结束烤漆过程中，</w:t>
            </w:r>
            <w:r>
              <w:rPr>
                <w:rFonts w:hint="default" w:ascii="Times New Roman" w:hAnsi="Times New Roman" w:cs="Times New Roman"/>
                <w:color w:val="auto"/>
                <w:highlight w:val="none"/>
                <w:lang w:val="en-US" w:eastAsia="zh-CN"/>
              </w:rPr>
              <w:t>油</w:t>
            </w:r>
            <w:r>
              <w:rPr>
                <w:rFonts w:hint="default" w:ascii="Times New Roman" w:hAnsi="Times New Roman" w:cs="Times New Roman"/>
                <w:color w:val="auto"/>
                <w:highlight w:val="none"/>
              </w:rPr>
              <w:t>漆中的挥发性有机物以VOCs的形式挥发出来，以非甲烷总烃计</w:t>
            </w:r>
            <w:r>
              <w:rPr>
                <w:rFonts w:hint="default" w:ascii="Times New Roman" w:hAnsi="Times New Roman" w:cs="Times New Roman"/>
                <w:color w:val="auto"/>
                <w:sz w:val="24"/>
                <w:highlight w:val="none"/>
              </w:rPr>
              <w:t>。</w:t>
            </w:r>
          </w:p>
          <w:bookmarkEnd w:id="6"/>
          <w:bookmarkEnd w:id="7"/>
          <w:p>
            <w:pPr>
              <w:spacing w:line="360" w:lineRule="auto"/>
              <w:ind w:firstLine="480" w:firstLineChars="200"/>
              <w:rPr>
                <w:rFonts w:hint="default" w:ascii="Times New Roman" w:hAnsi="Times New Roman" w:cs="Times New Roman"/>
                <w:b/>
                <w:bCs/>
                <w:color w:val="auto"/>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采用</w:t>
            </w:r>
            <w:r>
              <w:rPr>
                <w:rFonts w:hint="default" w:ascii="Times New Roman" w:hAnsi="Times New Roman" w:cs="Times New Roman"/>
                <w:color w:val="auto"/>
                <w:sz w:val="24"/>
                <w:highlight w:val="none"/>
                <w:lang w:val="en-US" w:eastAsia="zh-CN"/>
              </w:rPr>
              <w:t>电加热处理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参考</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cs="Times New Roman"/>
                <w:color w:val="auto"/>
                <w:sz w:val="24"/>
                <w:highlight w:val="none"/>
              </w:rPr>
              <w:t>（生态环境部办公厅2021年6月11日）中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33-37，431-434机械行业系数手册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第88页中14涂装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具体产物系数见表4-7。</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7  涂装废气产生情况</w:t>
            </w:r>
          </w:p>
          <w:tbl>
            <w:tblPr>
              <w:tblStyle w:val="22"/>
              <w:tblW w:w="49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600"/>
              <w:gridCol w:w="895"/>
              <w:gridCol w:w="905"/>
              <w:gridCol w:w="838"/>
              <w:gridCol w:w="1028"/>
              <w:gridCol w:w="1203"/>
              <w:gridCol w:w="130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63"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工段名称</w:t>
                  </w:r>
                </w:p>
              </w:tc>
              <w:tc>
                <w:tcPr>
                  <w:tcW w:w="363" w:type="pct"/>
                  <w:vAlign w:val="center"/>
                </w:tcPr>
                <w:p>
                  <w:pPr>
                    <w:pStyle w:val="45"/>
                    <w:ind w:firstLine="0" w:firstLineChars="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产品名称</w:t>
                  </w:r>
                </w:p>
              </w:tc>
              <w:tc>
                <w:tcPr>
                  <w:tcW w:w="541"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原料名称</w:t>
                  </w:r>
                </w:p>
              </w:tc>
              <w:tc>
                <w:tcPr>
                  <w:tcW w:w="54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工艺名称</w:t>
                  </w:r>
                </w:p>
              </w:tc>
              <w:tc>
                <w:tcPr>
                  <w:tcW w:w="50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污染物指标</w:t>
                  </w:r>
                </w:p>
              </w:tc>
              <w:tc>
                <w:tcPr>
                  <w:tcW w:w="62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系数单位</w:t>
                  </w:r>
                </w:p>
              </w:tc>
              <w:tc>
                <w:tcPr>
                  <w:tcW w:w="7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产污系数</w:t>
                  </w: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技术名称</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63"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lang w:val="en-US" w:eastAsia="zh-CN"/>
                    </w:rPr>
                    <w:t>涂装</w:t>
                  </w:r>
                </w:p>
              </w:tc>
              <w:tc>
                <w:tcPr>
                  <w:tcW w:w="363" w:type="pct"/>
                  <w:vMerge w:val="restart"/>
                  <w:vAlign w:val="center"/>
                </w:tcPr>
                <w:p>
                  <w:pPr>
                    <w:pStyle w:val="45"/>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val="en-US" w:eastAsia="zh-CN"/>
                    </w:rPr>
                    <w:t>涂装件</w:t>
                  </w:r>
                </w:p>
              </w:tc>
              <w:tc>
                <w:tcPr>
                  <w:tcW w:w="541" w:type="pct"/>
                  <w:vMerge w:val="restar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底漆、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中涂漆、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面漆、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罩光漆、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彩条漆、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vertAlign w:val="baseline"/>
                      <w:lang w:val="en-US" w:eastAsia="zh-CN"/>
                    </w:rPr>
                    <w:t>稀释剂</w:t>
                  </w:r>
                </w:p>
              </w:tc>
              <w:tc>
                <w:tcPr>
                  <w:tcW w:w="54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喷漆（油性漆）</w:t>
                  </w:r>
                </w:p>
              </w:tc>
              <w:tc>
                <w:tcPr>
                  <w:tcW w:w="50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工业废气量</w:t>
                  </w:r>
                </w:p>
              </w:tc>
              <w:tc>
                <w:tcPr>
                  <w:tcW w:w="62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7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5612499</w:t>
                  </w:r>
                </w:p>
              </w:tc>
              <w:tc>
                <w:tcPr>
                  <w:tcW w:w="789"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39"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363" w:type="pct"/>
                  <w:vMerge w:val="continue"/>
                  <w:vAlign w:val="center"/>
                </w:tcPr>
                <w:p>
                  <w:pPr>
                    <w:pStyle w:val="45"/>
                    <w:spacing w:line="240" w:lineRule="auto"/>
                    <w:ind w:firstLine="0" w:firstLineChars="0"/>
                    <w:jc w:val="center"/>
                    <w:rPr>
                      <w:rFonts w:hint="default" w:ascii="Times New Roman" w:hAnsi="Times New Roman" w:cs="Times New Roman"/>
                      <w:b w:val="0"/>
                      <w:bCs w:val="0"/>
                      <w:color w:val="auto"/>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06"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62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72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486</w:t>
                  </w: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吸附/催化燃烧法</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363" w:type="pct"/>
                  <w:vMerge w:val="continue"/>
                  <w:vAlign w:val="center"/>
                </w:tcPr>
                <w:p>
                  <w:pPr>
                    <w:pStyle w:val="45"/>
                    <w:spacing w:line="240" w:lineRule="auto"/>
                    <w:ind w:firstLine="0" w:firstLineChars="0"/>
                    <w:jc w:val="center"/>
                    <w:rPr>
                      <w:rFonts w:hint="default" w:ascii="Times New Roman" w:hAnsi="Times New Roman" w:cs="Times New Roman"/>
                      <w:b w:val="0"/>
                      <w:bCs w:val="0"/>
                      <w:color w:val="auto"/>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0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62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72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363" w:type="pct"/>
                  <w:vMerge w:val="continue"/>
                  <w:vAlign w:val="center"/>
                </w:tcPr>
                <w:p>
                  <w:pPr>
                    <w:pStyle w:val="45"/>
                    <w:spacing w:line="240" w:lineRule="auto"/>
                    <w:ind w:firstLine="0" w:firstLineChars="0"/>
                    <w:jc w:val="center"/>
                    <w:rPr>
                      <w:rFonts w:hint="default" w:ascii="Times New Roman" w:hAnsi="Times New Roman" w:cs="Times New Roman"/>
                      <w:color w:val="auto"/>
                      <w:highlight w:val="none"/>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4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喷漆后烘干（油性</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漆）</w:t>
                  </w:r>
                </w:p>
              </w:tc>
              <w:tc>
                <w:tcPr>
                  <w:tcW w:w="50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vertAlign w:val="baseline"/>
                      <w:lang w:val="en-US" w:eastAsia="zh-CN"/>
                    </w:rPr>
                    <w:t>工业废气量</w:t>
                  </w:r>
                </w:p>
              </w:tc>
              <w:tc>
                <w:tcPr>
                  <w:tcW w:w="62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7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108126</w:t>
                  </w:r>
                </w:p>
              </w:tc>
              <w:tc>
                <w:tcPr>
                  <w:tcW w:w="789" w:type="pct"/>
                  <w:tcBorders>
                    <w:right w:val="nil"/>
                  </w:tcBorders>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539" w:type="pct"/>
                  <w:tcBorders>
                    <w:right w:val="nil"/>
                  </w:tcBorders>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506"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62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72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121</w:t>
                  </w: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吸附/催化燃烧法</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0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62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2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喷漆（水性漆）</w:t>
                  </w:r>
                </w:p>
              </w:tc>
              <w:tc>
                <w:tcPr>
                  <w:tcW w:w="50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工业废气量</w:t>
                  </w:r>
                </w:p>
              </w:tc>
              <w:tc>
                <w:tcPr>
                  <w:tcW w:w="62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7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5612499</w:t>
                  </w:r>
                </w:p>
              </w:tc>
              <w:tc>
                <w:tcPr>
                  <w:tcW w:w="789" w:type="pct"/>
                  <w:tcBorders>
                    <w:right w:val="nil"/>
                  </w:tcBorders>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539"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06"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62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72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135</w:t>
                  </w: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吸附/催化燃烧法</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0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62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2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喷漆后烘干（水性漆）</w:t>
                  </w:r>
                </w:p>
              </w:tc>
              <w:tc>
                <w:tcPr>
                  <w:tcW w:w="506"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工业废气量</w:t>
                  </w:r>
                </w:p>
              </w:tc>
              <w:tc>
                <w:tcPr>
                  <w:tcW w:w="62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立方米/吨-原料</w:t>
                  </w:r>
                </w:p>
              </w:tc>
              <w:tc>
                <w:tcPr>
                  <w:tcW w:w="72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108126</w:t>
                  </w:r>
                </w:p>
              </w:tc>
              <w:tc>
                <w:tcPr>
                  <w:tcW w:w="789" w:type="pct"/>
                  <w:tcBorders>
                    <w:right w:val="nil"/>
                  </w:tcBorders>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539" w:type="pct"/>
                  <w:tcBorders>
                    <w:right w:val="nil"/>
                  </w:tcBorders>
                  <w:vAlign w:val="center"/>
                </w:tcPr>
                <w:p>
                  <w:pPr>
                    <w:bidi w:val="0"/>
                    <w:spacing w:line="240" w:lineRule="auto"/>
                    <w:ind w:left="0" w:lef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06"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62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kg/t-原料</w:t>
                  </w:r>
                </w:p>
              </w:tc>
              <w:tc>
                <w:tcPr>
                  <w:tcW w:w="727"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15</w:t>
                  </w: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吸附/催化燃烧法</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63"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36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1"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4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506"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62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27"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7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直排</w:t>
                  </w:r>
                </w:p>
              </w:tc>
              <w:tc>
                <w:tcPr>
                  <w:tcW w:w="53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使用水性漆用量为10t，油性漆用量为2.7t/a（其中耐磨环氧铝粉漆EXAII组份A（油漆）用量1t/a、耐磨环氧铝粉漆EXAII组份B（固化剂）用量0.5t/a、丙烯酸聚氨酯面漆用量1t/a、稀释剂用量0.2t/a）。油性漆喷涂产生非甲烷总烃约为1.31t/a，烘干后产生的非甲烷总烃为0.33t/a。水性漆喷涂产生非甲烷总烃约为1.35t/a，烘干后产生的非甲烷总烃为0.15t/a。本项目喷漆工序共用一套催化燃烧设备进行处理，则共计非甲烷总烃产生量为3.14t/a。</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highlight w:val="none"/>
                <w:lang w:val="en-US" w:eastAsia="zh-CN"/>
              </w:rPr>
              <w:t>根据企业提供的资料，耐磨环氧铝粉漆EXA II组份A与组分B调配后的检测报告可知，甲苯与二甲苯（含乙苯）总和含量为10%。丙烯酸聚氨酯面漆，甲苯与二甲苯（含乙苯）总和含量为16%。稀释剂成分报告中未含有甲苯，只有二甲苯，</w:t>
            </w:r>
            <w:r>
              <w:rPr>
                <w:rFonts w:hint="default" w:ascii="Times New Roman" w:hAnsi="Times New Roman" w:cs="Times New Roman"/>
                <w:color w:val="auto"/>
                <w:highlight w:val="none"/>
                <w:lang w:val="en-US" w:eastAsia="zh-CN"/>
              </w:rPr>
              <w:t>其中二甲苯占40-50%，本次二甲苯取45%</w:t>
            </w:r>
            <w:r>
              <w:rPr>
                <w:rFonts w:hint="default" w:ascii="Times New Roman" w:hAnsi="Times New Roman" w:cs="Times New Roman"/>
                <w:color w:val="auto"/>
                <w:sz w:val="24"/>
                <w:highlight w:val="none"/>
                <w:lang w:val="en-US" w:eastAsia="zh-CN"/>
              </w:rPr>
              <w:t>。所有原料组成成分中均不含甲苯。</w:t>
            </w:r>
            <w:r>
              <w:rPr>
                <w:rFonts w:hint="eastAsia" w:cs="Times New Roman"/>
                <w:color w:val="auto"/>
                <w:sz w:val="24"/>
                <w:highlight w:val="none"/>
                <w:lang w:val="en-US" w:eastAsia="zh-CN"/>
              </w:rPr>
              <w:t>因检测报告未明确二甲苯挥发比值，无实测数据支撑挥发比例核算，为保障环境核算的保守性与严谨性，本次二甲苯产排核算按100%全部挥发，以此反映项目对周边环境的最不利影响。二甲苯</w:t>
            </w:r>
            <w:r>
              <w:rPr>
                <w:rFonts w:hint="default" w:ascii="Times New Roman" w:hAnsi="Times New Roman" w:cs="Times New Roman"/>
                <w:color w:val="auto"/>
                <w:highlight w:val="none"/>
                <w:lang w:val="en-US" w:eastAsia="zh-CN"/>
              </w:rPr>
              <w:t>废气产生情况见下表4-8。</w:t>
            </w:r>
          </w:p>
          <w:p>
            <w:pPr>
              <w:pStyle w:val="57"/>
              <w:numPr>
                <w:ilvl w:val="0"/>
                <w:numId w:val="0"/>
              </w:numPr>
              <w:spacing w:line="240" w:lineRule="auto"/>
              <w:jc w:val="center"/>
              <w:rPr>
                <w:rFonts w:hint="default" w:ascii="Times New Roman" w:hAnsi="Times New Roman" w:cs="Times New Roman"/>
                <w:b/>
                <w:bCs/>
                <w:color w:val="auto"/>
                <w:highlight w:val="none"/>
                <w:lang w:val="en-US"/>
              </w:rPr>
            </w:pPr>
            <w:r>
              <w:rPr>
                <w:rFonts w:hint="default" w:ascii="Times New Roman" w:hAnsi="Times New Roman" w:cs="Times New Roman"/>
                <w:b/>
                <w:bCs/>
                <w:color w:val="auto"/>
                <w:highlight w:val="none"/>
              </w:rPr>
              <w:t>表4-</w:t>
            </w:r>
            <w:r>
              <w:rPr>
                <w:rFonts w:hint="default" w:ascii="Times New Roman" w:hAnsi="Times New Roman" w:cs="Times New Roman"/>
                <w:b/>
                <w:bCs/>
                <w:color w:val="auto"/>
                <w:highlight w:val="none"/>
                <w:lang w:val="en-US" w:eastAsia="zh-CN"/>
              </w:rPr>
              <w:t>8   二甲苯废气产生情况</w:t>
            </w:r>
          </w:p>
          <w:tbl>
            <w:tblPr>
              <w:tblStyle w:val="21"/>
              <w:tblW w:w="486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986"/>
              <w:gridCol w:w="1530"/>
              <w:gridCol w:w="1455"/>
              <w:gridCol w:w="1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1826"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原料名称</w:t>
                  </w:r>
                </w:p>
              </w:tc>
              <w:tc>
                <w:tcPr>
                  <w:tcW w:w="935"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二甲苯含量</w:t>
                  </w:r>
                </w:p>
              </w:tc>
              <w:tc>
                <w:tcPr>
                  <w:tcW w:w="890"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kern w:val="2"/>
                      <w:sz w:val="21"/>
                      <w:szCs w:val="21"/>
                      <w:highlight w:val="none"/>
                      <w:lang w:val="en-US" w:eastAsia="zh-CN" w:bidi="ar-SA"/>
                    </w:rPr>
                    <w:t>原料用量</w:t>
                  </w:r>
                </w:p>
              </w:tc>
              <w:tc>
                <w:tcPr>
                  <w:tcW w:w="917"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1</w:t>
                  </w:r>
                </w:p>
              </w:tc>
              <w:tc>
                <w:tcPr>
                  <w:tcW w:w="1826"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耐磨环氧铝粉漆EXA II组份A与组分B调配</w:t>
                  </w:r>
                </w:p>
              </w:tc>
              <w:tc>
                <w:tcPr>
                  <w:tcW w:w="935"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w:t>
                  </w:r>
                </w:p>
              </w:tc>
              <w:tc>
                <w:tcPr>
                  <w:tcW w:w="890"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1.5t/a</w:t>
                  </w:r>
                </w:p>
              </w:tc>
              <w:tc>
                <w:tcPr>
                  <w:tcW w:w="917"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2</w:t>
                  </w:r>
                </w:p>
              </w:tc>
              <w:tc>
                <w:tcPr>
                  <w:tcW w:w="1826"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丙烯酸聚氨酯面漆</w:t>
                  </w:r>
                </w:p>
              </w:tc>
              <w:tc>
                <w:tcPr>
                  <w:tcW w:w="935"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16%</w:t>
                  </w:r>
                </w:p>
              </w:tc>
              <w:tc>
                <w:tcPr>
                  <w:tcW w:w="890"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1t/a</w:t>
                  </w:r>
                </w:p>
              </w:tc>
              <w:tc>
                <w:tcPr>
                  <w:tcW w:w="917"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3</w:t>
                  </w:r>
                </w:p>
              </w:tc>
              <w:tc>
                <w:tcPr>
                  <w:tcW w:w="1826"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稀释剂</w:t>
                  </w:r>
                </w:p>
              </w:tc>
              <w:tc>
                <w:tcPr>
                  <w:tcW w:w="935"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45%</w:t>
                  </w:r>
                </w:p>
              </w:tc>
              <w:tc>
                <w:tcPr>
                  <w:tcW w:w="890"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r>
                    <w:rPr>
                      <w:rFonts w:hint="eastAsia" w:cs="Times New Roman"/>
                      <w:color w:val="auto"/>
                      <w:sz w:val="21"/>
                      <w:szCs w:val="21"/>
                      <w:highlight w:val="none"/>
                      <w:lang w:val="en-US" w:eastAsia="zh-CN"/>
                    </w:rPr>
                    <w:t>t/a</w:t>
                  </w:r>
                </w:p>
              </w:tc>
              <w:tc>
                <w:tcPr>
                  <w:tcW w:w="917"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82" w:type="pct"/>
                  <w:gridSpan w:val="4"/>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共计</w:t>
                  </w:r>
                </w:p>
              </w:tc>
              <w:tc>
                <w:tcPr>
                  <w:tcW w:w="917"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widowControl/>
                    <w:adjustRightInd w:val="0"/>
                    <w:spacing w:line="240" w:lineRule="auto"/>
                    <w:ind w:left="0" w:leftChars="0" w:right="-72" w:rightChars="-30" w:firstLine="0" w:firstLineChars="0"/>
                    <w:jc w:val="both"/>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注：所有原料组成成分中均不含甲苯。结合检测报告，耐磨环氧铝粉漆EXA II、丙烯酸聚氨酯面漆及稀释剂仅含二甲苯，因此本次相关计算仅针对二甲苯开展核算。</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项目区建设一座全封闭喷漆房，喷漆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共用一套处理废气处理设备。喷漆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废气经集气罩+</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催化燃烧装置净化后，</w:t>
            </w:r>
            <w:r>
              <w:rPr>
                <w:rFonts w:hint="default" w:ascii="Times New Roman" w:hAnsi="Times New Roman" w:cs="Times New Roman"/>
                <w:color w:val="auto"/>
                <w:highlight w:val="none"/>
              </w:rPr>
              <w:t>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废气收集效率以90%计</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处理对</w:t>
            </w:r>
            <w:r>
              <w:rPr>
                <w:rFonts w:hint="default" w:ascii="Times New Roman" w:hAnsi="Times New Roman" w:cs="Times New Roman"/>
                <w:color w:val="auto"/>
                <w:sz w:val="24"/>
                <w:highlight w:val="none"/>
                <w:lang w:val="en-US" w:eastAsia="zh-CN"/>
              </w:rPr>
              <w:t>非甲烷总烃</w:t>
            </w:r>
            <w:r>
              <w:rPr>
                <w:rFonts w:hint="default" w:ascii="Times New Roman" w:hAnsi="Times New Roman" w:cs="Times New Roman"/>
                <w:color w:val="auto"/>
                <w:sz w:val="24"/>
                <w:highlight w:val="none"/>
              </w:rPr>
              <w:t>无净化处理效率，对漆雾的处理效率不低于95%；活性炭吸附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催化燃烧装置对</w:t>
            </w:r>
            <w:r>
              <w:rPr>
                <w:rFonts w:hint="default" w:ascii="Times New Roman" w:hAnsi="Times New Roman" w:cs="Times New Roman"/>
                <w:color w:val="auto"/>
                <w:sz w:val="24"/>
                <w:highlight w:val="none"/>
                <w:lang w:val="en-US" w:eastAsia="zh-CN"/>
              </w:rPr>
              <w:t>非甲烷总烃</w:t>
            </w:r>
            <w:r>
              <w:rPr>
                <w:rFonts w:hint="default" w:ascii="Times New Roman" w:hAnsi="Times New Roman" w:cs="Times New Roman"/>
                <w:color w:val="auto"/>
                <w:sz w:val="24"/>
                <w:highlight w:val="none"/>
              </w:rPr>
              <w:t>的处理效率为约77%。</w:t>
            </w:r>
          </w:p>
          <w:p>
            <w:pPr>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lang w:val="en-US" w:eastAsia="zh-CN"/>
              </w:rPr>
              <w:t>根</w:t>
            </w:r>
            <w:r>
              <w:rPr>
                <w:rFonts w:hint="default" w:ascii="Times New Roman" w:hAnsi="Times New Roman" w:cs="Times New Roman"/>
                <w:color w:val="auto"/>
                <w:sz w:val="24"/>
                <w:highlight w:val="none"/>
              </w:rPr>
              <w:t>据建设单位提供的设计资料，</w:t>
            </w: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采用</w:t>
            </w:r>
            <w:r>
              <w:rPr>
                <w:rFonts w:hint="default" w:ascii="Times New Roman" w:hAnsi="Times New Roman" w:eastAsia="宋体" w:cs="Times New Roman"/>
                <w:color w:val="auto"/>
                <w:sz w:val="24"/>
                <w:highlight w:val="none"/>
              </w:rPr>
              <w:t>外购配置好的水性漆</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lang w:val="en-US" w:eastAsia="zh-CN"/>
              </w:rPr>
              <w:t>其中仅油性漆需要进行调漆。</w:t>
            </w:r>
            <w:r>
              <w:rPr>
                <w:rFonts w:hint="default" w:ascii="Times New Roman" w:hAnsi="Times New Roman" w:cs="Times New Roman"/>
                <w:color w:val="auto"/>
                <w:sz w:val="24"/>
                <w:highlight w:val="none"/>
              </w:rPr>
              <w:t>喷漆过程中</w:t>
            </w:r>
            <w:r>
              <w:rPr>
                <w:rFonts w:hint="default" w:ascii="Times New Roman" w:hAnsi="Times New Roman" w:cs="Times New Roman"/>
                <w:color w:val="auto"/>
                <w:sz w:val="24"/>
                <w:highlight w:val="none"/>
                <w:lang w:val="en-US" w:eastAsia="zh-CN"/>
              </w:rPr>
              <w:t>漆</w:t>
            </w:r>
            <w:r>
              <w:rPr>
                <w:rFonts w:hint="default" w:ascii="Times New Roman" w:hAnsi="Times New Roman" w:cs="Times New Roman"/>
                <w:color w:val="auto"/>
                <w:sz w:val="24"/>
                <w:highlight w:val="none"/>
              </w:rPr>
              <w:t>的有效利用率约为</w:t>
            </w:r>
            <w:r>
              <w:rPr>
                <w:rFonts w:hint="default" w:ascii="Times New Roman" w:hAnsi="Times New Roman" w:cs="Times New Roman"/>
                <w:color w:val="auto"/>
                <w:sz w:val="24"/>
                <w:highlight w:val="none"/>
                <w:lang w:val="en-US" w:eastAsia="zh-CN"/>
              </w:rPr>
              <w:t>90</w:t>
            </w:r>
            <w:r>
              <w:rPr>
                <w:rFonts w:hint="default" w:ascii="Times New Roman" w:hAnsi="Times New Roman" w:cs="Times New Roman"/>
                <w:color w:val="auto"/>
                <w:sz w:val="24"/>
                <w:highlight w:val="none"/>
              </w:rPr>
              <w:t>%，其余未附着的</w:t>
            </w:r>
            <w:r>
              <w:rPr>
                <w:rFonts w:hint="default" w:ascii="Times New Roman" w:hAnsi="Times New Roman" w:eastAsia="宋体" w:cs="Times New Roman"/>
                <w:color w:val="auto"/>
                <w:sz w:val="24"/>
                <w:highlight w:val="none"/>
              </w:rPr>
              <w:t>漆</w:t>
            </w:r>
            <w:r>
              <w:rPr>
                <w:rFonts w:hint="default" w:ascii="Times New Roman" w:hAnsi="Times New Roman" w:cs="Times New Roman"/>
                <w:color w:val="auto"/>
                <w:sz w:val="24"/>
                <w:highlight w:val="none"/>
              </w:rPr>
              <w:t>以漆雾颗粒的形式散逸在喷漆室内，</w:t>
            </w:r>
            <w:r>
              <w:rPr>
                <w:rFonts w:hint="default" w:ascii="Times New Roman" w:hAnsi="Times New Roman" w:cs="Times New Roman"/>
                <w:color w:val="auto"/>
                <w:highlight w:val="none"/>
                <w:lang w:val="en-US" w:eastAsia="zh-CN"/>
              </w:rPr>
              <w:t>未附着在工件表面的固组分，部分（10%）以颗粒物形式逸散，</w:t>
            </w:r>
            <w:r>
              <w:rPr>
                <w:rFonts w:hint="default" w:ascii="Times New Roman" w:hAnsi="Times New Roman" w:cs="Times New Roman"/>
                <w:color w:val="auto"/>
                <w:sz w:val="24"/>
                <w:highlight w:val="none"/>
              </w:rPr>
              <w:t>因此漆雾</w:t>
            </w:r>
            <w:r>
              <w:rPr>
                <w:rFonts w:hint="default" w:ascii="Times New Roman" w:hAnsi="Times New Roman" w:cs="Times New Roman"/>
                <w:color w:val="auto"/>
                <w:sz w:val="24"/>
                <w:highlight w:val="none"/>
                <w:lang w:val="en-US" w:eastAsia="zh-CN"/>
              </w:rPr>
              <w:t>颗粒</w:t>
            </w:r>
            <w:r>
              <w:rPr>
                <w:rFonts w:hint="default" w:ascii="Times New Roman" w:hAnsi="Times New Roman" w:cs="Times New Roman"/>
                <w:color w:val="auto"/>
                <w:sz w:val="24"/>
                <w:highlight w:val="none"/>
              </w:rPr>
              <w:t>产生量以</w:t>
            </w:r>
            <w:r>
              <w:rPr>
                <w:rFonts w:hint="default" w:ascii="Times New Roman" w:hAnsi="Times New Roman" w:cs="Times New Roman"/>
                <w:color w:val="auto"/>
                <w:sz w:val="24"/>
                <w:highlight w:val="none"/>
                <w:lang w:val="en-US" w:eastAsia="zh-CN"/>
              </w:rPr>
              <w:t>油漆</w:t>
            </w:r>
            <w:r>
              <w:rPr>
                <w:rFonts w:hint="default" w:ascii="Times New Roman" w:hAnsi="Times New Roman" w:cs="Times New Roman"/>
                <w:color w:val="auto"/>
                <w:sz w:val="24"/>
                <w:highlight w:val="none"/>
              </w:rPr>
              <w:t>用量的</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%计算</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本项目共计油漆量为12.7t/a，</w:t>
            </w:r>
            <w:r>
              <w:rPr>
                <w:rFonts w:hint="default" w:ascii="Times New Roman" w:hAnsi="Times New Roman" w:cs="Times New Roman"/>
                <w:color w:val="auto"/>
                <w:sz w:val="24"/>
                <w:highlight w:val="none"/>
              </w:rPr>
              <w:t>漆雾</w:t>
            </w:r>
            <w:r>
              <w:rPr>
                <w:rFonts w:hint="default" w:ascii="Times New Roman" w:hAnsi="Times New Roman" w:cs="Times New Roman"/>
                <w:color w:val="auto"/>
                <w:sz w:val="24"/>
                <w:highlight w:val="none"/>
                <w:lang w:val="en-US" w:eastAsia="zh-CN"/>
              </w:rPr>
              <w:t>颗粒产生量为1.27t/a。</w:t>
            </w:r>
          </w:p>
          <w:p>
            <w:pPr>
              <w:widowControl/>
              <w:ind w:firstLine="480"/>
              <w:jc w:val="both"/>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w:t>
            </w:r>
            <w:r>
              <w:rPr>
                <w:rFonts w:hint="default" w:ascii="Times New Roman" w:hAnsi="Times New Roman" w:cs="Times New Roman"/>
                <w:color w:val="auto"/>
                <w:sz w:val="24"/>
                <w:highlight w:val="none"/>
              </w:rPr>
              <w:t>漆雾</w:t>
            </w:r>
            <w:r>
              <w:rPr>
                <w:rFonts w:hint="default" w:ascii="Times New Roman" w:hAnsi="Times New Roman" w:cs="Times New Roman"/>
                <w:color w:val="auto"/>
                <w:sz w:val="24"/>
                <w:highlight w:val="none"/>
                <w:lang w:val="en-US" w:eastAsia="zh-CN"/>
              </w:rPr>
              <w:t>颗粒</w:t>
            </w:r>
            <w:r>
              <w:rPr>
                <w:rFonts w:hint="default" w:ascii="Times New Roman" w:hAnsi="Times New Roman" w:cs="Times New Roman"/>
                <w:color w:val="auto"/>
                <w:highlight w:val="none"/>
              </w:rPr>
              <w:t>有组织产生量为</w:t>
            </w:r>
            <w:r>
              <w:rPr>
                <w:rFonts w:hint="default" w:ascii="Times New Roman" w:hAnsi="Times New Roman" w:cs="Times New Roman"/>
                <w:color w:val="auto"/>
                <w:highlight w:val="none"/>
                <w:lang w:val="en-US" w:eastAsia="zh-CN"/>
              </w:rPr>
              <w:t>1.143</w:t>
            </w:r>
            <w:r>
              <w:rPr>
                <w:rFonts w:hint="default" w:ascii="Times New Roman" w:hAnsi="Times New Roman" w:cs="Times New Roman"/>
                <w:color w:val="auto"/>
                <w:highlight w:val="none"/>
              </w:rPr>
              <w:t>t/a，产生速率为</w:t>
            </w:r>
            <w:r>
              <w:rPr>
                <w:rFonts w:hint="default" w:ascii="Times New Roman" w:hAnsi="Times New Roman" w:cs="Times New Roman"/>
                <w:color w:val="auto"/>
                <w:sz w:val="24"/>
                <w:szCs w:val="24"/>
                <w:highlight w:val="none"/>
                <w:vertAlign w:val="baseline"/>
                <w:lang w:val="en-US" w:eastAsia="zh-CN"/>
              </w:rPr>
              <w:t>0.476</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浓度158.67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lang w:val="en-US" w:eastAsia="zh-CN"/>
              </w:rPr>
              <w:t>去除后</w:t>
            </w:r>
            <w:r>
              <w:rPr>
                <w:rFonts w:hint="default" w:ascii="Times New Roman" w:hAnsi="Times New Roman" w:cs="Times New Roman"/>
                <w:color w:val="auto"/>
                <w:highlight w:val="none"/>
              </w:rPr>
              <w:t>有组织排放量</w:t>
            </w:r>
            <w:r>
              <w:rPr>
                <w:rFonts w:hint="default" w:ascii="Times New Roman" w:hAnsi="Times New Roman" w:cs="Times New Roman"/>
                <w:color w:val="auto"/>
                <w:highlight w:val="none"/>
                <w:lang w:val="en-US" w:eastAsia="zh-CN"/>
              </w:rPr>
              <w:t>为0.0572</w:t>
            </w:r>
            <w:r>
              <w:rPr>
                <w:rFonts w:hint="default" w:ascii="Times New Roman" w:hAnsi="Times New Roman" w:cs="Times New Roman"/>
                <w:color w:val="auto"/>
                <w:highlight w:val="none"/>
              </w:rPr>
              <w:t>t/a，排放速率</w:t>
            </w:r>
            <w:r>
              <w:rPr>
                <w:rFonts w:hint="default" w:ascii="Times New Roman" w:hAnsi="Times New Roman" w:cs="Times New Roman"/>
                <w:color w:val="auto"/>
                <w:highlight w:val="none"/>
                <w:lang w:val="en-US" w:eastAsia="zh-CN"/>
              </w:rPr>
              <w:t>0.024</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vertAlign w:val="baseline"/>
                <w:lang w:val="en-US" w:eastAsia="zh-CN"/>
              </w:rPr>
              <w:t>排放浓度8</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此工序无组织</w:t>
            </w:r>
            <w:r>
              <w:rPr>
                <w:rFonts w:hint="default" w:ascii="Times New Roman" w:hAnsi="Times New Roman" w:cs="Times New Roman"/>
                <w:color w:val="auto"/>
                <w:highlight w:val="none"/>
                <w:lang w:val="en-US" w:eastAsia="zh-CN"/>
              </w:rPr>
              <w:t>漆雾颗粒</w:t>
            </w:r>
            <w:r>
              <w:rPr>
                <w:rFonts w:hint="default" w:ascii="Times New Roman" w:hAnsi="Times New Roman" w:cs="Times New Roman"/>
                <w:color w:val="auto"/>
                <w:sz w:val="24"/>
                <w:szCs w:val="24"/>
                <w:highlight w:val="none"/>
                <w:vertAlign w:val="baseline"/>
                <w:lang w:val="en-US" w:eastAsia="zh-CN"/>
              </w:rPr>
              <w:t>产生量约为0.127t/a，产生速率0.053kg/h</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在</w:t>
            </w:r>
            <w:r>
              <w:rPr>
                <w:rFonts w:hint="default" w:ascii="Times New Roman" w:hAnsi="Times New Roman" w:cs="Times New Roman"/>
                <w:color w:val="auto"/>
                <w:sz w:val="24"/>
                <w:highlight w:val="none"/>
              </w:rPr>
              <w:t>全封闭喷漆烤漆房</w:t>
            </w:r>
            <w:r>
              <w:rPr>
                <w:rFonts w:hint="default" w:ascii="Times New Roman" w:hAnsi="Times New Roman" w:cs="Times New Roman"/>
                <w:color w:val="auto"/>
                <w:sz w:val="24"/>
                <w:szCs w:val="24"/>
                <w:highlight w:val="none"/>
                <w:vertAlign w:val="baseline"/>
                <w:lang w:val="en-US" w:eastAsia="zh-CN"/>
              </w:rPr>
              <w:t>内自然沉降，按50%计，无组织</w:t>
            </w:r>
            <w:r>
              <w:rPr>
                <w:rFonts w:hint="default" w:ascii="Times New Roman" w:hAnsi="Times New Roman" w:cs="Times New Roman"/>
                <w:color w:val="auto"/>
                <w:highlight w:val="none"/>
                <w:lang w:val="en-US" w:eastAsia="zh-CN"/>
              </w:rPr>
              <w:t>漆雾颗粒</w:t>
            </w:r>
            <w:r>
              <w:rPr>
                <w:rFonts w:hint="default" w:ascii="Times New Roman" w:hAnsi="Times New Roman" w:cs="Times New Roman"/>
                <w:color w:val="auto"/>
                <w:sz w:val="24"/>
                <w:szCs w:val="24"/>
                <w:highlight w:val="none"/>
                <w:vertAlign w:val="baseline"/>
                <w:lang w:val="en-US" w:eastAsia="zh-CN"/>
              </w:rPr>
              <w:t>排放量为0.0635t/a，排放速率0.0265kg/h。</w:t>
            </w:r>
          </w:p>
          <w:p>
            <w:pPr>
              <w:widowControl/>
              <w:ind w:firstLine="480"/>
              <w:jc w:val="both"/>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工序非甲烷总烃</w:t>
            </w:r>
            <w:r>
              <w:rPr>
                <w:rFonts w:hint="default" w:ascii="Times New Roman" w:hAnsi="Times New Roman" w:cs="Times New Roman"/>
                <w:color w:val="auto"/>
                <w:highlight w:val="none"/>
              </w:rPr>
              <w:t>有组织产生量</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2.83</w:t>
            </w:r>
            <w:r>
              <w:rPr>
                <w:rFonts w:hint="default" w:ascii="Times New Roman" w:hAnsi="Times New Roman" w:cs="Times New Roman"/>
                <w:color w:val="auto"/>
                <w:highlight w:val="none"/>
              </w:rPr>
              <w:t>t/a，产生速率为</w:t>
            </w:r>
            <w:r>
              <w:rPr>
                <w:rFonts w:hint="default" w:ascii="Times New Roman" w:hAnsi="Times New Roman" w:cs="Times New Roman"/>
                <w:color w:val="auto"/>
                <w:sz w:val="24"/>
                <w:szCs w:val="24"/>
                <w:highlight w:val="none"/>
                <w:vertAlign w:val="baseline"/>
                <w:lang w:val="en-US" w:eastAsia="zh-CN"/>
              </w:rPr>
              <w:t>1.1792</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浓度393.067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w:t>
            </w:r>
            <w:r>
              <w:rPr>
                <w:rFonts w:hint="default" w:ascii="Times New Roman" w:hAnsi="Times New Roman" w:cs="Times New Roman"/>
                <w:color w:val="auto"/>
                <w:sz w:val="24"/>
                <w:highlight w:val="none"/>
                <w:lang w:val="en-US" w:eastAsia="zh-CN"/>
              </w:rPr>
              <w:t>净化后</w:t>
            </w:r>
            <w:r>
              <w:rPr>
                <w:rFonts w:hint="default" w:ascii="Times New Roman" w:hAnsi="Times New Roman" w:cs="Times New Roman"/>
                <w:color w:val="auto"/>
                <w:highlight w:val="none"/>
              </w:rPr>
              <w:t>有组织排放量</w:t>
            </w:r>
            <w:r>
              <w:rPr>
                <w:rFonts w:hint="default" w:ascii="Times New Roman" w:hAnsi="Times New Roman" w:cs="Times New Roman"/>
                <w:color w:val="auto"/>
                <w:highlight w:val="none"/>
                <w:lang w:val="en-US" w:eastAsia="zh-CN"/>
              </w:rPr>
              <w:t>约为0.651</w:t>
            </w:r>
            <w:r>
              <w:rPr>
                <w:rFonts w:hint="default" w:ascii="Times New Roman" w:hAnsi="Times New Roman" w:cs="Times New Roman"/>
                <w:color w:val="auto"/>
                <w:highlight w:val="none"/>
              </w:rPr>
              <w:t>t/a，排放速率</w:t>
            </w:r>
            <w:r>
              <w:rPr>
                <w:rFonts w:hint="default" w:ascii="Times New Roman" w:hAnsi="Times New Roman" w:cs="Times New Roman"/>
                <w:color w:val="auto"/>
                <w:sz w:val="24"/>
                <w:szCs w:val="24"/>
                <w:highlight w:val="none"/>
                <w:vertAlign w:val="baseline"/>
                <w:lang w:val="en-US" w:eastAsia="zh-CN"/>
              </w:rPr>
              <w:t>0.271</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vertAlign w:val="baseline"/>
                <w:lang w:val="en-US" w:eastAsia="zh-CN"/>
              </w:rPr>
              <w:t>排放浓度90.33</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此工序无组织非甲烷总烃产生量约为0.31t/a，产生速率0.13kg/h。</w:t>
            </w:r>
          </w:p>
          <w:p>
            <w:pPr>
              <w:widowControl/>
              <w:spacing w:line="360" w:lineRule="auto"/>
              <w:ind w:firstLine="480"/>
              <w:jc w:val="both"/>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lang w:val="en-US" w:eastAsia="zh-CN"/>
              </w:rPr>
              <w:t>苯系物（二甲苯）属于VOCs废气当中的一种，针对苯系物（二甲苯）的去除效率，参考《主要污染物总量减排核算技术指南（2022 年修订）》中的表2-3 VOCs 废气收集率和治理设施去除率通用系数：一次性活性炭吸附（不再生），VOCs去除率15%，催化燃烧设备VOCs去除率80%，活性炭吸附+催化燃烧设备共计去除效率为83%。考虑到实际运行效果，本次保守确定去除效率为80%。</w:t>
            </w:r>
          </w:p>
          <w:p>
            <w:pPr>
              <w:widowControl/>
              <w:ind w:firstLine="480"/>
              <w:jc w:val="both"/>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工序二甲苯</w:t>
            </w:r>
            <w:r>
              <w:rPr>
                <w:rFonts w:hint="default" w:ascii="Times New Roman" w:hAnsi="Times New Roman" w:cs="Times New Roman"/>
                <w:color w:val="auto"/>
                <w:highlight w:val="none"/>
              </w:rPr>
              <w:t>有组织产生量</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0.36</w:t>
            </w:r>
            <w:r>
              <w:rPr>
                <w:rFonts w:hint="default" w:ascii="Times New Roman" w:hAnsi="Times New Roman" w:cs="Times New Roman"/>
                <w:color w:val="auto"/>
                <w:highlight w:val="none"/>
              </w:rPr>
              <w:t>t/a，产生速率为</w:t>
            </w:r>
            <w:r>
              <w:rPr>
                <w:rFonts w:hint="default" w:ascii="Times New Roman" w:hAnsi="Times New Roman" w:cs="Times New Roman"/>
                <w:color w:val="auto"/>
                <w:sz w:val="24"/>
                <w:szCs w:val="24"/>
                <w:highlight w:val="none"/>
                <w:vertAlign w:val="baseline"/>
                <w:lang w:val="en-US" w:eastAsia="zh-CN"/>
              </w:rPr>
              <w:t>0.15</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浓度50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w:t>
            </w:r>
            <w:r>
              <w:rPr>
                <w:rFonts w:hint="default" w:ascii="Times New Roman" w:hAnsi="Times New Roman" w:cs="Times New Roman"/>
                <w:color w:val="auto"/>
                <w:sz w:val="24"/>
                <w:highlight w:val="none"/>
                <w:lang w:val="en-US" w:eastAsia="zh-CN"/>
              </w:rPr>
              <w:t>净化后</w:t>
            </w:r>
            <w:r>
              <w:rPr>
                <w:rFonts w:hint="default" w:ascii="Times New Roman" w:hAnsi="Times New Roman" w:cs="Times New Roman"/>
                <w:color w:val="auto"/>
                <w:highlight w:val="none"/>
              </w:rPr>
              <w:t>有组织排放量</w:t>
            </w:r>
            <w:r>
              <w:rPr>
                <w:rFonts w:hint="default" w:ascii="Times New Roman" w:hAnsi="Times New Roman" w:cs="Times New Roman"/>
                <w:color w:val="auto"/>
                <w:highlight w:val="none"/>
                <w:lang w:val="en-US" w:eastAsia="zh-CN"/>
              </w:rPr>
              <w:t>约为</w:t>
            </w:r>
            <w:r>
              <w:rPr>
                <w:rFonts w:hint="eastAsia" w:cs="Times New Roman"/>
                <w:color w:val="auto"/>
                <w:highlight w:val="none"/>
                <w:lang w:val="en-US" w:eastAsia="zh-CN"/>
              </w:rPr>
              <w:t>0.072</w:t>
            </w:r>
            <w:r>
              <w:rPr>
                <w:rFonts w:hint="default" w:ascii="Times New Roman" w:hAnsi="Times New Roman" w:cs="Times New Roman"/>
                <w:color w:val="auto"/>
                <w:highlight w:val="none"/>
              </w:rPr>
              <w:t>t/a，排放速率</w:t>
            </w:r>
            <w:r>
              <w:rPr>
                <w:rFonts w:hint="default" w:ascii="Times New Roman" w:hAnsi="Times New Roman" w:cs="Times New Roman"/>
                <w:color w:val="auto"/>
                <w:sz w:val="24"/>
                <w:szCs w:val="24"/>
                <w:highlight w:val="none"/>
                <w:vertAlign w:val="baseline"/>
                <w:lang w:val="en-US" w:eastAsia="zh-CN"/>
              </w:rPr>
              <w:t>0</w:t>
            </w:r>
            <w:r>
              <w:rPr>
                <w:rFonts w:hint="eastAsia" w:cs="Times New Roman"/>
                <w:color w:val="auto"/>
                <w:sz w:val="24"/>
                <w:szCs w:val="24"/>
                <w:highlight w:val="none"/>
                <w:vertAlign w:val="baseline"/>
                <w:lang w:val="en-US" w:eastAsia="zh-CN"/>
              </w:rPr>
              <w:t>.03</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vertAlign w:val="baseline"/>
                <w:lang w:val="en-US" w:eastAsia="zh-CN"/>
              </w:rPr>
              <w:t>排放浓度</w:t>
            </w:r>
            <w:r>
              <w:rPr>
                <w:rFonts w:hint="eastAsia" w:cs="Times New Roman"/>
                <w:color w:val="auto"/>
                <w:sz w:val="24"/>
                <w:szCs w:val="24"/>
                <w:highlight w:val="none"/>
                <w:vertAlign w:val="baseline"/>
                <w:lang w:val="en-US" w:eastAsia="zh-CN"/>
              </w:rPr>
              <w:t>10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vertAlign w:val="baseline"/>
                <w:lang w:val="en-US" w:eastAsia="zh-CN"/>
              </w:rPr>
              <w:t>此工序无组织</w:t>
            </w:r>
            <w:r>
              <w:rPr>
                <w:rFonts w:hint="default" w:ascii="Times New Roman" w:hAnsi="Times New Roman" w:eastAsia="宋体" w:cs="Times New Roman"/>
                <w:color w:val="auto"/>
                <w:sz w:val="24"/>
                <w:highlight w:val="none"/>
                <w:lang w:val="en-US" w:eastAsia="zh-CN"/>
              </w:rPr>
              <w:t>二甲苯</w:t>
            </w:r>
            <w:r>
              <w:rPr>
                <w:rFonts w:hint="default" w:ascii="Times New Roman" w:hAnsi="Times New Roman" w:cs="Times New Roman"/>
                <w:color w:val="auto"/>
                <w:sz w:val="24"/>
                <w:szCs w:val="24"/>
                <w:highlight w:val="none"/>
                <w:vertAlign w:val="baseline"/>
                <w:lang w:val="en-US" w:eastAsia="zh-CN"/>
              </w:rPr>
              <w:t>产生量约为0.04t/a，产生速率0.017kg/h。</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喷漆（烘干）工序废气</w:t>
            </w:r>
            <w:r>
              <w:rPr>
                <w:rFonts w:hint="default" w:ascii="Times New Roman" w:hAnsi="Times New Roman" w:cs="Times New Roman"/>
                <w:color w:val="auto"/>
                <w:highlight w:val="none"/>
              </w:rPr>
              <w:t>产生及排放情况，见表4-</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 xml:space="preserve">9   </w:t>
            </w:r>
            <w:r>
              <w:rPr>
                <w:rFonts w:hint="default" w:ascii="Times New Roman" w:hAnsi="Times New Roman" w:cs="Times New Roman"/>
                <w:b/>
                <w:bCs/>
                <w:color w:val="auto"/>
                <w:highlight w:val="none"/>
              </w:rPr>
              <w:t>喷漆（烘干）工序</w:t>
            </w:r>
            <w:r>
              <w:rPr>
                <w:rFonts w:hint="default" w:ascii="Times New Roman" w:hAnsi="Times New Roman" w:cs="Times New Roman"/>
                <w:b/>
                <w:bCs/>
                <w:color w:val="auto"/>
                <w:highlight w:val="none"/>
                <w:lang w:val="en-US" w:eastAsia="zh-CN"/>
              </w:rPr>
              <w:t>废气</w:t>
            </w:r>
            <w:r>
              <w:rPr>
                <w:rFonts w:hint="default" w:ascii="Times New Roman" w:hAnsi="Times New Roman" w:cs="Times New Roman"/>
                <w:b/>
                <w:bCs/>
                <w:color w:val="auto"/>
                <w:highlight w:val="none"/>
              </w:rPr>
              <w:t>产生及排放情况</w:t>
            </w:r>
          </w:p>
          <w:tbl>
            <w:tblPr>
              <w:tblStyle w:val="22"/>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924"/>
              <w:gridCol w:w="894"/>
              <w:gridCol w:w="1119"/>
              <w:gridCol w:w="1068"/>
              <w:gridCol w:w="1004"/>
              <w:gridCol w:w="1146"/>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gridSpan w:val="2"/>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污染物</w:t>
                  </w:r>
                </w:p>
              </w:tc>
              <w:tc>
                <w:tcPr>
                  <w:tcW w:w="1852"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产生情况</w:t>
                  </w:r>
                </w:p>
              </w:tc>
              <w:tc>
                <w:tcPr>
                  <w:tcW w:w="2047"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gridSpan w:val="2"/>
                  <w:vMerge w:val="continue"/>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p>
              </w:tc>
              <w:tc>
                <w:tcPr>
                  <w:tcW w:w="537" w:type="pct"/>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产生量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72"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642"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c>
                <w:tcPr>
                  <w:tcW w:w="603"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排放量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89"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754"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颗粒物</w:t>
                  </w:r>
                </w:p>
              </w:tc>
              <w:tc>
                <w:tcPr>
                  <w:tcW w:w="555"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有组织</w:t>
                  </w:r>
                </w:p>
              </w:tc>
              <w:tc>
                <w:tcPr>
                  <w:tcW w:w="537"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1.143</w:t>
                  </w:r>
                </w:p>
              </w:tc>
              <w:tc>
                <w:tcPr>
                  <w:tcW w:w="672"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0.476</w:t>
                  </w:r>
                </w:p>
              </w:tc>
              <w:tc>
                <w:tcPr>
                  <w:tcW w:w="642"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158.67</w:t>
                  </w:r>
                </w:p>
              </w:tc>
              <w:tc>
                <w:tcPr>
                  <w:tcW w:w="603"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0.0572</w:t>
                  </w:r>
                </w:p>
              </w:tc>
              <w:tc>
                <w:tcPr>
                  <w:tcW w:w="689"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0.024</w:t>
                  </w:r>
                </w:p>
              </w:tc>
              <w:tc>
                <w:tcPr>
                  <w:tcW w:w="754"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555"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无组织</w:t>
                  </w:r>
                </w:p>
              </w:tc>
              <w:tc>
                <w:tcPr>
                  <w:tcW w:w="53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0.127</w:t>
                  </w:r>
                </w:p>
              </w:tc>
              <w:tc>
                <w:tcPr>
                  <w:tcW w:w="67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0.053</w:t>
                  </w:r>
                </w:p>
              </w:tc>
              <w:tc>
                <w:tcPr>
                  <w:tcW w:w="64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w:t>
                  </w:r>
                </w:p>
              </w:tc>
              <w:tc>
                <w:tcPr>
                  <w:tcW w:w="60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0.0635</w:t>
                  </w:r>
                </w:p>
              </w:tc>
              <w:tc>
                <w:tcPr>
                  <w:tcW w:w="6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0.0265</w:t>
                  </w:r>
                </w:p>
              </w:tc>
              <w:tc>
                <w:tcPr>
                  <w:tcW w:w="75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555" w:type="pct"/>
                  <w:shd w:val="clear" w:color="auto" w:fill="auto"/>
                  <w:vAlign w:val="center"/>
                </w:tcPr>
                <w:p>
                  <w:pPr>
                    <w:pStyle w:val="45"/>
                    <w:spacing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Cs/>
                      <w:color w:val="auto"/>
                      <w:highlight w:val="none"/>
                    </w:rPr>
                    <w:t>有组织</w:t>
                  </w:r>
                </w:p>
              </w:tc>
              <w:tc>
                <w:tcPr>
                  <w:tcW w:w="53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2.83</w:t>
                  </w:r>
                </w:p>
              </w:tc>
              <w:tc>
                <w:tcPr>
                  <w:tcW w:w="67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1.1792</w:t>
                  </w:r>
                </w:p>
              </w:tc>
              <w:tc>
                <w:tcPr>
                  <w:tcW w:w="64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393.067</w:t>
                  </w:r>
                </w:p>
              </w:tc>
              <w:tc>
                <w:tcPr>
                  <w:tcW w:w="603"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0.651</w:t>
                  </w:r>
                </w:p>
              </w:tc>
              <w:tc>
                <w:tcPr>
                  <w:tcW w:w="68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0.271</w:t>
                  </w:r>
                </w:p>
              </w:tc>
              <w:tc>
                <w:tcPr>
                  <w:tcW w:w="75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p>
              </w:tc>
              <w:tc>
                <w:tcPr>
                  <w:tcW w:w="555" w:type="pct"/>
                  <w:shd w:val="clear" w:color="auto" w:fill="auto"/>
                  <w:vAlign w:val="center"/>
                </w:tcPr>
                <w:p>
                  <w:pPr>
                    <w:pStyle w:val="45"/>
                    <w:spacing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Cs/>
                      <w:color w:val="auto"/>
                      <w:highlight w:val="none"/>
                    </w:rPr>
                    <w:t>无组织</w:t>
                  </w:r>
                </w:p>
              </w:tc>
              <w:tc>
                <w:tcPr>
                  <w:tcW w:w="537"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0.31</w:t>
                  </w:r>
                </w:p>
              </w:tc>
              <w:tc>
                <w:tcPr>
                  <w:tcW w:w="67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0.13</w:t>
                  </w:r>
                </w:p>
              </w:tc>
              <w:tc>
                <w:tcPr>
                  <w:tcW w:w="64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603"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0.31</w:t>
                  </w:r>
                </w:p>
              </w:tc>
              <w:tc>
                <w:tcPr>
                  <w:tcW w:w="689"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0.13</w:t>
                  </w:r>
                </w:p>
              </w:tc>
              <w:tc>
                <w:tcPr>
                  <w:tcW w:w="754"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二甲苯</w:t>
                  </w:r>
                </w:p>
              </w:tc>
              <w:tc>
                <w:tcPr>
                  <w:tcW w:w="924" w:type="dxa"/>
                  <w:shd w:val="clear" w:color="auto" w:fill="auto"/>
                  <w:vAlign w:val="center"/>
                </w:tcPr>
                <w:p>
                  <w:pPr>
                    <w:pStyle w:val="45"/>
                    <w:spacing w:line="240" w:lineRule="auto"/>
                    <w:ind w:firstLine="0" w:firstLineChars="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有组织</w:t>
                  </w:r>
                </w:p>
              </w:tc>
              <w:tc>
                <w:tcPr>
                  <w:tcW w:w="537"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0.36</w:t>
                  </w:r>
                </w:p>
              </w:tc>
              <w:tc>
                <w:tcPr>
                  <w:tcW w:w="67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0.15</w:t>
                  </w:r>
                </w:p>
              </w:tc>
              <w:tc>
                <w:tcPr>
                  <w:tcW w:w="64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603"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0.072</w:t>
                  </w:r>
                </w:p>
              </w:tc>
              <w:tc>
                <w:tcPr>
                  <w:tcW w:w="689"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0.03</w:t>
                  </w:r>
                </w:p>
              </w:tc>
              <w:tc>
                <w:tcPr>
                  <w:tcW w:w="754"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4"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p>
              </w:tc>
              <w:tc>
                <w:tcPr>
                  <w:tcW w:w="924" w:type="dxa"/>
                  <w:shd w:val="clear" w:color="auto" w:fill="auto"/>
                  <w:vAlign w:val="center"/>
                </w:tcPr>
                <w:p>
                  <w:pPr>
                    <w:pStyle w:val="45"/>
                    <w:spacing w:line="240" w:lineRule="auto"/>
                    <w:ind w:firstLine="0" w:firstLineChars="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无组织</w:t>
                  </w:r>
                </w:p>
              </w:tc>
              <w:tc>
                <w:tcPr>
                  <w:tcW w:w="537"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w:t>
                  </w:r>
                </w:p>
              </w:tc>
              <w:tc>
                <w:tcPr>
                  <w:tcW w:w="67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0.017</w:t>
                  </w:r>
                </w:p>
              </w:tc>
              <w:tc>
                <w:tcPr>
                  <w:tcW w:w="642" w:type="pct"/>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04" w:type="dxa"/>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w:t>
                  </w:r>
                </w:p>
              </w:tc>
              <w:tc>
                <w:tcPr>
                  <w:tcW w:w="1146" w:type="dxa"/>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0.017</w:t>
                  </w:r>
                </w:p>
              </w:tc>
              <w:tc>
                <w:tcPr>
                  <w:tcW w:w="1254" w:type="dxa"/>
                  <w:tcBorders>
                    <w:right w:val="nil"/>
                  </w:tcBorders>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bl>
          <w:p>
            <w:pPr>
              <w:keepNext w:val="0"/>
              <w:keepLines w:val="0"/>
              <w:pageBreakBefore w:val="0"/>
              <w:widowControl w:val="0"/>
              <w:numPr>
                <w:ilvl w:val="0"/>
                <w:numId w:val="0"/>
              </w:numPr>
              <w:tabs>
                <w:tab w:val="left" w:pos="648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color w:val="auto"/>
                <w:sz w:val="24"/>
                <w:szCs w:val="24"/>
                <w:highlight w:val="none"/>
                <w:lang w:val="en-US" w:eastAsia="zh-CN"/>
              </w:rPr>
              <w:t>（5）食堂油烟</w:t>
            </w:r>
          </w:p>
          <w:p>
            <w:pPr>
              <w:keepNext w:val="0"/>
              <w:keepLines w:val="0"/>
              <w:pageBreakBefore w:val="0"/>
              <w:widowControl w:val="0"/>
              <w:numPr>
                <w:ilvl w:val="0"/>
                <w:numId w:val="0"/>
              </w:numPr>
              <w:tabs>
                <w:tab w:val="left" w:pos="648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rPr>
              <w:t>本项目设置食堂，仅为厂区员工提供</w:t>
            </w:r>
            <w:r>
              <w:rPr>
                <w:rFonts w:hint="default" w:ascii="Times New Roman" w:hAnsi="Times New Roman" w:eastAsia="宋体" w:cs="Times New Roman"/>
                <w:b w:val="0"/>
                <w:bCs/>
                <w:color w:val="auto"/>
                <w:sz w:val="24"/>
                <w:szCs w:val="24"/>
                <w:highlight w:val="none"/>
                <w:lang w:val="en-US" w:eastAsia="zh-CN"/>
              </w:rPr>
              <w:t>三</w:t>
            </w:r>
            <w:r>
              <w:rPr>
                <w:rFonts w:hint="default" w:ascii="Times New Roman" w:hAnsi="Times New Roman" w:eastAsia="宋体" w:cs="Times New Roman"/>
                <w:b w:val="0"/>
                <w:bCs/>
                <w:color w:val="auto"/>
                <w:sz w:val="24"/>
                <w:szCs w:val="24"/>
                <w:highlight w:val="none"/>
              </w:rPr>
              <w:t>餐，废气主要为烹饪过程中产生的油烟。属于</w:t>
            </w:r>
            <w:r>
              <w:rPr>
                <w:rFonts w:hint="default" w:ascii="Times New Roman" w:hAnsi="Times New Roman" w:eastAsia="宋体" w:cs="Times New Roman"/>
                <w:b w:val="0"/>
                <w:bCs/>
                <w:color w:val="auto"/>
                <w:sz w:val="24"/>
                <w:szCs w:val="24"/>
                <w:highlight w:val="none"/>
                <w:lang w:val="en-US" w:eastAsia="zh-CN"/>
              </w:rPr>
              <w:t>中</w:t>
            </w:r>
            <w:r>
              <w:rPr>
                <w:rFonts w:hint="default" w:ascii="Times New Roman" w:hAnsi="Times New Roman" w:eastAsia="宋体" w:cs="Times New Roman"/>
                <w:b w:val="0"/>
                <w:bCs/>
                <w:color w:val="auto"/>
                <w:sz w:val="24"/>
                <w:szCs w:val="24"/>
                <w:highlight w:val="none"/>
              </w:rPr>
              <w:t>型规模，项目就餐人数为</w:t>
            </w:r>
            <w:r>
              <w:rPr>
                <w:rFonts w:hint="default" w:ascii="Times New Roman" w:hAnsi="Times New Roman" w:eastAsia="宋体" w:cs="Times New Roman"/>
                <w:b w:val="0"/>
                <w:bCs/>
                <w:color w:val="auto"/>
                <w:sz w:val="24"/>
                <w:szCs w:val="24"/>
                <w:highlight w:val="none"/>
                <w:lang w:val="en-US" w:eastAsia="zh-CN"/>
              </w:rPr>
              <w:t>50</w:t>
            </w:r>
            <w:r>
              <w:rPr>
                <w:rFonts w:hint="default" w:ascii="Times New Roman" w:hAnsi="Times New Roman" w:eastAsia="宋体" w:cs="Times New Roman"/>
                <w:b w:val="0"/>
                <w:bCs/>
                <w:color w:val="auto"/>
                <w:sz w:val="24"/>
                <w:szCs w:val="24"/>
                <w:highlight w:val="none"/>
              </w:rPr>
              <w:t>人，年工作30</w:t>
            </w:r>
            <w:r>
              <w:rPr>
                <w:rFonts w:hint="default" w:ascii="Times New Roman" w:hAnsi="Times New Roman" w:eastAsia="宋体" w:cs="Times New Roman"/>
                <w:b w:val="0"/>
                <w:bCs/>
                <w:color w:val="auto"/>
                <w:sz w:val="24"/>
                <w:szCs w:val="24"/>
                <w:highlight w:val="none"/>
                <w:lang w:val="en-US" w:eastAsia="zh-CN"/>
              </w:rPr>
              <w:t>0</w:t>
            </w:r>
            <w:r>
              <w:rPr>
                <w:rFonts w:hint="default" w:ascii="Times New Roman" w:hAnsi="Times New Roman" w:eastAsia="宋体" w:cs="Times New Roman"/>
                <w:b w:val="0"/>
                <w:bCs/>
                <w:color w:val="auto"/>
                <w:sz w:val="24"/>
                <w:szCs w:val="24"/>
                <w:highlight w:val="none"/>
              </w:rPr>
              <w:t>天，人均食用油供应量</w:t>
            </w:r>
            <w:r>
              <w:rPr>
                <w:rFonts w:hint="default" w:ascii="Times New Roman" w:hAnsi="Times New Roman" w:eastAsia="宋体" w:cs="Times New Roman"/>
                <w:b w:val="0"/>
                <w:bCs/>
                <w:color w:val="auto"/>
                <w:sz w:val="24"/>
                <w:szCs w:val="24"/>
                <w:highlight w:val="none"/>
                <w:lang w:val="en-US" w:eastAsia="zh-CN"/>
              </w:rPr>
              <w:t>30</w:t>
            </w:r>
            <w:r>
              <w:rPr>
                <w:rFonts w:hint="default" w:ascii="Times New Roman" w:hAnsi="Times New Roman" w:eastAsia="宋体" w:cs="Times New Roman"/>
                <w:b w:val="0"/>
                <w:bCs/>
                <w:color w:val="auto"/>
                <w:sz w:val="24"/>
                <w:szCs w:val="24"/>
                <w:highlight w:val="none"/>
              </w:rPr>
              <w:t>g/人·d，则日用油量为</w:t>
            </w:r>
            <w:r>
              <w:rPr>
                <w:rFonts w:hint="default" w:ascii="Times New Roman" w:hAnsi="Times New Roman" w:eastAsia="宋体" w:cs="Times New Roman"/>
                <w:b w:val="0"/>
                <w:bCs/>
                <w:color w:val="auto"/>
                <w:sz w:val="24"/>
                <w:szCs w:val="24"/>
                <w:highlight w:val="none"/>
                <w:lang w:val="en-US" w:eastAsia="zh-CN"/>
              </w:rPr>
              <w:t>1.5</w:t>
            </w:r>
            <w:r>
              <w:rPr>
                <w:rFonts w:hint="default" w:ascii="Times New Roman" w:hAnsi="Times New Roman" w:eastAsia="宋体" w:cs="Times New Roman"/>
                <w:b w:val="0"/>
                <w:bCs/>
                <w:color w:val="auto"/>
                <w:sz w:val="24"/>
                <w:szCs w:val="24"/>
                <w:highlight w:val="none"/>
              </w:rPr>
              <w:t>kg/d，年用油量</w:t>
            </w:r>
            <w:r>
              <w:rPr>
                <w:rFonts w:hint="eastAsia" w:cs="Times New Roman"/>
                <w:b w:val="0"/>
                <w:bCs/>
                <w:color w:val="auto"/>
                <w:sz w:val="24"/>
                <w:szCs w:val="24"/>
                <w:highlight w:val="none"/>
                <w:lang w:val="en-US" w:eastAsia="zh-CN"/>
              </w:rPr>
              <w:t>450</w:t>
            </w:r>
            <w:r>
              <w:rPr>
                <w:rFonts w:hint="default" w:ascii="Times New Roman" w:hAnsi="Times New Roman" w:eastAsia="宋体" w:cs="Times New Roman"/>
                <w:b w:val="0"/>
                <w:bCs/>
                <w:color w:val="auto"/>
                <w:sz w:val="24"/>
                <w:szCs w:val="24"/>
                <w:highlight w:val="none"/>
              </w:rPr>
              <w:t>kg/a</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0.45t/a）</w:t>
            </w:r>
            <w:r>
              <w:rPr>
                <w:rFonts w:hint="default" w:ascii="Times New Roman" w:hAnsi="Times New Roman" w:eastAsia="宋体" w:cs="Times New Roman"/>
                <w:b w:val="0"/>
                <w:bCs/>
                <w:color w:val="auto"/>
                <w:sz w:val="24"/>
                <w:szCs w:val="24"/>
                <w:highlight w:val="none"/>
              </w:rPr>
              <w:t>，油烟平均挥发量占总油量的3%，食堂</w:t>
            </w:r>
            <w:r>
              <w:rPr>
                <w:rFonts w:hint="default" w:ascii="Times New Roman" w:hAnsi="Times New Roman" w:eastAsia="宋体" w:cs="Times New Roman"/>
                <w:b w:val="0"/>
                <w:bCs/>
                <w:color w:val="auto"/>
                <w:sz w:val="24"/>
                <w:szCs w:val="24"/>
                <w:highlight w:val="none"/>
                <w:lang w:val="en-US" w:eastAsia="zh-CN"/>
              </w:rPr>
              <w:t>三</w:t>
            </w:r>
            <w:r>
              <w:rPr>
                <w:rFonts w:hint="default" w:ascii="Times New Roman" w:hAnsi="Times New Roman" w:eastAsia="宋体" w:cs="Times New Roman"/>
                <w:b w:val="0"/>
                <w:bCs/>
                <w:color w:val="auto"/>
                <w:sz w:val="24"/>
                <w:szCs w:val="24"/>
                <w:highlight w:val="none"/>
              </w:rPr>
              <w:t>餐烹饪的时间</w:t>
            </w:r>
            <w:r>
              <w:rPr>
                <w:rFonts w:hint="default" w:ascii="Times New Roman" w:hAnsi="Times New Roman" w:eastAsia="宋体" w:cs="Times New Roman"/>
                <w:b w:val="0"/>
                <w:bCs/>
                <w:color w:val="auto"/>
                <w:sz w:val="24"/>
                <w:szCs w:val="24"/>
                <w:highlight w:val="none"/>
                <w:lang w:val="en-US" w:eastAsia="zh-CN"/>
              </w:rPr>
              <w:t>为</w:t>
            </w:r>
            <w:r>
              <w:rPr>
                <w:rFonts w:hint="default" w:ascii="Times New Roman" w:hAnsi="Times New Roman" w:eastAsia="宋体" w:cs="Times New Roman"/>
                <w:b w:val="0"/>
                <w:bCs/>
                <w:color w:val="auto"/>
                <w:sz w:val="24"/>
                <w:szCs w:val="24"/>
                <w:highlight w:val="none"/>
              </w:rPr>
              <w:t>2.5h，则油烟产生量为</w:t>
            </w:r>
            <w:r>
              <w:rPr>
                <w:rFonts w:hint="default" w:ascii="Times New Roman" w:hAnsi="Times New Roman" w:eastAsia="宋体" w:cs="Times New Roman"/>
                <w:b w:val="0"/>
                <w:bCs/>
                <w:color w:val="auto"/>
                <w:sz w:val="24"/>
                <w:szCs w:val="24"/>
                <w:highlight w:val="none"/>
                <w:lang w:val="en-US" w:eastAsia="zh-CN"/>
              </w:rPr>
              <w:t>0.0135t/a</w:t>
            </w:r>
            <w:r>
              <w:rPr>
                <w:rFonts w:hint="default" w:ascii="Times New Roman" w:hAnsi="Times New Roman" w:eastAsia="宋体" w:cs="Times New Roman"/>
                <w:b w:val="0"/>
                <w:bCs/>
                <w:color w:val="auto"/>
                <w:sz w:val="24"/>
                <w:szCs w:val="24"/>
                <w:highlight w:val="none"/>
              </w:rPr>
              <w:t>，产生速率</w:t>
            </w:r>
            <w:r>
              <w:rPr>
                <w:rFonts w:hint="default" w:ascii="Times New Roman" w:hAnsi="Times New Roman" w:eastAsia="宋体" w:cs="Times New Roman"/>
                <w:b w:val="0"/>
                <w:bCs/>
                <w:color w:val="auto"/>
                <w:sz w:val="24"/>
                <w:szCs w:val="24"/>
                <w:highlight w:val="none"/>
                <w:lang w:val="en-US" w:eastAsia="zh-CN"/>
              </w:rPr>
              <w:t>0.018</w:t>
            </w:r>
            <w:r>
              <w:rPr>
                <w:rFonts w:hint="default" w:ascii="Times New Roman" w:hAnsi="Times New Roman" w:eastAsia="宋体" w:cs="Times New Roman"/>
                <w:b w:val="0"/>
                <w:bCs/>
                <w:color w:val="auto"/>
                <w:sz w:val="24"/>
                <w:szCs w:val="24"/>
                <w:highlight w:val="none"/>
              </w:rPr>
              <w:t>kg/h，产生浓度为</w:t>
            </w:r>
            <w:r>
              <w:rPr>
                <w:rFonts w:hint="default"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rPr>
              <w:t>mg/</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，安装高效油烟净化器对油烟废气进行净化处理，设计风量</w:t>
            </w:r>
            <w:r>
              <w:rPr>
                <w:rFonts w:hint="default" w:ascii="Times New Roman" w:hAnsi="Times New Roman" w:eastAsia="宋体" w:cs="Times New Roman"/>
                <w:b w:val="0"/>
                <w:bCs/>
                <w:color w:val="auto"/>
                <w:sz w:val="24"/>
                <w:szCs w:val="24"/>
                <w:highlight w:val="none"/>
                <w:lang w:val="en-US" w:eastAsia="zh-CN"/>
              </w:rPr>
              <w:t>3000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b w:val="0"/>
                <w:bCs/>
                <w:color w:val="auto"/>
                <w:sz w:val="24"/>
                <w:szCs w:val="24"/>
                <w:highlight w:val="none"/>
              </w:rPr>
              <w:t>，处理效率达</w:t>
            </w:r>
            <w:r>
              <w:rPr>
                <w:rFonts w:hint="default"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rPr>
              <w:t>%，最终经专用油烟管道</w:t>
            </w:r>
            <w:r>
              <w:rPr>
                <w:rFonts w:hint="default" w:ascii="Times New Roman" w:hAnsi="Times New Roman" w:eastAsia="宋体" w:cs="Times New Roman"/>
                <w:b w:val="0"/>
                <w:bCs/>
                <w:color w:val="auto"/>
                <w:sz w:val="24"/>
                <w:szCs w:val="24"/>
                <w:highlight w:val="none"/>
                <w:lang w:val="en-US" w:eastAsia="zh-CN"/>
              </w:rPr>
              <w:t>引至楼顶</w:t>
            </w:r>
            <w:r>
              <w:rPr>
                <w:rFonts w:hint="default" w:ascii="Times New Roman" w:hAnsi="Times New Roman" w:eastAsia="宋体" w:cs="Times New Roman"/>
                <w:b w:val="0"/>
                <w:bCs/>
                <w:color w:val="auto"/>
                <w:sz w:val="24"/>
                <w:szCs w:val="24"/>
                <w:highlight w:val="none"/>
              </w:rPr>
              <w:t>排放。故油烟排放量</w:t>
            </w:r>
            <w:r>
              <w:rPr>
                <w:rFonts w:hint="default" w:ascii="Times New Roman" w:hAnsi="Times New Roman" w:eastAsia="宋体" w:cs="Times New Roman"/>
                <w:b w:val="0"/>
                <w:bCs/>
                <w:color w:val="auto"/>
                <w:sz w:val="24"/>
                <w:szCs w:val="24"/>
                <w:highlight w:val="none"/>
                <w:lang w:val="en-US" w:eastAsia="zh-CN"/>
              </w:rPr>
              <w:t>约为0.0034t/a</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0.0045</w:t>
            </w:r>
            <w:r>
              <w:rPr>
                <w:rFonts w:hint="default" w:ascii="Times New Roman" w:hAnsi="Times New Roman" w:eastAsia="宋体" w:cs="Times New Roman"/>
                <w:b w:val="0"/>
                <w:bCs/>
                <w:color w:val="auto"/>
                <w:sz w:val="24"/>
                <w:szCs w:val="24"/>
                <w:highlight w:val="none"/>
              </w:rPr>
              <w:t>kg/h</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排放浓度</w:t>
            </w:r>
            <w:r>
              <w:rPr>
                <w:rFonts w:hint="default" w:ascii="Times New Roman" w:hAnsi="Times New Roman" w:eastAsia="宋体" w:cs="Times New Roman"/>
                <w:b w:val="0"/>
                <w:bCs/>
                <w:color w:val="auto"/>
                <w:sz w:val="24"/>
                <w:szCs w:val="24"/>
                <w:highlight w:val="none"/>
                <w:lang w:val="en-US" w:eastAsia="zh-CN"/>
              </w:rPr>
              <w:t>1.5</w:t>
            </w:r>
            <w:r>
              <w:rPr>
                <w:rFonts w:hint="default" w:ascii="Times New Roman" w:hAnsi="Times New Roman" w:eastAsia="宋体" w:cs="Times New Roman"/>
                <w:b w:val="0"/>
                <w:bCs/>
                <w:color w:val="auto"/>
                <w:sz w:val="24"/>
                <w:szCs w:val="24"/>
                <w:highlight w:val="none"/>
              </w:rPr>
              <w:t>mg/</w:t>
            </w:r>
            <w:r>
              <w:rPr>
                <w:rFonts w:hint="default" w:ascii="Times New Roman" w:hAnsi="Times New Roman" w:eastAsia="宋体" w:cs="Times New Roman"/>
                <w:b w:val="0"/>
                <w:bCs/>
                <w:color w:val="auto"/>
                <w:sz w:val="24"/>
                <w:szCs w:val="24"/>
                <w:highlight w:val="none"/>
                <w:lang w:val="en-US" w:eastAsia="zh-CN"/>
              </w:rPr>
              <w:t>m³，</w:t>
            </w:r>
            <w:r>
              <w:rPr>
                <w:rFonts w:hint="default" w:ascii="Times New Roman" w:hAnsi="Times New Roman" w:eastAsia="宋体" w:cs="Times New Roman"/>
                <w:b w:val="0"/>
                <w:bCs/>
                <w:color w:val="auto"/>
                <w:sz w:val="24"/>
                <w:szCs w:val="24"/>
                <w:highlight w:val="none"/>
              </w:rPr>
              <w:t>满足《饮食业油烟排放标准（试行</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》（GB18483-2001）要求：最高允许排放浓度2mg/</w:t>
            </w:r>
            <w:r>
              <w:rPr>
                <w:rFonts w:hint="default" w:ascii="Times New Roman" w:hAnsi="Times New Roman" w:eastAsia="宋体" w:cs="Times New Roman"/>
                <w:b w:val="0"/>
                <w:bCs/>
                <w:color w:val="auto"/>
                <w:sz w:val="24"/>
                <w:szCs w:val="24"/>
                <w:highlight w:val="none"/>
                <w:lang w:val="en-US" w:eastAsia="zh-CN"/>
              </w:rPr>
              <w:t>m³</w:t>
            </w:r>
            <w:r>
              <w:rPr>
                <w:rFonts w:hint="default" w:ascii="Times New Roman" w:hAnsi="Times New Roman" w:eastAsia="宋体" w:cs="Times New Roman"/>
                <w:b w:val="0"/>
                <w:bCs/>
                <w:color w:val="auto"/>
                <w:sz w:val="24"/>
                <w:szCs w:val="24"/>
                <w:highlight w:val="none"/>
              </w:rPr>
              <w:t>。</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rPr>
              <w:t>食堂油烟废气产生及排放情况，见表4-</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10  食堂油烟</w:t>
            </w:r>
            <w:r>
              <w:rPr>
                <w:rFonts w:hint="default" w:ascii="Times New Roman" w:hAnsi="Times New Roman" w:cs="Times New Roman"/>
                <w:b/>
                <w:bCs/>
                <w:color w:val="auto"/>
                <w:highlight w:val="none"/>
              </w:rPr>
              <w:t>产生及排放情况</w:t>
            </w:r>
          </w:p>
          <w:tbl>
            <w:tblPr>
              <w:tblStyle w:val="22"/>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49"/>
              <w:gridCol w:w="979"/>
              <w:gridCol w:w="1124"/>
              <w:gridCol w:w="1073"/>
              <w:gridCol w:w="1009"/>
              <w:gridCol w:w="1156"/>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污染物</w:t>
                  </w:r>
                </w:p>
              </w:tc>
              <w:tc>
                <w:tcPr>
                  <w:tcW w:w="1898"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产生情况</w:t>
                  </w:r>
                </w:p>
              </w:tc>
              <w:tc>
                <w:tcPr>
                  <w:tcW w:w="2049" w:type="pct"/>
                  <w:gridSpan w:val="3"/>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51" w:type="pct"/>
                  <w:gridSpan w:val="2"/>
                  <w:vMerge w:val="continue"/>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p>
              </w:tc>
              <w:tc>
                <w:tcPr>
                  <w:tcW w:w="585" w:type="pct"/>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产生量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7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64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c>
                <w:tcPr>
                  <w:tcW w:w="603"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排放量</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t/a</w:t>
                  </w:r>
                  <w:r>
                    <w:rPr>
                      <w:rFonts w:hint="default" w:ascii="Times New Roman" w:hAnsi="Times New Roman" w:cs="Times New Roman"/>
                      <w:bCs/>
                      <w:color w:val="auto"/>
                      <w:highlight w:val="none"/>
                      <w:lang w:eastAsia="zh-CN"/>
                    </w:rPr>
                    <w:t>)</w:t>
                  </w:r>
                </w:p>
              </w:tc>
              <w:tc>
                <w:tcPr>
                  <w:tcW w:w="691"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速率</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kg/h</w:t>
                  </w:r>
                  <w:r>
                    <w:rPr>
                      <w:rFonts w:hint="default" w:ascii="Times New Roman" w:hAnsi="Times New Roman" w:cs="Times New Roman"/>
                      <w:bCs/>
                      <w:color w:val="auto"/>
                      <w:highlight w:val="none"/>
                      <w:lang w:eastAsia="zh-CN"/>
                    </w:rPr>
                    <w:t>)</w:t>
                  </w:r>
                </w:p>
              </w:tc>
              <w:tc>
                <w:tcPr>
                  <w:tcW w:w="755" w:type="pct"/>
                  <w:tcBorders>
                    <w:right w:val="nil"/>
                  </w:tcBorders>
                  <w:vAlign w:val="center"/>
                </w:tcPr>
                <w:p>
                  <w:pPr>
                    <w:pStyle w:val="4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浓度</w:t>
                  </w:r>
                </w:p>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43"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highlight w:val="none"/>
                      <w:lang w:val="en-US" w:eastAsia="zh-CN"/>
                    </w:rPr>
                  </w:pPr>
                  <w:r>
                    <w:rPr>
                      <w:rFonts w:hint="eastAsia" w:cs="Times New Roman"/>
                      <w:b w:val="0"/>
                      <w:bCs w:val="0"/>
                      <w:color w:val="auto"/>
                      <w:sz w:val="21"/>
                      <w:szCs w:val="21"/>
                      <w:highlight w:val="none"/>
                      <w:lang w:val="en-US" w:eastAsia="zh-CN"/>
                    </w:rPr>
                    <w:t>油烟</w:t>
                  </w:r>
                </w:p>
              </w:tc>
              <w:tc>
                <w:tcPr>
                  <w:tcW w:w="507" w:type="pct"/>
                  <w:vAlign w:val="center"/>
                </w:tcPr>
                <w:p>
                  <w:pPr>
                    <w:pStyle w:val="45"/>
                    <w:spacing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highlight w:val="none"/>
                    </w:rPr>
                    <w:t>有组织</w:t>
                  </w:r>
                </w:p>
              </w:tc>
              <w:tc>
                <w:tcPr>
                  <w:tcW w:w="585"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0.0135</w:t>
                  </w:r>
                </w:p>
              </w:tc>
              <w:tc>
                <w:tcPr>
                  <w:tcW w:w="67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0.018</w:t>
                  </w:r>
                </w:p>
              </w:tc>
              <w:tc>
                <w:tcPr>
                  <w:tcW w:w="64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603"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0.0034</w:t>
                  </w:r>
                </w:p>
              </w:tc>
              <w:tc>
                <w:tcPr>
                  <w:tcW w:w="691"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0.0045</w:t>
                  </w:r>
                </w:p>
              </w:tc>
              <w:tc>
                <w:tcPr>
                  <w:tcW w:w="755" w:type="pct"/>
                  <w:tcBorders>
                    <w:right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r>
          </w:tbl>
          <w:p>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根据上述计算得出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空气污染物</w:t>
            </w:r>
            <w:r>
              <w:rPr>
                <w:rFonts w:hint="default" w:ascii="Times New Roman" w:hAnsi="Times New Roman" w:eastAsia="宋体" w:cs="Times New Roman"/>
                <w:color w:val="auto"/>
                <w:sz w:val="24"/>
                <w:szCs w:val="24"/>
                <w:highlight w:val="none"/>
              </w:rPr>
              <w:t>产排情况表，见表4-</w:t>
            </w:r>
            <w:r>
              <w:rPr>
                <w:rFonts w:hint="default"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，排放口见表4-</w:t>
            </w:r>
            <w:r>
              <w:rPr>
                <w:rFonts w:hint="default" w:ascii="Times New Roman" w:hAnsi="Times New Roman" w:cs="Times New Roman"/>
                <w:color w:val="auto"/>
                <w:sz w:val="24"/>
                <w:szCs w:val="24"/>
                <w:highlight w:val="none"/>
                <w:lang w:val="en-US" w:eastAsia="zh-CN"/>
              </w:rPr>
              <w:t>12，大气污染物年排放量核算，见表4-13</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tabs>
                <w:tab w:val="left" w:pos="648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 xml:space="preserve">4-11  </w:t>
            </w:r>
            <w:r>
              <w:rPr>
                <w:rFonts w:hint="default" w:ascii="Times New Roman" w:hAnsi="Times New Roman" w:eastAsia="宋体" w:cs="Times New Roman"/>
                <w:b/>
                <w:bCs/>
                <w:color w:val="auto"/>
                <w:kern w:val="0"/>
                <w:sz w:val="24"/>
                <w:szCs w:val="24"/>
                <w:highlight w:val="none"/>
                <w:lang w:val="en-US" w:eastAsia="zh-CN" w:bidi="ar"/>
              </w:rPr>
              <w:t>主要污染物排放情况一览表</w:t>
            </w:r>
          </w:p>
          <w:tbl>
            <w:tblPr>
              <w:tblStyle w:val="2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519"/>
              <w:gridCol w:w="537"/>
              <w:gridCol w:w="777"/>
              <w:gridCol w:w="855"/>
              <w:gridCol w:w="894"/>
              <w:gridCol w:w="632"/>
              <w:gridCol w:w="360"/>
              <w:gridCol w:w="524"/>
              <w:gridCol w:w="845"/>
              <w:gridCol w:w="930"/>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37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排放口</w:t>
                  </w:r>
                </w:p>
              </w:tc>
              <w:tc>
                <w:tcPr>
                  <w:tcW w:w="3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产尘点</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污染名称</w:t>
                  </w:r>
                </w:p>
              </w:tc>
              <w:tc>
                <w:tcPr>
                  <w:tcW w:w="46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(t/a)</w:t>
                  </w:r>
                </w:p>
              </w:tc>
              <w:tc>
                <w:tcPr>
                  <w:tcW w:w="5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产生速率（</w:t>
                  </w:r>
                  <w:r>
                    <w:rPr>
                      <w:rFonts w:hint="default" w:ascii="Times New Roman" w:hAnsi="Times New Roman" w:eastAsia="宋体" w:cs="Times New Roman"/>
                      <w:b w:val="0"/>
                      <w:bCs w:val="0"/>
                      <w:color w:val="auto"/>
                      <w:sz w:val="21"/>
                      <w:szCs w:val="21"/>
                      <w:highlight w:val="none"/>
                      <w:lang w:val="en-US" w:eastAsia="zh-CN"/>
                    </w:rPr>
                    <w:t>kg/h</w:t>
                  </w:r>
                  <w:r>
                    <w:rPr>
                      <w:rFonts w:hint="default" w:ascii="Times New Roman" w:hAnsi="Times New Roman" w:eastAsia="宋体" w:cs="Times New Roman"/>
                      <w:b w:val="0"/>
                      <w:bCs w:val="0"/>
                      <w:color w:val="auto"/>
                      <w:sz w:val="21"/>
                      <w:szCs w:val="21"/>
                      <w:highlight w:val="none"/>
                      <w:lang w:eastAsia="zh-CN"/>
                    </w:rPr>
                    <w:t>）</w:t>
                  </w:r>
                </w:p>
              </w:tc>
              <w:tc>
                <w:tcPr>
                  <w:tcW w:w="53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产生浓度</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376"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214"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收集效率</w:t>
                  </w:r>
                </w:p>
              </w:tc>
              <w:tc>
                <w:tcPr>
                  <w:tcW w:w="31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去除</w:t>
                  </w:r>
                  <w:r>
                    <w:rPr>
                      <w:rFonts w:hint="default" w:ascii="Times New Roman" w:hAnsi="Times New Roman" w:eastAsia="宋体" w:cs="Times New Roman"/>
                      <w:b w:val="0"/>
                      <w:bCs w:val="0"/>
                      <w:color w:val="auto"/>
                      <w:sz w:val="21"/>
                      <w:szCs w:val="21"/>
                      <w:highlight w:val="none"/>
                    </w:rPr>
                    <w:t>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0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t/a</w:t>
                  </w:r>
                  <w:r>
                    <w:rPr>
                      <w:rFonts w:hint="default" w:ascii="Times New Roman" w:hAnsi="Times New Roman" w:eastAsia="宋体" w:cs="Times New Roman"/>
                      <w:b w:val="0"/>
                      <w:bCs w:val="0"/>
                      <w:color w:val="auto"/>
                      <w:sz w:val="21"/>
                      <w:szCs w:val="21"/>
                      <w:highlight w:val="none"/>
                      <w:lang w:eastAsia="zh-CN"/>
                    </w:rPr>
                    <w:t>）</w:t>
                  </w:r>
                </w:p>
              </w:tc>
              <w:tc>
                <w:tcPr>
                  <w:tcW w:w="55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排放速率（</w:t>
                  </w:r>
                  <w:r>
                    <w:rPr>
                      <w:rFonts w:hint="default" w:ascii="Times New Roman" w:hAnsi="Times New Roman" w:eastAsia="宋体" w:cs="Times New Roman"/>
                      <w:b w:val="0"/>
                      <w:bCs w:val="0"/>
                      <w:color w:val="auto"/>
                      <w:sz w:val="21"/>
                      <w:szCs w:val="21"/>
                      <w:highlight w:val="none"/>
                      <w:lang w:val="en-US" w:eastAsia="zh-CN"/>
                    </w:rPr>
                    <w:t>kg/h</w:t>
                  </w:r>
                  <w:r>
                    <w:rPr>
                      <w:rFonts w:hint="default" w:ascii="Times New Roman" w:hAnsi="Times New Roman" w:eastAsia="宋体" w:cs="Times New Roman"/>
                      <w:b w:val="0"/>
                      <w:bCs w:val="0"/>
                      <w:color w:val="auto"/>
                      <w:sz w:val="21"/>
                      <w:szCs w:val="21"/>
                      <w:highlight w:val="none"/>
                      <w:lang w:eastAsia="zh-CN"/>
                    </w:rPr>
                    <w:t>）</w:t>
                  </w:r>
                </w:p>
              </w:tc>
              <w:tc>
                <w:tcPr>
                  <w:tcW w:w="532"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DA001</w:t>
                  </w:r>
                </w:p>
              </w:tc>
              <w:tc>
                <w:tcPr>
                  <w:tcW w:w="309" w:type="pct"/>
                  <w:tcBorders>
                    <w:tl2br w:val="nil"/>
                    <w:tr2bl w:val="nil"/>
                  </w:tcBorders>
                  <w:noWrap w:val="0"/>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切割</w:t>
                  </w:r>
                  <w:r>
                    <w:rPr>
                      <w:rFonts w:hint="eastAsia" w:cs="Times New Roman"/>
                      <w:b w:val="0"/>
                      <w:bCs w:val="0"/>
                      <w:color w:val="auto"/>
                      <w:sz w:val="21"/>
                      <w:szCs w:val="21"/>
                      <w:highlight w:val="none"/>
                      <w:lang w:val="en-US" w:eastAsia="zh-CN"/>
                    </w:rPr>
                    <w:t>工</w:t>
                  </w:r>
                  <w:r>
                    <w:rPr>
                      <w:rFonts w:hint="default" w:ascii="Times New Roman" w:hAnsi="Times New Roman" w:eastAsia="宋体" w:cs="Times New Roman"/>
                      <w:b w:val="0"/>
                      <w:bCs w:val="0"/>
                      <w:color w:val="auto"/>
                      <w:sz w:val="21"/>
                      <w:szCs w:val="21"/>
                      <w:highlight w:val="none"/>
                      <w:lang w:val="en-US" w:eastAsia="zh-CN"/>
                    </w:rPr>
                    <w:t>序金属粉尘</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1.94</w:t>
                  </w:r>
                </w:p>
              </w:tc>
              <w:tc>
                <w:tcPr>
                  <w:tcW w:w="509"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0.8083</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269.43</w:t>
                  </w:r>
                </w:p>
              </w:tc>
              <w:tc>
                <w:tcPr>
                  <w:tcW w:w="376"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rPr>
                  </w:pPr>
                  <w:r>
                    <w:rPr>
                      <w:rStyle w:val="46"/>
                      <w:rFonts w:hint="default" w:ascii="Times New Roman" w:hAnsi="Times New Roman" w:cs="Times New Roman"/>
                      <w:color w:val="auto"/>
                      <w:sz w:val="21"/>
                      <w:szCs w:val="21"/>
                      <w:highlight w:val="none"/>
                      <w:lang w:val="en-US" w:eastAsia="zh-CN" w:bidi="ar"/>
                    </w:rPr>
                    <w:t>密闭厂房+密闭设备+</w:t>
                  </w:r>
                  <w:r>
                    <w:rPr>
                      <w:rStyle w:val="46"/>
                      <w:rFonts w:hint="default" w:ascii="Times New Roman" w:hAnsi="Times New Roman" w:eastAsia="宋体" w:cs="Times New Roman"/>
                      <w:color w:val="auto"/>
                      <w:sz w:val="21"/>
                      <w:szCs w:val="21"/>
                      <w:highlight w:val="none"/>
                      <w:lang w:val="en-US" w:eastAsia="zh-CN" w:bidi="ar"/>
                    </w:rPr>
                    <w:t>布袋除尘器</w:t>
                  </w: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80%</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95</w:t>
                  </w:r>
                </w:p>
              </w:tc>
              <w:tc>
                <w:tcPr>
                  <w:tcW w:w="50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0.097</w:t>
                  </w:r>
                </w:p>
              </w:tc>
              <w:tc>
                <w:tcPr>
                  <w:tcW w:w="55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0.0404</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13.54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DA002</w:t>
                  </w:r>
                </w:p>
              </w:tc>
              <w:tc>
                <w:tcPr>
                  <w:tcW w:w="309" w:type="pct"/>
                  <w:tcBorders>
                    <w:tl2br w:val="nil"/>
                    <w:tr2bl w:val="nil"/>
                  </w:tcBorders>
                  <w:noWrap w:val="0"/>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喷砂工序金属粉尘</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4.31</w:t>
                  </w:r>
                </w:p>
              </w:tc>
              <w:tc>
                <w:tcPr>
                  <w:tcW w:w="509"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w:t>
                  </w:r>
                </w:p>
              </w:tc>
              <w:tc>
                <w:tcPr>
                  <w:tcW w:w="376"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6"/>
                      <w:rFonts w:hint="default" w:ascii="Times New Roman" w:hAnsi="Times New Roman" w:cs="Times New Roman"/>
                      <w:color w:val="auto"/>
                      <w:sz w:val="21"/>
                      <w:szCs w:val="21"/>
                      <w:highlight w:val="none"/>
                      <w:lang w:val="en-US" w:eastAsia="zh-CN" w:bidi="ar"/>
                    </w:rPr>
                  </w:pPr>
                  <w:r>
                    <w:rPr>
                      <w:rStyle w:val="46"/>
                      <w:rFonts w:hint="default" w:ascii="Times New Roman" w:hAnsi="Times New Roman" w:cs="Times New Roman"/>
                      <w:color w:val="auto"/>
                      <w:sz w:val="21"/>
                      <w:szCs w:val="21"/>
                      <w:highlight w:val="none"/>
                      <w:lang w:val="en-US" w:eastAsia="zh-CN" w:bidi="ar"/>
                    </w:rPr>
                    <w:t>密闭厂房+密闭设备+</w:t>
                  </w:r>
                  <w:r>
                    <w:rPr>
                      <w:rStyle w:val="46"/>
                      <w:rFonts w:hint="default" w:ascii="Times New Roman" w:hAnsi="Times New Roman" w:eastAsia="宋体" w:cs="Times New Roman"/>
                      <w:color w:val="auto"/>
                      <w:sz w:val="21"/>
                      <w:szCs w:val="21"/>
                      <w:highlight w:val="none"/>
                      <w:lang w:val="en-US" w:eastAsia="zh-CN" w:bidi="ar"/>
                    </w:rPr>
                    <w:t>布袋除尘器</w:t>
                  </w: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90</w:t>
                  </w:r>
                  <w:r>
                    <w:rPr>
                      <w:rFonts w:hint="default" w:ascii="Times New Roman" w:hAnsi="Times New Roman" w:cs="Times New Roman"/>
                      <w:b w:val="0"/>
                      <w:bCs w:val="0"/>
                      <w:color w:val="auto"/>
                      <w:sz w:val="21"/>
                      <w:szCs w:val="21"/>
                      <w:highlight w:val="none"/>
                      <w:lang w:val="en-US" w:eastAsia="zh-CN"/>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50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0.216</w:t>
                  </w:r>
                </w:p>
              </w:tc>
              <w:tc>
                <w:tcPr>
                  <w:tcW w:w="55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0.09</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73"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DA003</w:t>
                  </w:r>
                </w:p>
              </w:tc>
              <w:tc>
                <w:tcPr>
                  <w:tcW w:w="309" w:type="pct"/>
                  <w:vMerge w:val="restart"/>
                  <w:tcBorders>
                    <w:tl2br w:val="nil"/>
                    <w:tr2bl w:val="nil"/>
                  </w:tcBorders>
                  <w:noWrap w:val="0"/>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喷漆工序废气</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1.143</w:t>
                  </w:r>
                </w:p>
              </w:tc>
              <w:tc>
                <w:tcPr>
                  <w:tcW w:w="509"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0.476</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158.67</w:t>
                  </w:r>
                </w:p>
              </w:tc>
              <w:tc>
                <w:tcPr>
                  <w:tcW w:w="376" w:type="pct"/>
                  <w:vMerge w:val="restar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6"/>
                      <w:rFonts w:hint="default" w:ascii="Times New Roman" w:hAnsi="Times New Roman" w:cs="Times New Roman"/>
                      <w:color w:val="auto"/>
                      <w:sz w:val="21"/>
                      <w:szCs w:val="21"/>
                      <w:highlight w:val="none"/>
                      <w:lang w:val="en-US" w:eastAsia="zh-CN" w:bidi="ar"/>
                    </w:rPr>
                  </w:pPr>
                  <w:r>
                    <w:rPr>
                      <w:rStyle w:val="46"/>
                      <w:rFonts w:hint="default" w:ascii="Times New Roman" w:hAnsi="Times New Roman" w:cs="Times New Roman"/>
                      <w:color w:val="auto"/>
                      <w:sz w:val="21"/>
                      <w:szCs w:val="21"/>
                      <w:highlight w:val="none"/>
                      <w:lang w:val="en-US" w:eastAsia="zh-CN" w:bidi="ar"/>
                    </w:rPr>
                    <w:t>封闭车间+纸盒过滤+活性炭吸附+催化燃烧装置</w:t>
                  </w:r>
                </w:p>
              </w:tc>
              <w:tc>
                <w:tcPr>
                  <w:tcW w:w="214" w:type="pct"/>
                  <w:vMerge w:val="restar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50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0.0572</w:t>
                  </w:r>
                </w:p>
              </w:tc>
              <w:tc>
                <w:tcPr>
                  <w:tcW w:w="553"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0.024</w:t>
                  </w:r>
                </w:p>
              </w:tc>
              <w:tc>
                <w:tcPr>
                  <w:tcW w:w="532" w:type="pct"/>
                  <w:tcBorders>
                    <w:tl2br w:val="nil"/>
                    <w:tr2bl w:val="nil"/>
                  </w:tcBorders>
                  <w:shd w:val="clear" w:color="auto" w:fill="auto"/>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vMerge w:val="continue"/>
                  <w:tcBorders>
                    <w:tl2br w:val="nil"/>
                    <w:tr2bl w:val="nil"/>
                  </w:tcBorders>
                  <w:noWrap w:val="0"/>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46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2.83</w:t>
                  </w:r>
                </w:p>
              </w:tc>
              <w:tc>
                <w:tcPr>
                  <w:tcW w:w="509"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1.1792</w:t>
                  </w:r>
                </w:p>
              </w:tc>
              <w:tc>
                <w:tcPr>
                  <w:tcW w:w="53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393.067</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6"/>
                      <w:rFonts w:hint="default" w:ascii="Times New Roman" w:hAnsi="Times New Roman" w:cs="Times New Roman"/>
                      <w:color w:val="auto"/>
                      <w:sz w:val="21"/>
                      <w:szCs w:val="21"/>
                      <w:highlight w:val="none"/>
                      <w:lang w:val="en-US" w:eastAsia="zh-CN" w:bidi="ar"/>
                    </w:rPr>
                  </w:pPr>
                </w:p>
              </w:tc>
              <w:tc>
                <w:tcPr>
                  <w:tcW w:w="214"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sz w:val="21"/>
                      <w:szCs w:val="21"/>
                      <w:highlight w:val="none"/>
                      <w:lang w:val="en-US" w:eastAsia="zh-CN"/>
                    </w:rPr>
                  </w:pP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w:t>
                  </w:r>
                </w:p>
              </w:tc>
              <w:tc>
                <w:tcPr>
                  <w:tcW w:w="50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0.651</w:t>
                  </w:r>
                </w:p>
              </w:tc>
              <w:tc>
                <w:tcPr>
                  <w:tcW w:w="55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0.271</w:t>
                  </w:r>
                </w:p>
              </w:tc>
              <w:tc>
                <w:tcPr>
                  <w:tcW w:w="53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vMerge w:val="continue"/>
                  <w:tcBorders>
                    <w:tl2br w:val="nil"/>
                    <w:tr2bl w:val="nil"/>
                  </w:tcBorders>
                  <w:noWrap w:val="0"/>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二甲苯</w:t>
                  </w:r>
                </w:p>
              </w:tc>
              <w:tc>
                <w:tcPr>
                  <w:tcW w:w="46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0.36</w:t>
                  </w:r>
                </w:p>
              </w:tc>
              <w:tc>
                <w:tcPr>
                  <w:tcW w:w="509"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0.15</w:t>
                  </w:r>
                </w:p>
              </w:tc>
              <w:tc>
                <w:tcPr>
                  <w:tcW w:w="53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6"/>
                      <w:rFonts w:hint="default" w:ascii="Times New Roman" w:hAnsi="Times New Roman" w:cs="Times New Roman"/>
                      <w:color w:val="auto"/>
                      <w:sz w:val="21"/>
                      <w:szCs w:val="21"/>
                      <w:highlight w:val="none"/>
                      <w:lang w:val="en-US" w:eastAsia="zh-CN" w:bidi="ar"/>
                    </w:rPr>
                  </w:pPr>
                </w:p>
              </w:tc>
              <w:tc>
                <w:tcPr>
                  <w:tcW w:w="214"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sz w:val="21"/>
                      <w:szCs w:val="21"/>
                      <w:highlight w:val="none"/>
                      <w:lang w:val="en-US" w:eastAsia="zh-CN"/>
                    </w:rPr>
                  </w:pP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50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0.072</w:t>
                  </w:r>
                </w:p>
              </w:tc>
              <w:tc>
                <w:tcPr>
                  <w:tcW w:w="55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0.03</w:t>
                  </w:r>
                </w:p>
              </w:tc>
              <w:tc>
                <w:tcPr>
                  <w:tcW w:w="53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无组织废气</w:t>
                  </w:r>
                </w:p>
              </w:tc>
              <w:tc>
                <w:tcPr>
                  <w:tcW w:w="3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生产车间（</w:t>
                  </w:r>
                  <w:r>
                    <w:rPr>
                      <w:rFonts w:hint="default" w:ascii="Times New Roman" w:hAnsi="Times New Roman" w:cs="Times New Roman"/>
                      <w:b w:val="0"/>
                      <w:bCs w:val="0"/>
                      <w:color w:val="auto"/>
                      <w:sz w:val="21"/>
                      <w:szCs w:val="21"/>
                      <w:highlight w:val="none"/>
                      <w:lang w:val="en-US" w:eastAsia="zh-CN"/>
                    </w:rPr>
                    <w:t>切割</w:t>
                  </w:r>
                  <w:r>
                    <w:rPr>
                      <w:rFonts w:hint="eastAsia" w:cs="Times New Roman"/>
                      <w:b w:val="0"/>
                      <w:bCs w:val="0"/>
                      <w:color w:val="auto"/>
                      <w:sz w:val="21"/>
                      <w:szCs w:val="21"/>
                      <w:highlight w:val="none"/>
                      <w:lang w:val="en-US" w:eastAsia="zh-CN"/>
                    </w:rPr>
                    <w:t>工</w:t>
                  </w:r>
                  <w:r>
                    <w:rPr>
                      <w:rFonts w:hint="default" w:ascii="Times New Roman" w:hAnsi="Times New Roman" w:eastAsia="宋体" w:cs="Times New Roman"/>
                      <w:b w:val="0"/>
                      <w:bCs w:val="0"/>
                      <w:color w:val="auto"/>
                      <w:sz w:val="21"/>
                      <w:szCs w:val="21"/>
                      <w:highlight w:val="none"/>
                      <w:lang w:val="en-US" w:eastAsia="zh-CN"/>
                    </w:rPr>
                    <w:t>序金属粉尘</w:t>
                  </w:r>
                  <w:r>
                    <w:rPr>
                      <w:rFonts w:hint="default" w:ascii="Times New Roman" w:hAnsi="Times New Roman" w:cs="Times New Roman"/>
                      <w:snapToGrid w:val="0"/>
                      <w:color w:val="auto"/>
                      <w:kern w:val="0"/>
                      <w:sz w:val="21"/>
                      <w:szCs w:val="21"/>
                      <w:highlight w:val="none"/>
                      <w:lang w:val="en-US" w:eastAsia="zh-CN"/>
                    </w:rPr>
                    <w:t>）</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0.48</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0.2</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376" w:type="pct"/>
                  <w:vMerge w:val="restar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密闭厂房、车间及时清扫</w:t>
                  </w: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eastAsia="宋体"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eastAsia="宋体"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90</w:t>
                  </w:r>
                </w:p>
              </w:tc>
              <w:tc>
                <w:tcPr>
                  <w:tcW w:w="50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0.048</w:t>
                  </w:r>
                </w:p>
              </w:tc>
              <w:tc>
                <w:tcPr>
                  <w:tcW w:w="55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0.0</w:t>
                  </w:r>
                  <w:r>
                    <w:rPr>
                      <w:rFonts w:hint="default" w:ascii="Times New Roman" w:hAnsi="Times New Roman" w:cs="Times New Roman"/>
                      <w:b w:val="0"/>
                      <w:bCs w:val="0"/>
                      <w:color w:val="auto"/>
                      <w:sz w:val="21"/>
                      <w:szCs w:val="21"/>
                      <w:highlight w:val="none"/>
                      <w:lang w:val="en-US" w:eastAsia="zh-CN"/>
                    </w:rPr>
                    <w:t>2</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Style w:val="47"/>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生产车间（</w:t>
                  </w:r>
                  <w:r>
                    <w:rPr>
                      <w:rFonts w:hint="default" w:ascii="Times New Roman" w:hAnsi="Times New Roman" w:eastAsia="宋体" w:cs="Times New Roman"/>
                      <w:b w:val="0"/>
                      <w:bCs w:val="0"/>
                      <w:color w:val="auto"/>
                      <w:sz w:val="21"/>
                      <w:szCs w:val="21"/>
                      <w:highlight w:val="none"/>
                      <w:lang w:val="en-US" w:eastAsia="zh-CN"/>
                    </w:rPr>
                    <w:t>喷砂工序金属粉尘）</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0.48</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90</w:t>
                  </w:r>
                </w:p>
              </w:tc>
              <w:tc>
                <w:tcPr>
                  <w:tcW w:w="50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48</w:t>
                  </w:r>
                </w:p>
              </w:tc>
              <w:tc>
                <w:tcPr>
                  <w:tcW w:w="55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Style w:val="47"/>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焊接工序</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焊接烟尘</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0.82</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95</w:t>
                  </w:r>
                </w:p>
              </w:tc>
              <w:tc>
                <w:tcPr>
                  <w:tcW w:w="50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0.0615</w:t>
                  </w:r>
                </w:p>
              </w:tc>
              <w:tc>
                <w:tcPr>
                  <w:tcW w:w="55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0.041</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Style w:val="47"/>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生产车间（喷漆工序废气</w:t>
                  </w:r>
                  <w:r>
                    <w:rPr>
                      <w:rFonts w:hint="default" w:ascii="Times New Roman" w:hAnsi="Times New Roman" w:eastAsia="宋体" w:cs="Times New Roman"/>
                      <w:b w:val="0"/>
                      <w:bCs w:val="0"/>
                      <w:color w:val="auto"/>
                      <w:sz w:val="21"/>
                      <w:szCs w:val="21"/>
                      <w:highlight w:val="none"/>
                      <w:lang w:val="en-US" w:eastAsia="zh-CN"/>
                    </w:rPr>
                    <w:t>）</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0.127</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0.053</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376" w:type="pct"/>
                  <w:vMerge w:val="restar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提高废气收集效率，强化车间的密闭性</w:t>
                  </w: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50</w:t>
                  </w:r>
                </w:p>
              </w:tc>
              <w:tc>
                <w:tcPr>
                  <w:tcW w:w="50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0.0635</w:t>
                  </w:r>
                </w:p>
              </w:tc>
              <w:tc>
                <w:tcPr>
                  <w:tcW w:w="553"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0.0265</w:t>
                  </w:r>
                </w:p>
              </w:tc>
              <w:tc>
                <w:tcPr>
                  <w:tcW w:w="532" w:type="pct"/>
                  <w:tcBorders>
                    <w:tl2br w:val="nil"/>
                    <w:tr2bl w:val="nil"/>
                  </w:tcBorders>
                  <w:shd w:val="clear" w:color="auto" w:fill="auto"/>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0.31</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0.13</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50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0.31</w:t>
                  </w:r>
                </w:p>
              </w:tc>
              <w:tc>
                <w:tcPr>
                  <w:tcW w:w="55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bidi="ar-SA"/>
                    </w:rPr>
                    <w:t>0.13</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Style w:val="47"/>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309"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二甲苯</w:t>
                  </w:r>
                </w:p>
              </w:tc>
              <w:tc>
                <w:tcPr>
                  <w:tcW w:w="46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w:t>
                  </w:r>
                </w:p>
              </w:tc>
              <w:tc>
                <w:tcPr>
                  <w:tcW w:w="509"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0.017</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376" w:type="pct"/>
                  <w:vMerge w:val="continue"/>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w:t>
                  </w:r>
                </w:p>
              </w:tc>
              <w:tc>
                <w:tcPr>
                  <w:tcW w:w="50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w:t>
                  </w:r>
                </w:p>
              </w:tc>
              <w:tc>
                <w:tcPr>
                  <w:tcW w:w="553"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0.017</w:t>
                  </w:r>
                </w:p>
              </w:tc>
              <w:tc>
                <w:tcPr>
                  <w:tcW w:w="532" w:type="pct"/>
                  <w:tcBorders>
                    <w:tl2br w:val="nil"/>
                    <w:tr2bl w:val="nil"/>
                  </w:tcBorders>
                  <w:noWrap w:val="0"/>
                  <w:tcMar>
                    <w:left w:w="0" w:type="dxa"/>
                    <w:right w:w="0" w:type="dxa"/>
                  </w:tcMar>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73"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30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食堂</w:t>
                  </w:r>
                </w:p>
              </w:tc>
              <w:tc>
                <w:tcPr>
                  <w:tcW w:w="319"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油烟</w:t>
                  </w:r>
                </w:p>
              </w:tc>
              <w:tc>
                <w:tcPr>
                  <w:tcW w:w="462"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0.0135</w:t>
                  </w:r>
                </w:p>
              </w:tc>
              <w:tc>
                <w:tcPr>
                  <w:tcW w:w="509"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0.018</w:t>
                  </w:r>
                </w:p>
              </w:tc>
              <w:tc>
                <w:tcPr>
                  <w:tcW w:w="532"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w:t>
                  </w:r>
                </w:p>
              </w:tc>
              <w:tc>
                <w:tcPr>
                  <w:tcW w:w="376"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油烟净化器</w:t>
                  </w:r>
                </w:p>
              </w:tc>
              <w:tc>
                <w:tcPr>
                  <w:tcW w:w="214"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是</w:t>
                  </w:r>
                </w:p>
              </w:tc>
              <w:tc>
                <w:tcPr>
                  <w:tcW w:w="312" w:type="pct"/>
                  <w:tcBorders>
                    <w:tl2br w:val="nil"/>
                    <w:tr2bl w:val="nil"/>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Style w:val="47"/>
                      <w:rFonts w:hint="default" w:ascii="Times New Roman" w:hAnsi="Times New Roman" w:cs="Times New Roman"/>
                      <w:color w:val="auto"/>
                      <w:sz w:val="21"/>
                      <w:szCs w:val="21"/>
                      <w:highlight w:val="none"/>
                      <w:lang w:val="en-US" w:eastAsia="zh-CN" w:bidi="ar"/>
                    </w:rPr>
                  </w:pPr>
                  <w:r>
                    <w:rPr>
                      <w:rStyle w:val="47"/>
                      <w:rFonts w:hint="default" w:ascii="Times New Roman" w:hAnsi="Times New Roman" w:cs="Times New Roman"/>
                      <w:color w:val="auto"/>
                      <w:sz w:val="21"/>
                      <w:szCs w:val="21"/>
                      <w:highlight w:val="none"/>
                      <w:lang w:val="en-US" w:eastAsia="zh-CN" w:bidi="ar"/>
                    </w:rPr>
                    <w:t>75</w:t>
                  </w:r>
                </w:p>
              </w:tc>
              <w:tc>
                <w:tcPr>
                  <w:tcW w:w="503"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0.0034</w:t>
                  </w:r>
                </w:p>
              </w:tc>
              <w:tc>
                <w:tcPr>
                  <w:tcW w:w="553"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0.0045</w:t>
                  </w:r>
                </w:p>
              </w:tc>
              <w:tc>
                <w:tcPr>
                  <w:tcW w:w="532" w:type="pct"/>
                  <w:tcBorders>
                    <w:tl2br w:val="nil"/>
                    <w:tr2bl w:val="nil"/>
                  </w:tcBorders>
                  <w:noWrap w:val="0"/>
                  <w:tcMar>
                    <w:left w:w="0" w:type="dxa"/>
                    <w:right w:w="0" w:type="dxa"/>
                  </w:tcMar>
                  <w:vAlign w:val="center"/>
                </w:tcPr>
                <w:p>
                  <w:pPr>
                    <w:keepNext w:val="0"/>
                    <w:keepLines w:val="0"/>
                    <w:widowControl/>
                    <w:suppressLineNumbers w:val="0"/>
                    <w:spacing w:line="240" w:lineRule="auto"/>
                    <w:ind w:left="0" w:leftChars="0" w:firstLine="0" w:firstLineChars="0"/>
                    <w:jc w:val="center"/>
                    <w:textAlignment w:val="center"/>
                    <w:rPr>
                      <w:rStyle w:val="47"/>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1.5</w:t>
                  </w:r>
                </w:p>
              </w:tc>
            </w:tr>
          </w:tbl>
          <w:p>
            <w:pPr>
              <w:widowControl/>
              <w:spacing w:line="240" w:lineRule="auto"/>
              <w:ind w:firstLine="0" w:firstLine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表4-12  排放口基本情况表</w:t>
            </w:r>
          </w:p>
          <w:tbl>
            <w:tblPr>
              <w:tblStyle w:val="22"/>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936"/>
              <w:gridCol w:w="1497"/>
              <w:gridCol w:w="700"/>
              <w:gridCol w:w="1311"/>
              <w:gridCol w:w="709"/>
              <w:gridCol w:w="1009"/>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23" w:type="pct"/>
                  <w:tcBorders>
                    <w:left w:val="nil"/>
                  </w:tcBorders>
                  <w:vAlign w:val="center"/>
                </w:tcPr>
                <w:p>
                  <w:pPr>
                    <w:pStyle w:val="45"/>
                    <w:spacing w:line="240" w:lineRule="auto"/>
                    <w:ind w:firstLine="0" w:firstLineChars="0"/>
                    <w:rPr>
                      <w:rFonts w:hint="default" w:ascii="Times New Roman" w:hAnsi="Times New Roman" w:cs="Times New Roman"/>
                      <w:b w:val="0"/>
                      <w:bCs/>
                      <w:color w:val="auto"/>
                      <w:highlight w:val="none"/>
                    </w:rPr>
                  </w:pPr>
                  <w:r>
                    <w:rPr>
                      <w:rFonts w:hint="default" w:ascii="Times New Roman" w:hAnsi="Times New Roman" w:eastAsia="宋体" w:cs="Times New Roman"/>
                      <w:b w:val="0"/>
                      <w:bCs/>
                      <w:color w:val="auto"/>
                      <w:kern w:val="0"/>
                      <w:sz w:val="21"/>
                      <w:szCs w:val="21"/>
                      <w:highlight w:val="none"/>
                      <w:lang w:val="en-US" w:eastAsia="zh-CN" w:bidi="ar"/>
                    </w:rPr>
                    <w:t>排放口编号</w:t>
                  </w:r>
                </w:p>
              </w:tc>
              <w:tc>
                <w:tcPr>
                  <w:tcW w:w="558" w:type="pct"/>
                  <w:vAlign w:val="center"/>
                </w:tcPr>
                <w:p>
                  <w:pPr>
                    <w:pStyle w:val="45"/>
                    <w:spacing w:line="240" w:lineRule="auto"/>
                    <w:ind w:firstLine="0" w:firstLineChars="0"/>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名称</w:t>
                  </w:r>
                </w:p>
              </w:tc>
              <w:tc>
                <w:tcPr>
                  <w:tcW w:w="893" w:type="pct"/>
                  <w:tcBorders>
                    <w:right w:val="nil"/>
                  </w:tcBorders>
                  <w:vAlign w:val="center"/>
                </w:tcPr>
                <w:p>
                  <w:pPr>
                    <w:pStyle w:val="45"/>
                    <w:spacing w:line="240" w:lineRule="auto"/>
                    <w:ind w:firstLine="0" w:firstLineChars="0"/>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坐标</w:t>
                  </w:r>
                  <w:r>
                    <w:rPr>
                      <w:rFonts w:hint="default" w:ascii="Times New Roman" w:hAnsi="Times New Roman" w:cs="Times New Roman"/>
                      <w:b w:val="0"/>
                      <w:bCs/>
                      <w:color w:val="auto"/>
                      <w:sz w:val="21"/>
                      <w:szCs w:val="21"/>
                      <w:highlight w:val="none"/>
                    </w:rPr>
                    <w:t>（°）</w:t>
                  </w:r>
                </w:p>
              </w:tc>
              <w:tc>
                <w:tcPr>
                  <w:tcW w:w="417" w:type="pc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color w:val="auto"/>
                      <w:highlight w:val="none"/>
                    </w:rPr>
                  </w:pPr>
                  <w:r>
                    <w:rPr>
                      <w:rFonts w:hint="default" w:ascii="Times New Roman" w:hAnsi="Times New Roman" w:eastAsia="宋体" w:cs="Times New Roman"/>
                      <w:b w:val="0"/>
                      <w:bCs/>
                      <w:color w:val="auto"/>
                      <w:kern w:val="0"/>
                      <w:sz w:val="21"/>
                      <w:szCs w:val="21"/>
                      <w:highlight w:val="none"/>
                      <w:lang w:val="en-US" w:eastAsia="zh-CN" w:bidi="ar"/>
                    </w:rPr>
                    <w:t>高度</w:t>
                  </w:r>
                </w:p>
              </w:tc>
              <w:tc>
                <w:tcPr>
                  <w:tcW w:w="782" w:type="pc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处理工艺</w:t>
                  </w:r>
                </w:p>
              </w:tc>
              <w:tc>
                <w:tcPr>
                  <w:tcW w:w="423" w:type="pc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color w:val="auto"/>
                      <w:highlight w:val="none"/>
                      <w:lang w:eastAsia="zh-CN"/>
                    </w:rPr>
                  </w:pPr>
                  <w:r>
                    <w:rPr>
                      <w:rFonts w:hint="default" w:ascii="Times New Roman" w:hAnsi="Times New Roman" w:eastAsia="宋体" w:cs="Times New Roman"/>
                      <w:b w:val="0"/>
                      <w:bCs/>
                      <w:color w:val="auto"/>
                      <w:kern w:val="0"/>
                      <w:sz w:val="21"/>
                      <w:szCs w:val="21"/>
                      <w:highlight w:val="none"/>
                      <w:lang w:val="en-US" w:eastAsia="zh-CN" w:bidi="ar"/>
                    </w:rPr>
                    <w:t>内径</w:t>
                  </w:r>
                </w:p>
              </w:tc>
              <w:tc>
                <w:tcPr>
                  <w:tcW w:w="602" w:type="pc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color w:val="auto"/>
                      <w:highlight w:val="none"/>
                      <w:lang w:eastAsia="zh-CN"/>
                    </w:rPr>
                  </w:pPr>
                  <w:r>
                    <w:rPr>
                      <w:rFonts w:hint="default" w:ascii="Times New Roman" w:hAnsi="Times New Roman" w:eastAsia="宋体" w:cs="Times New Roman"/>
                      <w:b w:val="0"/>
                      <w:bCs/>
                      <w:color w:val="auto"/>
                      <w:kern w:val="0"/>
                      <w:sz w:val="21"/>
                      <w:szCs w:val="21"/>
                      <w:highlight w:val="none"/>
                      <w:lang w:val="en-US" w:eastAsia="zh-CN" w:bidi="ar"/>
                    </w:rPr>
                    <w:t>温度</w:t>
                  </w:r>
                </w:p>
              </w:tc>
              <w:tc>
                <w:tcPr>
                  <w:tcW w:w="797" w:type="pct"/>
                  <w:tcBorders>
                    <w:right w:val="nil"/>
                  </w:tcBorders>
                  <w:vAlign w:val="center"/>
                </w:tcPr>
                <w:p>
                  <w:pPr>
                    <w:pStyle w:val="45"/>
                    <w:spacing w:line="240" w:lineRule="auto"/>
                    <w:ind w:firstLine="0" w:firstLineChars="0"/>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23" w:type="pct"/>
                  <w:vMerge w:val="restart"/>
                  <w:tcBorders>
                    <w:left w:val="nil"/>
                  </w:tcBorders>
                  <w:vAlign w:val="center"/>
                </w:tcPr>
                <w:p>
                  <w:pPr>
                    <w:pStyle w:val="45"/>
                    <w:spacing w:line="240" w:lineRule="auto"/>
                    <w:ind w:firstLine="0" w:firstLineChars="0"/>
                    <w:rPr>
                      <w:rFonts w:hint="default" w:ascii="Times New Roman" w:hAnsi="Times New Roman" w:cs="Times New Roman"/>
                      <w:bCs/>
                      <w:color w:val="auto"/>
                      <w:highlight w:val="none"/>
                    </w:rPr>
                  </w:pPr>
                  <w:r>
                    <w:rPr>
                      <w:rFonts w:hint="default" w:ascii="Times New Roman" w:hAnsi="Times New Roman" w:cs="Times New Roman"/>
                      <w:color w:val="auto"/>
                      <w:sz w:val="21"/>
                      <w:szCs w:val="21"/>
                      <w:highlight w:val="none"/>
                      <w:vertAlign w:val="baseline"/>
                      <w:lang w:val="en-US" w:eastAsia="zh-CN"/>
                    </w:rPr>
                    <w:t>DA001</w:t>
                  </w:r>
                </w:p>
              </w:tc>
              <w:tc>
                <w:tcPr>
                  <w:tcW w:w="558" w:type="pct"/>
                  <w:vMerge w:val="restart"/>
                  <w:vAlign w:val="center"/>
                </w:tcPr>
                <w:p>
                  <w:pPr>
                    <w:pStyle w:val="45"/>
                    <w:spacing w:line="240" w:lineRule="auto"/>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 w:val="0"/>
                      <w:bCs w:val="0"/>
                      <w:color w:val="auto"/>
                      <w:sz w:val="21"/>
                      <w:szCs w:val="21"/>
                      <w:highlight w:val="none"/>
                      <w:lang w:val="en-US" w:eastAsia="zh-CN"/>
                    </w:rPr>
                    <w:t>切割</w:t>
                  </w:r>
                  <w:r>
                    <w:rPr>
                      <w:rFonts w:hint="default" w:ascii="Times New Roman" w:hAnsi="Times New Roman" w:eastAsia="宋体" w:cs="Times New Roman"/>
                      <w:b w:val="0"/>
                      <w:bCs w:val="0"/>
                      <w:color w:val="auto"/>
                      <w:sz w:val="21"/>
                      <w:szCs w:val="21"/>
                      <w:highlight w:val="none"/>
                      <w:lang w:val="en-US" w:eastAsia="zh-CN"/>
                    </w:rPr>
                    <w:t>序</w:t>
                  </w:r>
                  <w:r>
                    <w:rPr>
                      <w:rFonts w:hint="default" w:ascii="Times New Roman" w:hAnsi="Times New Roman" w:cs="Times New Roman"/>
                      <w:color w:val="auto"/>
                      <w:sz w:val="21"/>
                      <w:szCs w:val="21"/>
                      <w:highlight w:val="none"/>
                      <w:vertAlign w:val="baseline"/>
                      <w:lang w:val="en-US" w:eastAsia="zh-CN"/>
                    </w:rPr>
                    <w:t>排气筒</w:t>
                  </w:r>
                </w:p>
              </w:tc>
              <w:tc>
                <w:tcPr>
                  <w:tcW w:w="893" w:type="pct"/>
                  <w:tcBorders>
                    <w:right w:val="nil"/>
                  </w:tcBorders>
                  <w:vAlign w:val="center"/>
                </w:tcPr>
                <w:p>
                  <w:pPr>
                    <w:pStyle w:val="45"/>
                    <w:ind w:firstLine="0" w:firstLineChars="0"/>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highlight w:val="none"/>
                      <w:lang w:eastAsia="zh-CN"/>
                    </w:rPr>
                    <w:t>经度84.29945401</w:t>
                  </w:r>
                  <w:r>
                    <w:rPr>
                      <w:rFonts w:hint="default" w:ascii="Times New Roman" w:hAnsi="Times New Roman" w:cs="Times New Roman"/>
                      <w:bCs/>
                      <w:color w:val="auto"/>
                      <w:highlight w:val="none"/>
                      <w:lang w:val="en-US" w:eastAsia="zh-CN"/>
                    </w:rPr>
                    <w:t>2</w:t>
                  </w:r>
                </w:p>
              </w:tc>
              <w:tc>
                <w:tcPr>
                  <w:tcW w:w="417"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1"/>
                      <w:szCs w:val="21"/>
                      <w:highlight w:val="none"/>
                      <w:lang w:val="en-US" w:eastAsia="zh-CN" w:bidi="ar"/>
                    </w:rPr>
                    <w:t>15m</w:t>
                  </w:r>
                </w:p>
              </w:tc>
              <w:tc>
                <w:tcPr>
                  <w:tcW w:w="782"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袋式除尘器</w:t>
                  </w:r>
                </w:p>
              </w:tc>
              <w:tc>
                <w:tcPr>
                  <w:tcW w:w="423"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vertAlign w:val="baseline"/>
                      <w:lang w:val="en-US" w:eastAsia="zh-CN"/>
                    </w:rPr>
                    <w:t>0.3</w:t>
                  </w:r>
                  <w:r>
                    <w:rPr>
                      <w:rFonts w:hint="default" w:ascii="Times New Roman" w:hAnsi="Times New Roman" w:eastAsia="宋体" w:cs="Times New Roman"/>
                      <w:color w:val="auto"/>
                      <w:sz w:val="21"/>
                      <w:szCs w:val="21"/>
                      <w:highlight w:val="none"/>
                      <w:vertAlign w:val="baseline"/>
                      <w:lang w:val="en-US" w:eastAsia="zh-CN"/>
                    </w:rPr>
                    <w:t>m</w:t>
                  </w:r>
                </w:p>
              </w:tc>
              <w:tc>
                <w:tcPr>
                  <w:tcW w:w="602"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kern w:val="2"/>
                      <w:sz w:val="21"/>
                      <w:szCs w:val="21"/>
                      <w:highlight w:val="none"/>
                      <w:vertAlign w:val="baseline"/>
                      <w:lang w:val="en-US" w:eastAsia="zh-CN" w:bidi="ar-SA"/>
                    </w:rPr>
                    <w:t>常温</w:t>
                  </w:r>
                </w:p>
              </w:tc>
              <w:tc>
                <w:tcPr>
                  <w:tcW w:w="797"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23" w:type="pct"/>
                  <w:vMerge w:val="continue"/>
                  <w:tcBorders>
                    <w:left w:val="nil"/>
                  </w:tcBorders>
                  <w:vAlign w:val="center"/>
                </w:tcPr>
                <w:p>
                  <w:pPr>
                    <w:pStyle w:val="45"/>
                    <w:ind w:firstLine="0" w:firstLineChars="0"/>
                    <w:rPr>
                      <w:rFonts w:hint="default" w:ascii="Times New Roman" w:hAnsi="Times New Roman" w:cs="Times New Roman"/>
                      <w:bCs/>
                      <w:color w:val="auto"/>
                      <w:highlight w:val="none"/>
                    </w:rPr>
                  </w:pPr>
                </w:p>
              </w:tc>
              <w:tc>
                <w:tcPr>
                  <w:tcW w:w="558" w:type="pct"/>
                  <w:vMerge w:val="continue"/>
                  <w:vAlign w:val="center"/>
                </w:tcPr>
                <w:p>
                  <w:pPr>
                    <w:pStyle w:val="45"/>
                    <w:ind w:firstLine="0" w:firstLineChars="0"/>
                    <w:rPr>
                      <w:rFonts w:hint="default" w:ascii="Times New Roman" w:hAnsi="Times New Roman" w:cs="Times New Roman"/>
                      <w:bCs/>
                      <w:color w:val="auto"/>
                      <w:highlight w:val="none"/>
                      <w:lang w:eastAsia="zh-CN"/>
                    </w:rPr>
                  </w:pPr>
                </w:p>
              </w:tc>
              <w:tc>
                <w:tcPr>
                  <w:tcW w:w="893" w:type="pct"/>
                  <w:tcBorders>
                    <w:right w:val="nil"/>
                  </w:tcBorders>
                  <w:vAlign w:val="center"/>
                </w:tcPr>
                <w:p>
                  <w:pPr>
                    <w:pStyle w:val="45"/>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纬度41.781519433</w:t>
                  </w:r>
                </w:p>
              </w:tc>
              <w:tc>
                <w:tcPr>
                  <w:tcW w:w="417" w:type="pct"/>
                  <w:vMerge w:val="continue"/>
                  <w:tcBorders>
                    <w:right w:val="nil"/>
                  </w:tcBorders>
                  <w:vAlign w:val="center"/>
                </w:tcPr>
                <w:p>
                  <w:pPr>
                    <w:pStyle w:val="45"/>
                    <w:ind w:firstLine="0" w:firstLineChars="0"/>
                    <w:rPr>
                      <w:rFonts w:hint="default" w:ascii="Times New Roman" w:hAnsi="Times New Roman" w:cs="Times New Roman"/>
                      <w:color w:val="auto"/>
                      <w:highlight w:val="none"/>
                    </w:rPr>
                  </w:pPr>
                </w:p>
              </w:tc>
              <w:tc>
                <w:tcPr>
                  <w:tcW w:w="782" w:type="pct"/>
                  <w:vMerge w:val="continue"/>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p>
              </w:tc>
              <w:tc>
                <w:tcPr>
                  <w:tcW w:w="423"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602"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797" w:type="pct"/>
                  <w:vMerge w:val="continue"/>
                  <w:tcBorders>
                    <w:right w:val="nil"/>
                  </w:tcBorders>
                  <w:vAlign w:val="center"/>
                </w:tcPr>
                <w:p>
                  <w:pPr>
                    <w:pStyle w:val="45"/>
                    <w:spacing w:line="240" w:lineRule="auto"/>
                    <w:ind w:firstLine="0" w:firstLineChars="0"/>
                    <w:rPr>
                      <w:rFonts w:hint="default" w:ascii="Times New Roman" w:hAnsi="Times New Roman" w:cs="Times New Roman"/>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23" w:type="pct"/>
                  <w:vMerge w:val="restart"/>
                  <w:tcBorders>
                    <w:left w:val="nil"/>
                  </w:tcBorders>
                  <w:vAlign w:val="center"/>
                </w:tcPr>
                <w:p>
                  <w:pPr>
                    <w:pStyle w:val="45"/>
                    <w:ind w:firstLine="0" w:firstLineChars="0"/>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DA002</w:t>
                  </w:r>
                </w:p>
              </w:tc>
              <w:tc>
                <w:tcPr>
                  <w:tcW w:w="558" w:type="pct"/>
                  <w:vMerge w:val="restart"/>
                  <w:vAlign w:val="center"/>
                </w:tcPr>
                <w:p>
                  <w:pPr>
                    <w:pStyle w:val="45"/>
                    <w:ind w:firstLine="0" w:firstLineChars="0"/>
                    <w:rPr>
                      <w:rFonts w:hint="default" w:ascii="Times New Roman" w:hAnsi="Times New Roman" w:cs="Times New Roman"/>
                      <w:bCs/>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喷砂工序排气筒</w:t>
                  </w:r>
                </w:p>
              </w:tc>
              <w:tc>
                <w:tcPr>
                  <w:tcW w:w="893" w:type="pct"/>
                  <w:tcBorders>
                    <w:right w:val="nil"/>
                  </w:tcBorders>
                  <w:vAlign w:val="center"/>
                </w:tcPr>
                <w:p>
                  <w:pPr>
                    <w:pStyle w:val="45"/>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经度84.299947537</w:t>
                  </w:r>
                </w:p>
              </w:tc>
              <w:tc>
                <w:tcPr>
                  <w:tcW w:w="417" w:type="pct"/>
                  <w:vMerge w:val="restart"/>
                  <w:tcBorders>
                    <w:right w:val="nil"/>
                  </w:tcBorders>
                  <w:vAlign w:val="center"/>
                </w:tcPr>
                <w:p>
                  <w:pPr>
                    <w:pStyle w:val="45"/>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15m</w:t>
                  </w:r>
                </w:p>
              </w:tc>
              <w:tc>
                <w:tcPr>
                  <w:tcW w:w="782" w:type="pct"/>
                  <w:vMerge w:val="restart"/>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袋式除尘器</w:t>
                  </w:r>
                </w:p>
              </w:tc>
              <w:tc>
                <w:tcPr>
                  <w:tcW w:w="423"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0.3m</w:t>
                  </w:r>
                </w:p>
              </w:tc>
              <w:tc>
                <w:tcPr>
                  <w:tcW w:w="602"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kern w:val="2"/>
                      <w:sz w:val="21"/>
                      <w:szCs w:val="21"/>
                      <w:highlight w:val="none"/>
                      <w:vertAlign w:val="baseline"/>
                      <w:lang w:val="en-US" w:eastAsia="zh-CN" w:bidi="ar-SA"/>
                    </w:rPr>
                    <w:t>常温</w:t>
                  </w:r>
                </w:p>
              </w:tc>
              <w:tc>
                <w:tcPr>
                  <w:tcW w:w="797" w:type="pct"/>
                  <w:vMerge w:val="restart"/>
                  <w:tcBorders>
                    <w:right w:val="nil"/>
                  </w:tcBorders>
                  <w:vAlign w:val="center"/>
                </w:tcPr>
                <w:p>
                  <w:pPr>
                    <w:pStyle w:val="45"/>
                    <w:spacing w:line="240" w:lineRule="auto"/>
                    <w:ind w:firstLine="0" w:firstLineChars="0"/>
                    <w:rPr>
                      <w:rFonts w:hint="default" w:ascii="Times New Roman" w:hAnsi="Times New Roman" w:cs="Times New Roman"/>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23" w:type="pct"/>
                  <w:vMerge w:val="continue"/>
                  <w:tcBorders>
                    <w:left w:val="nil"/>
                  </w:tcBorders>
                  <w:vAlign w:val="center"/>
                </w:tcPr>
                <w:p>
                  <w:pPr>
                    <w:pStyle w:val="45"/>
                    <w:ind w:firstLine="0" w:firstLineChars="0"/>
                    <w:rPr>
                      <w:rFonts w:hint="default" w:ascii="Times New Roman" w:hAnsi="Times New Roman" w:cs="Times New Roman"/>
                      <w:bCs/>
                      <w:color w:val="auto"/>
                      <w:highlight w:val="none"/>
                    </w:rPr>
                  </w:pPr>
                </w:p>
              </w:tc>
              <w:tc>
                <w:tcPr>
                  <w:tcW w:w="558" w:type="pct"/>
                  <w:vMerge w:val="continue"/>
                  <w:vAlign w:val="center"/>
                </w:tcPr>
                <w:p>
                  <w:pPr>
                    <w:pStyle w:val="45"/>
                    <w:ind w:firstLine="0" w:firstLineChars="0"/>
                    <w:rPr>
                      <w:rFonts w:hint="default" w:ascii="Times New Roman" w:hAnsi="Times New Roman" w:cs="Times New Roman"/>
                      <w:bCs/>
                      <w:color w:val="auto"/>
                      <w:highlight w:val="none"/>
                      <w:lang w:eastAsia="zh-CN"/>
                    </w:rPr>
                  </w:pPr>
                </w:p>
              </w:tc>
              <w:tc>
                <w:tcPr>
                  <w:tcW w:w="893" w:type="pct"/>
                  <w:tcBorders>
                    <w:right w:val="nil"/>
                  </w:tcBorders>
                  <w:vAlign w:val="center"/>
                </w:tcPr>
                <w:p>
                  <w:pPr>
                    <w:pStyle w:val="45"/>
                    <w:ind w:firstLine="0" w:firstLineChars="0"/>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eastAsia="zh-CN"/>
                    </w:rPr>
                    <w:t>纬度41.780564567</w:t>
                  </w:r>
                </w:p>
              </w:tc>
              <w:tc>
                <w:tcPr>
                  <w:tcW w:w="417" w:type="pct"/>
                  <w:vMerge w:val="continue"/>
                  <w:tcBorders>
                    <w:right w:val="nil"/>
                  </w:tcBorders>
                  <w:vAlign w:val="center"/>
                </w:tcPr>
                <w:p>
                  <w:pPr>
                    <w:pStyle w:val="45"/>
                    <w:ind w:firstLine="0" w:firstLineChars="0"/>
                    <w:rPr>
                      <w:rFonts w:hint="default" w:ascii="Times New Roman" w:hAnsi="Times New Roman" w:cs="Times New Roman"/>
                      <w:color w:val="auto"/>
                      <w:highlight w:val="none"/>
                    </w:rPr>
                  </w:pPr>
                </w:p>
              </w:tc>
              <w:tc>
                <w:tcPr>
                  <w:tcW w:w="782" w:type="pct"/>
                  <w:vMerge w:val="continue"/>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p>
              </w:tc>
              <w:tc>
                <w:tcPr>
                  <w:tcW w:w="423"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602"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797" w:type="pct"/>
                  <w:vMerge w:val="continue"/>
                  <w:tcBorders>
                    <w:right w:val="nil"/>
                  </w:tcBorders>
                  <w:vAlign w:val="center"/>
                </w:tcPr>
                <w:p>
                  <w:pPr>
                    <w:pStyle w:val="45"/>
                    <w:spacing w:line="240" w:lineRule="auto"/>
                    <w:ind w:firstLine="0" w:firstLineChars="0"/>
                    <w:rPr>
                      <w:rFonts w:hint="default" w:ascii="Times New Roman" w:hAnsi="Times New Roman" w:cs="Times New Roman"/>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23" w:type="pct"/>
                  <w:vMerge w:val="restart"/>
                  <w:tcBorders>
                    <w:left w:val="nil"/>
                  </w:tcBorders>
                  <w:vAlign w:val="center"/>
                </w:tcPr>
                <w:p>
                  <w:pPr>
                    <w:pStyle w:val="45"/>
                    <w:ind w:firstLine="0" w:firstLineChars="0"/>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DA003</w:t>
                  </w:r>
                </w:p>
              </w:tc>
              <w:tc>
                <w:tcPr>
                  <w:tcW w:w="558" w:type="pct"/>
                  <w:vMerge w:val="restart"/>
                  <w:vAlign w:val="center"/>
                </w:tcPr>
                <w:p>
                  <w:pPr>
                    <w:pStyle w:val="45"/>
                    <w:ind w:firstLine="0" w:firstLineChars="0"/>
                    <w:rPr>
                      <w:rFonts w:hint="default" w:ascii="Times New Roman" w:hAnsi="Times New Roman" w:cs="Times New Roman"/>
                      <w:bCs/>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喷漆工序排气筒</w:t>
                  </w:r>
                </w:p>
              </w:tc>
              <w:tc>
                <w:tcPr>
                  <w:tcW w:w="893" w:type="pct"/>
                  <w:tcBorders>
                    <w:right w:val="nil"/>
                  </w:tcBorders>
                  <w:shd w:val="clear" w:color="auto" w:fill="auto"/>
                  <w:vAlign w:val="center"/>
                </w:tcPr>
                <w:p>
                  <w:pPr>
                    <w:pStyle w:val="45"/>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经度84.300864852</w:t>
                  </w:r>
                </w:p>
              </w:tc>
              <w:tc>
                <w:tcPr>
                  <w:tcW w:w="417" w:type="pct"/>
                  <w:vMerge w:val="restart"/>
                  <w:tcBorders>
                    <w:right w:val="nil"/>
                  </w:tcBorders>
                  <w:vAlign w:val="center"/>
                </w:tcPr>
                <w:p>
                  <w:pPr>
                    <w:pStyle w:val="45"/>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15m</w:t>
                  </w:r>
                </w:p>
              </w:tc>
              <w:tc>
                <w:tcPr>
                  <w:tcW w:w="782" w:type="pct"/>
                  <w:vMerge w:val="restart"/>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r>
                    <w:rPr>
                      <w:rStyle w:val="46"/>
                      <w:rFonts w:hint="default" w:ascii="Times New Roman" w:hAnsi="Times New Roman" w:cs="Times New Roman"/>
                      <w:color w:val="auto"/>
                      <w:sz w:val="21"/>
                      <w:szCs w:val="21"/>
                      <w:highlight w:val="none"/>
                      <w:lang w:val="en-US" w:eastAsia="zh-CN" w:bidi="ar"/>
                    </w:rPr>
                    <w:t>纸盒过滤+活性炭吸附+催化燃烧装置</w:t>
                  </w:r>
                </w:p>
              </w:tc>
              <w:tc>
                <w:tcPr>
                  <w:tcW w:w="423"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0.3m</w:t>
                  </w:r>
                </w:p>
              </w:tc>
              <w:tc>
                <w:tcPr>
                  <w:tcW w:w="602" w:type="pct"/>
                  <w:vMerge w:val="restart"/>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kern w:val="2"/>
                      <w:sz w:val="21"/>
                      <w:szCs w:val="21"/>
                      <w:highlight w:val="none"/>
                      <w:vertAlign w:val="baseline"/>
                      <w:lang w:val="en-US" w:eastAsia="zh-CN" w:bidi="ar-SA"/>
                    </w:rPr>
                    <w:t>常温</w:t>
                  </w:r>
                </w:p>
              </w:tc>
              <w:tc>
                <w:tcPr>
                  <w:tcW w:w="797" w:type="pct"/>
                  <w:vMerge w:val="restart"/>
                  <w:tcBorders>
                    <w:right w:val="nil"/>
                  </w:tcBorders>
                  <w:vAlign w:val="center"/>
                </w:tcPr>
                <w:p>
                  <w:pPr>
                    <w:pStyle w:val="45"/>
                    <w:spacing w:line="240" w:lineRule="auto"/>
                    <w:ind w:firstLine="0" w:firstLineChars="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23" w:type="pct"/>
                  <w:vMerge w:val="continue"/>
                  <w:tcBorders>
                    <w:left w:val="nil"/>
                  </w:tcBorders>
                  <w:vAlign w:val="center"/>
                </w:tcPr>
                <w:p>
                  <w:pPr>
                    <w:pStyle w:val="45"/>
                    <w:ind w:firstLine="0" w:firstLineChars="0"/>
                    <w:rPr>
                      <w:rFonts w:hint="default" w:ascii="Times New Roman" w:hAnsi="Times New Roman" w:cs="Times New Roman"/>
                      <w:bCs/>
                      <w:color w:val="auto"/>
                      <w:highlight w:val="none"/>
                    </w:rPr>
                  </w:pPr>
                </w:p>
              </w:tc>
              <w:tc>
                <w:tcPr>
                  <w:tcW w:w="558" w:type="pct"/>
                  <w:vMerge w:val="continue"/>
                  <w:vAlign w:val="center"/>
                </w:tcPr>
                <w:p>
                  <w:pPr>
                    <w:pStyle w:val="45"/>
                    <w:ind w:firstLine="0" w:firstLineChars="0"/>
                    <w:rPr>
                      <w:rFonts w:hint="default" w:ascii="Times New Roman" w:hAnsi="Times New Roman" w:cs="Times New Roman"/>
                      <w:bCs/>
                      <w:color w:val="auto"/>
                      <w:highlight w:val="none"/>
                      <w:lang w:eastAsia="zh-CN"/>
                    </w:rPr>
                  </w:pPr>
                </w:p>
              </w:tc>
              <w:tc>
                <w:tcPr>
                  <w:tcW w:w="893" w:type="pct"/>
                  <w:tcBorders>
                    <w:right w:val="nil"/>
                  </w:tcBorders>
                  <w:shd w:val="clear" w:color="auto" w:fill="auto"/>
                  <w:vAlign w:val="center"/>
                </w:tcPr>
                <w:p>
                  <w:pPr>
                    <w:pStyle w:val="45"/>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纬度41.780618211</w:t>
                  </w:r>
                </w:p>
              </w:tc>
              <w:tc>
                <w:tcPr>
                  <w:tcW w:w="417" w:type="pct"/>
                  <w:vMerge w:val="continue"/>
                  <w:tcBorders>
                    <w:right w:val="nil"/>
                  </w:tcBorders>
                  <w:vAlign w:val="center"/>
                </w:tcPr>
                <w:p>
                  <w:pPr>
                    <w:pStyle w:val="45"/>
                    <w:ind w:firstLine="0" w:firstLineChars="0"/>
                    <w:rPr>
                      <w:rFonts w:hint="default" w:ascii="Times New Roman" w:hAnsi="Times New Roman" w:cs="Times New Roman"/>
                      <w:color w:val="auto"/>
                      <w:highlight w:val="none"/>
                    </w:rPr>
                  </w:pPr>
                </w:p>
              </w:tc>
              <w:tc>
                <w:tcPr>
                  <w:tcW w:w="782" w:type="pct"/>
                  <w:vMerge w:val="continue"/>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p>
              </w:tc>
              <w:tc>
                <w:tcPr>
                  <w:tcW w:w="423"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602" w:type="pct"/>
                  <w:vMerge w:val="continue"/>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p>
              </w:tc>
              <w:tc>
                <w:tcPr>
                  <w:tcW w:w="797" w:type="pct"/>
                  <w:vMerge w:val="continue"/>
                  <w:tcBorders>
                    <w:right w:val="nil"/>
                  </w:tcBorders>
                  <w:vAlign w:val="center"/>
                </w:tcPr>
                <w:p>
                  <w:pPr>
                    <w:pStyle w:val="45"/>
                    <w:spacing w:line="240" w:lineRule="auto"/>
                    <w:ind w:firstLine="0" w:firstLineChars="0"/>
                    <w:rPr>
                      <w:rFonts w:hint="default" w:ascii="Times New Roman" w:hAnsi="Times New Roman" w:cs="Times New Roman"/>
                      <w:bCs/>
                      <w:color w:val="auto"/>
                      <w:sz w:val="21"/>
                      <w:szCs w:val="21"/>
                      <w:highlight w:val="none"/>
                      <w:lang w:eastAsia="zh-CN"/>
                    </w:rPr>
                  </w:pPr>
                </w:p>
              </w:tc>
            </w:tr>
          </w:tbl>
          <w:p>
            <w:pPr>
              <w:pStyle w:val="57"/>
              <w:numPr>
                <w:ilvl w:val="0"/>
                <w:numId w:val="0"/>
              </w:num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w:t>
            </w:r>
            <w:r>
              <w:rPr>
                <w:rFonts w:hint="default" w:ascii="Times New Roman" w:hAnsi="Times New Roman" w:cs="Times New Roman"/>
                <w:b/>
                <w:bCs/>
                <w:color w:val="auto"/>
                <w:highlight w:val="none"/>
                <w:lang w:val="en-US" w:eastAsia="zh-CN"/>
              </w:rPr>
              <w:t xml:space="preserve">13  </w:t>
            </w:r>
            <w:r>
              <w:rPr>
                <w:rFonts w:hint="default" w:ascii="Times New Roman" w:hAnsi="Times New Roman" w:cs="Times New Roman"/>
                <w:b/>
                <w:bCs/>
                <w:color w:val="auto"/>
                <w:highlight w:val="none"/>
              </w:rPr>
              <w:t>大气污染物年排放量核算表</w:t>
            </w:r>
          </w:p>
          <w:tbl>
            <w:tblPr>
              <w:tblStyle w:val="21"/>
              <w:tblW w:w="49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282"/>
              <w:gridCol w:w="956"/>
              <w:gridCol w:w="2266"/>
              <w:gridCol w:w="1404"/>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778"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排放名称</w:t>
                  </w: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w:t>
                  </w:r>
                </w:p>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lang w:val="en-US"/>
                    </w:rPr>
                  </w:pPr>
                  <w:r>
                    <w:rPr>
                      <w:rFonts w:hint="eastAsia" w:cs="Times New Roman"/>
                      <w:b/>
                      <w:bCs/>
                      <w:color w:val="auto"/>
                      <w:sz w:val="21"/>
                      <w:szCs w:val="21"/>
                      <w:highlight w:val="none"/>
                      <w:lang w:val="en-US" w:eastAsia="zh-CN"/>
                    </w:rPr>
                    <w:t>形式</w:t>
                  </w:r>
                </w:p>
              </w:tc>
              <w:tc>
                <w:tcPr>
                  <w:tcW w:w="1375"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852"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排放量（t/a）</w:t>
                  </w:r>
                </w:p>
              </w:tc>
              <w:tc>
                <w:tcPr>
                  <w:tcW w:w="1057"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排放总量（t/a）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78"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喷漆工序</w:t>
                  </w:r>
                </w:p>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1375" w:type="pct"/>
                  <w:vMerge w:val="restart"/>
                  <w:vAlign w:val="center"/>
                </w:tcPr>
                <w:p>
                  <w:pPr>
                    <w:adjustRightIn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非甲烷总烃</w:t>
                  </w:r>
                </w:p>
              </w:tc>
              <w:tc>
                <w:tcPr>
                  <w:tcW w:w="852"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0.651</w:t>
                  </w:r>
                </w:p>
              </w:tc>
              <w:tc>
                <w:tcPr>
                  <w:tcW w:w="1742" w:type="dxa"/>
                  <w:vMerge w:val="restart"/>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无组织</w:t>
                  </w:r>
                </w:p>
              </w:tc>
              <w:tc>
                <w:tcPr>
                  <w:tcW w:w="1375" w:type="pct"/>
                  <w:vMerge w:val="continue"/>
                  <w:vAlign w:val="center"/>
                </w:tcPr>
                <w:p>
                  <w:pPr>
                    <w:adjustRightIn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rPr>
                  </w:pPr>
                </w:p>
              </w:tc>
              <w:tc>
                <w:tcPr>
                  <w:tcW w:w="852" w:type="pct"/>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0.31</w:t>
                  </w:r>
                </w:p>
              </w:tc>
              <w:tc>
                <w:tcPr>
                  <w:tcW w:w="1057" w:type="pct"/>
                  <w:vMerge w:val="continue"/>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1375" w:type="pct"/>
                  <w:vMerge w:val="restart"/>
                  <w:vAlign w:val="center"/>
                </w:tcPr>
                <w:p>
                  <w:pPr>
                    <w:adjustRightIn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非甲烷总烃</w:t>
                  </w:r>
                  <w:r>
                    <w:rPr>
                      <w:rFonts w:hint="default" w:ascii="Times New Roman" w:hAnsi="Times New Roman" w:cs="Times New Roman"/>
                      <w:color w:val="auto"/>
                      <w:sz w:val="21"/>
                      <w:szCs w:val="21"/>
                      <w:highlight w:val="none"/>
                    </w:rPr>
                    <w:t>中的</w:t>
                  </w:r>
                  <w:r>
                    <w:rPr>
                      <w:rFonts w:hint="default" w:ascii="Times New Roman" w:hAnsi="Times New Roman" w:cs="Times New Roman"/>
                      <w:color w:val="auto"/>
                      <w:sz w:val="21"/>
                      <w:szCs w:val="21"/>
                      <w:highlight w:val="none"/>
                      <w:lang w:val="en-US" w:eastAsia="zh-CN"/>
                    </w:rPr>
                    <w:t>二甲苯</w:t>
                  </w:r>
                </w:p>
              </w:tc>
              <w:tc>
                <w:tcPr>
                  <w:tcW w:w="852"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0.072</w:t>
                  </w:r>
                </w:p>
              </w:tc>
              <w:tc>
                <w:tcPr>
                  <w:tcW w:w="1742" w:type="dxa"/>
                  <w:vMerge w:val="restart"/>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1375" w:type="pct"/>
                  <w:vMerge w:val="continue"/>
                  <w:vAlign w:val="center"/>
                </w:tcPr>
                <w:p>
                  <w:pPr>
                    <w:adjustRightIn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rPr>
                  </w:pPr>
                </w:p>
              </w:tc>
              <w:tc>
                <w:tcPr>
                  <w:tcW w:w="852"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w:t>
                  </w:r>
                </w:p>
              </w:tc>
              <w:tc>
                <w:tcPr>
                  <w:tcW w:w="1057" w:type="pct"/>
                  <w:vMerge w:val="continue"/>
                  <w:shd w:val="clear" w:color="auto" w:fill="auto"/>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bidi="ar"/>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bidi="ar"/>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1375"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漆雾颗粒</w:t>
                  </w:r>
                </w:p>
              </w:tc>
              <w:tc>
                <w:tcPr>
                  <w:tcW w:w="852"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0.0572</w:t>
                  </w:r>
                </w:p>
              </w:tc>
              <w:tc>
                <w:tcPr>
                  <w:tcW w:w="1742" w:type="dxa"/>
                  <w:vMerge w:val="restar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bidi="ar"/>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bidi="ar"/>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137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Cs/>
                      <w:color w:val="auto"/>
                      <w:sz w:val="21"/>
                      <w:szCs w:val="21"/>
                      <w:highlight w:val="none"/>
                    </w:rPr>
                  </w:pPr>
                </w:p>
              </w:tc>
              <w:tc>
                <w:tcPr>
                  <w:tcW w:w="852"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0.0635</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w:t>
                  </w:r>
                </w:p>
              </w:tc>
              <w:tc>
                <w:tcPr>
                  <w:tcW w:w="778"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切割</w:t>
                  </w:r>
                  <w:r>
                    <w:rPr>
                      <w:rFonts w:hint="eastAsia" w:cs="Times New Roman"/>
                      <w:b w:val="0"/>
                      <w:bCs w:val="0"/>
                      <w:color w:val="auto"/>
                      <w:sz w:val="21"/>
                      <w:szCs w:val="21"/>
                      <w:highlight w:val="none"/>
                      <w:lang w:val="en-US" w:eastAsia="zh-CN"/>
                    </w:rPr>
                    <w:t>工</w:t>
                  </w:r>
                  <w:r>
                    <w:rPr>
                      <w:rFonts w:hint="default" w:ascii="Times New Roman" w:hAnsi="Times New Roman" w:eastAsia="宋体" w:cs="Times New Roman"/>
                      <w:b w:val="0"/>
                      <w:bCs w:val="0"/>
                      <w:color w:val="auto"/>
                      <w:sz w:val="21"/>
                      <w:szCs w:val="21"/>
                      <w:highlight w:val="none"/>
                      <w:lang w:val="en-US" w:eastAsia="zh-CN"/>
                    </w:rPr>
                    <w:t>序</w:t>
                  </w:r>
                </w:p>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金属粉尘</w:t>
                  </w:r>
                </w:p>
              </w:tc>
              <w:tc>
                <w:tcPr>
                  <w:tcW w:w="580" w:type="pct"/>
                  <w:vAlign w:val="center"/>
                </w:tcPr>
                <w:p>
                  <w:pPr>
                    <w:adjustRightInd w:val="0"/>
                    <w:snapToGrid w:val="0"/>
                    <w:spacing w:line="240" w:lineRule="auto"/>
                    <w:ind w:left="0" w:leftChars="0" w:right="-72" w:rightChars="-3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375"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颗粒物</w:t>
                  </w:r>
                </w:p>
              </w:tc>
              <w:tc>
                <w:tcPr>
                  <w:tcW w:w="852"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0.097</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bidi="ar"/>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bidi="ar"/>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无组织</w:t>
                  </w:r>
                </w:p>
              </w:tc>
              <w:tc>
                <w:tcPr>
                  <w:tcW w:w="137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Cs/>
                      <w:color w:val="auto"/>
                      <w:sz w:val="21"/>
                      <w:szCs w:val="21"/>
                      <w:highlight w:val="none"/>
                    </w:rPr>
                  </w:pPr>
                </w:p>
              </w:tc>
              <w:tc>
                <w:tcPr>
                  <w:tcW w:w="85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0.048</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restart"/>
                  <w:vAlign w:val="center"/>
                </w:tcPr>
                <w:p>
                  <w:pPr>
                    <w:adjustRightInd w:val="0"/>
                    <w:snapToGrid w:val="0"/>
                    <w:spacing w:line="240" w:lineRule="auto"/>
                    <w:ind w:left="0" w:leftChars="0" w:right="-72" w:rightChars="-30"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w:t>
                  </w:r>
                </w:p>
              </w:tc>
              <w:tc>
                <w:tcPr>
                  <w:tcW w:w="778" w:type="pct"/>
                  <w:vMerge w:val="restar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喷砂工序</w:t>
                  </w:r>
                </w:p>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val="en-US" w:eastAsia="zh-CN"/>
                    </w:rPr>
                    <w:t>金属粉尘</w:t>
                  </w: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375" w:type="pct"/>
                  <w:vMerge w:val="restart"/>
                  <w:vAlign w:val="center"/>
                </w:tcPr>
                <w:p>
                  <w:pPr>
                    <w:adjustRightInd w:val="0"/>
                    <w:snapToGrid w:val="0"/>
                    <w:spacing w:line="240" w:lineRule="auto"/>
                    <w:ind w:left="0" w:leftChars="0" w:right="-72" w:rightChars="-3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852" w:type="pct"/>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0.216</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bidi="ar"/>
                    </w:rPr>
                  </w:pPr>
                </w:p>
              </w:tc>
              <w:tc>
                <w:tcPr>
                  <w:tcW w:w="778"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bidi="ar"/>
                    </w:rPr>
                  </w:pP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1375" w:type="pct"/>
                  <w:vMerge w:val="continue"/>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bCs/>
                      <w:color w:val="auto"/>
                      <w:sz w:val="21"/>
                      <w:szCs w:val="21"/>
                      <w:highlight w:val="none"/>
                    </w:rPr>
                  </w:pPr>
                </w:p>
              </w:tc>
              <w:tc>
                <w:tcPr>
                  <w:tcW w:w="852"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0.048</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5" w:type="pct"/>
                  <w:vAlign w:val="center"/>
                </w:tcPr>
                <w:p>
                  <w:pPr>
                    <w:adjustRightInd w:val="0"/>
                    <w:snapToGrid w:val="0"/>
                    <w:spacing w:line="240" w:lineRule="auto"/>
                    <w:ind w:left="0" w:leftChars="0" w:right="-72" w:rightChars="-30"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w:t>
                  </w:r>
                </w:p>
              </w:tc>
              <w:tc>
                <w:tcPr>
                  <w:tcW w:w="778" w:type="pct"/>
                  <w:vAlign w:val="center"/>
                </w:tcPr>
                <w:p>
                  <w:pPr>
                    <w:adjustRightInd w:val="0"/>
                    <w:snapToGrid w:val="0"/>
                    <w:spacing w:line="240" w:lineRule="auto"/>
                    <w:ind w:left="0" w:leftChars="0" w:right="-72" w:rightChars="-30" w:firstLine="0" w:firstLineChars="0"/>
                    <w:jc w:val="center"/>
                    <w:rPr>
                      <w:rFonts w:hint="eastAsia"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焊接工序</w:t>
                  </w:r>
                </w:p>
                <w:p>
                  <w:pPr>
                    <w:adjustRightInd w:val="0"/>
                    <w:snapToGrid w:val="0"/>
                    <w:spacing w:line="240" w:lineRule="auto"/>
                    <w:ind w:left="0" w:leftChars="0" w:right="-72" w:rightChars="-3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烟尘</w:t>
                  </w:r>
                </w:p>
              </w:tc>
              <w:tc>
                <w:tcPr>
                  <w:tcW w:w="580" w:type="pct"/>
                  <w:vAlign w:val="center"/>
                </w:tcPr>
                <w:p>
                  <w:pPr>
                    <w:adjustRightInd w:val="0"/>
                    <w:snapToGrid w:val="0"/>
                    <w:spacing w:line="240" w:lineRule="auto"/>
                    <w:ind w:left="0" w:leftChars="0" w:right="-72" w:rightChars="-3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375" w:type="pct"/>
                  <w:vAlign w:val="center"/>
                </w:tcPr>
                <w:p>
                  <w:pPr>
                    <w:adjustRightInd w:val="0"/>
                    <w:snapToGrid w:val="0"/>
                    <w:spacing w:line="240" w:lineRule="auto"/>
                    <w:ind w:left="0" w:leftChars="0" w:right="-72" w:rightChars="-3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焊接烟尘（颗粒物）</w:t>
                  </w:r>
                </w:p>
              </w:tc>
              <w:tc>
                <w:tcPr>
                  <w:tcW w:w="852" w:type="pct"/>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0.0615</w:t>
                  </w:r>
                </w:p>
              </w:tc>
              <w:tc>
                <w:tcPr>
                  <w:tcW w:w="1057" w:type="pct"/>
                  <w:vMerge w:val="continue"/>
                  <w:vAlign w:val="center"/>
                </w:tcPr>
                <w:p>
                  <w:pPr>
                    <w:widowControl/>
                    <w:adjustRightInd w:val="0"/>
                    <w:spacing w:line="240" w:lineRule="auto"/>
                    <w:ind w:left="0" w:leftChars="0" w:right="-72" w:rightChars="-30" w:firstLine="0" w:firstLineChars="0"/>
                    <w:jc w:val="center"/>
                    <w:textAlignment w:val="center"/>
                    <w:rPr>
                      <w:rFonts w:hint="default" w:ascii="Times New Roman" w:hAnsi="Times New Roman" w:cs="Times New Roman"/>
                      <w:color w:val="auto"/>
                      <w:sz w:val="21"/>
                      <w:szCs w:val="21"/>
                      <w:highlight w:val="none"/>
                      <w:lang w:val="en-US" w:eastAsia="zh-CN"/>
                    </w:rPr>
                  </w:pPr>
                </w:p>
              </w:tc>
            </w:tr>
          </w:tbl>
          <w:p>
            <w:pPr>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2排气筒高度设置合理性分析</w:t>
            </w:r>
          </w:p>
          <w:p>
            <w:pPr>
              <w:adjustRightInd w:val="0"/>
              <w:snapToGrid w:val="0"/>
              <w:ind w:left="0" w:leftChars="0"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b w:val="0"/>
                <w:bCs w:val="0"/>
                <w:color w:val="auto"/>
                <w:kern w:val="24"/>
                <w:highlight w:val="none"/>
              </w:rPr>
              <w:t>根据《大气污染物综合排放标准》（GB16297-1996）中第7.1条规定：“排气筒高度除须遵守表列排放速率标准值外，还应高出周围200m半径范围内的建筑5m以上，不能达到该要求的排气筒，应按其高度对应的表列排放速率标准值严格50%执行</w:t>
            </w:r>
            <w:r>
              <w:rPr>
                <w:rFonts w:hint="default" w:ascii="Times New Roman" w:hAnsi="Times New Roman" w:cs="Times New Roman"/>
                <w:b w:val="0"/>
                <w:bCs w:val="0"/>
                <w:color w:val="auto"/>
                <w:kern w:val="24"/>
                <w:highlight w:val="none"/>
                <w:lang w:eastAsia="zh-CN"/>
              </w:rPr>
              <w:t>”。</w:t>
            </w:r>
            <w:r>
              <w:rPr>
                <w:rFonts w:hint="default" w:ascii="Times New Roman" w:hAnsi="Times New Roman" w:cs="Times New Roman"/>
                <w:b w:val="0"/>
                <w:bCs w:val="0"/>
                <w:color w:val="auto"/>
                <w:kern w:val="24"/>
                <w:highlight w:val="none"/>
                <w:lang w:val="en-US" w:eastAsia="zh-CN"/>
              </w:rPr>
              <w:t>第7.4</w:t>
            </w:r>
            <w:r>
              <w:rPr>
                <w:rFonts w:hint="default" w:ascii="Times New Roman" w:hAnsi="Times New Roman" w:cs="Times New Roman"/>
                <w:b w:val="0"/>
                <w:bCs w:val="0"/>
                <w:color w:val="auto"/>
                <w:kern w:val="24"/>
                <w:highlight w:val="none"/>
              </w:rPr>
              <w:t>条规定</w:t>
            </w:r>
            <w:r>
              <w:rPr>
                <w:rFonts w:hint="default" w:ascii="Times New Roman" w:hAnsi="Times New Roman" w:cs="Times New Roman"/>
                <w:b w:val="0"/>
                <w:bCs w:val="0"/>
                <w:color w:val="auto"/>
                <w:kern w:val="24"/>
                <w:highlight w:val="none"/>
                <w:lang w:eastAsia="zh-CN"/>
              </w:rPr>
              <w:t>：“</w:t>
            </w:r>
            <w:r>
              <w:rPr>
                <w:rFonts w:hint="default" w:ascii="Times New Roman" w:hAnsi="Times New Roman" w:cs="Times New Roman"/>
                <w:color w:val="auto"/>
                <w:sz w:val="24"/>
                <w:highlight w:val="none"/>
                <w:lang w:val="en-US" w:eastAsia="zh-CN"/>
              </w:rPr>
              <w:t>新污染源的</w:t>
            </w:r>
            <w:r>
              <w:rPr>
                <w:rFonts w:hint="eastAsia" w:ascii="Times New Roman" w:hAnsi="Times New Roman" w:cs="Times New Roman"/>
                <w:color w:val="auto"/>
                <w:sz w:val="24"/>
                <w:highlight w:val="none"/>
                <w:lang w:val="en-US" w:eastAsia="zh-CN"/>
              </w:rPr>
              <w:t>排气筒</w:t>
            </w:r>
            <w:r>
              <w:rPr>
                <w:rFonts w:hint="default" w:ascii="Times New Roman" w:hAnsi="Times New Roman" w:cs="Times New Roman"/>
                <w:color w:val="auto"/>
                <w:sz w:val="24"/>
                <w:highlight w:val="none"/>
                <w:lang w:val="en-US" w:eastAsia="zh-CN"/>
              </w:rPr>
              <w:t>一般不应低于15m。若某新污染源的排气筒必须低于15m时，其排放速率标准值按7.3的外推计算结果再严格50%执行”。</w:t>
            </w:r>
          </w:p>
          <w:p>
            <w:pPr>
              <w:adjustRightInd w:val="0"/>
              <w:snapToGrid w:val="0"/>
              <w:ind w:left="0" w:leftChars="0" w:firstLine="480" w:firstLineChars="200"/>
              <w:jc w:val="both"/>
              <w:rPr>
                <w:rFonts w:hint="default" w:ascii="Times New Roman" w:hAnsi="Times New Roman" w:cs="Times New Roman"/>
                <w:b w:val="0"/>
                <w:bCs w:val="0"/>
                <w:color w:val="auto"/>
                <w:kern w:val="24"/>
                <w:highlight w:val="none"/>
              </w:rPr>
            </w:pPr>
            <w:r>
              <w:rPr>
                <w:rFonts w:hint="default" w:ascii="Times New Roman" w:hAnsi="Times New Roman" w:cs="Times New Roman"/>
                <w:b w:val="0"/>
                <w:bCs w:val="0"/>
                <w:color w:val="auto"/>
                <w:kern w:val="24"/>
                <w:highlight w:val="none"/>
                <w:lang w:val="en-US" w:eastAsia="zh-CN"/>
              </w:rPr>
              <w:t>项目生产区</w:t>
            </w:r>
            <w:r>
              <w:rPr>
                <w:rFonts w:hint="default" w:ascii="Times New Roman" w:hAnsi="Times New Roman" w:cs="Times New Roman"/>
                <w:b w:val="0"/>
                <w:bCs w:val="0"/>
                <w:color w:val="auto"/>
                <w:kern w:val="24"/>
                <w:highlight w:val="none"/>
              </w:rPr>
              <w:t>周围</w:t>
            </w:r>
            <w:r>
              <w:rPr>
                <w:rFonts w:hint="default" w:ascii="Times New Roman" w:hAnsi="Times New Roman" w:cs="Times New Roman"/>
                <w:b w:val="0"/>
                <w:bCs w:val="0"/>
                <w:color w:val="auto"/>
                <w:kern w:val="24"/>
                <w:highlight w:val="none"/>
                <w:lang w:val="en-US" w:eastAsia="zh-CN"/>
              </w:rPr>
              <w:t>2</w:t>
            </w:r>
            <w:r>
              <w:rPr>
                <w:rFonts w:hint="default" w:ascii="Times New Roman" w:hAnsi="Times New Roman" w:cs="Times New Roman"/>
                <w:b w:val="0"/>
                <w:bCs w:val="0"/>
                <w:color w:val="auto"/>
                <w:kern w:val="24"/>
                <w:highlight w:val="none"/>
              </w:rPr>
              <w:t>00m范围内</w:t>
            </w:r>
            <w:r>
              <w:rPr>
                <w:rFonts w:hint="default" w:ascii="Times New Roman" w:hAnsi="Times New Roman" w:cs="Times New Roman"/>
                <w:b w:val="0"/>
                <w:bCs w:val="0"/>
                <w:color w:val="auto"/>
                <w:kern w:val="24"/>
                <w:highlight w:val="none"/>
                <w:lang w:val="en-US" w:eastAsia="zh-CN"/>
              </w:rPr>
              <w:t>四周</w:t>
            </w:r>
            <w:r>
              <w:rPr>
                <w:rFonts w:hint="default" w:ascii="Times New Roman" w:hAnsi="Times New Roman" w:cs="Times New Roman"/>
                <w:b w:val="0"/>
                <w:bCs w:val="0"/>
                <w:color w:val="auto"/>
                <w:kern w:val="24"/>
                <w:highlight w:val="none"/>
              </w:rPr>
              <w:t>多</w:t>
            </w:r>
            <w:r>
              <w:rPr>
                <w:rFonts w:hint="default" w:ascii="Times New Roman" w:hAnsi="Times New Roman" w:cs="Times New Roman"/>
                <w:b w:val="0"/>
                <w:bCs w:val="0"/>
                <w:color w:val="auto"/>
                <w:kern w:val="24"/>
                <w:highlight w:val="none"/>
                <w:lang w:val="en-US" w:eastAsia="zh-CN"/>
              </w:rPr>
              <w:t>为空地和现状厂房，园区内厂房的建筑高度约为</w:t>
            </w:r>
            <w:r>
              <w:rPr>
                <w:rFonts w:hint="eastAsia" w:ascii="Times New Roman" w:hAnsi="Times New Roman" w:cs="Times New Roman"/>
                <w:b w:val="0"/>
                <w:bCs w:val="0"/>
                <w:color w:val="auto"/>
                <w:kern w:val="24"/>
                <w:highlight w:val="none"/>
                <w:lang w:val="en-US" w:eastAsia="zh-CN"/>
              </w:rPr>
              <w:t>10</w:t>
            </w:r>
            <w:r>
              <w:rPr>
                <w:rFonts w:hint="default" w:ascii="Times New Roman" w:hAnsi="Times New Roman" w:cs="Times New Roman"/>
                <w:b w:val="0"/>
                <w:bCs w:val="0"/>
                <w:color w:val="auto"/>
                <w:kern w:val="24"/>
                <w:highlight w:val="none"/>
                <w:lang w:val="en-US" w:eastAsia="zh-CN"/>
              </w:rPr>
              <w:t>m</w:t>
            </w:r>
            <w:r>
              <w:rPr>
                <w:rFonts w:hint="default" w:ascii="Times New Roman" w:hAnsi="Times New Roman" w:cs="Times New Roman"/>
                <w:color w:val="auto"/>
                <w:highlight w:val="none"/>
                <w:lang w:eastAsia="zh-CN"/>
              </w:rPr>
              <w:t>，</w:t>
            </w:r>
            <w:r>
              <w:rPr>
                <w:rFonts w:hint="default" w:ascii="Times New Roman" w:hAnsi="Times New Roman" w:cs="Times New Roman"/>
                <w:b w:val="0"/>
                <w:bCs w:val="0"/>
                <w:color w:val="auto"/>
                <w:kern w:val="24"/>
                <w:highlight w:val="none"/>
              </w:rPr>
              <w:t>本项目</w:t>
            </w:r>
            <w:r>
              <w:rPr>
                <w:rFonts w:hint="default" w:ascii="Times New Roman" w:hAnsi="Times New Roman" w:cs="Times New Roman"/>
                <w:b w:val="0"/>
                <w:bCs w:val="0"/>
                <w:color w:val="auto"/>
                <w:kern w:val="24"/>
                <w:highlight w:val="none"/>
                <w:lang w:val="en-US" w:eastAsia="zh-CN"/>
              </w:rPr>
              <w:t>属于新建项目</w:t>
            </w:r>
            <w:r>
              <w:rPr>
                <w:rFonts w:hint="default" w:ascii="Times New Roman" w:hAnsi="Times New Roman" w:cs="Times New Roman"/>
                <w:b w:val="0"/>
                <w:bCs w:val="0"/>
                <w:color w:val="auto"/>
                <w:kern w:val="24"/>
                <w:highlight w:val="none"/>
              </w:rPr>
              <w:t>产生的污染物颗粒物</w:t>
            </w:r>
            <w:r>
              <w:rPr>
                <w:rFonts w:hint="default" w:ascii="Times New Roman" w:hAnsi="Times New Roman" w:cs="Times New Roman"/>
                <w:b w:val="0"/>
                <w:bCs w:val="0"/>
                <w:color w:val="auto"/>
                <w:kern w:val="24"/>
                <w:highlight w:val="none"/>
                <w:lang w:eastAsia="zh-CN"/>
              </w:rPr>
              <w:t>、</w:t>
            </w:r>
            <w:r>
              <w:rPr>
                <w:rFonts w:hint="default" w:ascii="Times New Roman" w:hAnsi="Times New Roman" w:cs="Times New Roman"/>
                <w:b w:val="0"/>
                <w:bCs w:val="0"/>
                <w:color w:val="auto"/>
                <w:kern w:val="24"/>
                <w:highlight w:val="none"/>
                <w:lang w:val="en-US" w:eastAsia="zh-CN"/>
              </w:rPr>
              <w:t>非甲烷总烃、二甲苯</w:t>
            </w:r>
            <w:r>
              <w:rPr>
                <w:rFonts w:hint="default" w:ascii="Times New Roman" w:hAnsi="Times New Roman" w:cs="Times New Roman"/>
                <w:b w:val="0"/>
                <w:bCs w:val="0"/>
                <w:color w:val="auto"/>
                <w:kern w:val="24"/>
                <w:highlight w:val="none"/>
              </w:rPr>
              <w:t>执行该排放标准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排气筒高度不得低于15m</w:t>
            </w:r>
            <w:r>
              <w:rPr>
                <w:rFonts w:hint="default" w:ascii="Times New Roman" w:hAnsi="Times New Roman" w:cs="Times New Roman"/>
                <w:b w:val="0"/>
                <w:bCs w:val="0"/>
                <w:color w:val="auto"/>
                <w:kern w:val="24"/>
                <w:highlight w:val="none"/>
                <w:lang w:eastAsia="zh-CN"/>
              </w:rPr>
              <w:t>，</w:t>
            </w:r>
            <w:r>
              <w:rPr>
                <w:rFonts w:hint="default" w:ascii="Times New Roman" w:hAnsi="Times New Roman" w:cs="Times New Roman"/>
                <w:b w:val="0"/>
                <w:bCs w:val="0"/>
                <w:color w:val="auto"/>
                <w:kern w:val="24"/>
                <w:highlight w:val="none"/>
                <w:lang w:val="en-US" w:eastAsia="zh-CN"/>
              </w:rPr>
              <w:t>排放浓度、排放速率满足《大气污染物综合排放标准》（GB16297-1996）中表2新污染源大气污染物排放限值，</w:t>
            </w:r>
            <w:r>
              <w:rPr>
                <w:rFonts w:hint="default" w:ascii="Times New Roman" w:hAnsi="Times New Roman" w:cs="Times New Roman"/>
                <w:b w:val="0"/>
                <w:bCs w:val="0"/>
                <w:color w:val="auto"/>
                <w:kern w:val="24"/>
                <w:highlight w:val="none"/>
              </w:rPr>
              <w:t>对大气环境影响的治理措施可行，对大气环境污染较小，排气筒高度设置的合理性。</w:t>
            </w:r>
          </w:p>
          <w:p>
            <w:pPr>
              <w:adjustRightInd w:val="0"/>
              <w:snapToGrid w:val="0"/>
              <w:ind w:firstLine="482"/>
              <w:rPr>
                <w:rFonts w:hint="default" w:ascii="Times New Roman" w:hAnsi="Times New Roman" w:cs="Times New Roman"/>
                <w:b w:val="0"/>
                <w:bCs w:val="0"/>
                <w:color w:val="auto"/>
                <w:kern w:val="24"/>
                <w:highlight w:val="none"/>
              </w:rPr>
            </w:pPr>
            <w:r>
              <w:rPr>
                <w:rFonts w:hint="default" w:ascii="Times New Roman" w:hAnsi="Times New Roman" w:cs="Times New Roman"/>
                <w:b/>
                <w:bCs/>
                <w:color w:val="auto"/>
                <w:kern w:val="24"/>
                <w:highlight w:val="none"/>
                <w:lang w:val="en-US" w:eastAsia="zh-CN"/>
              </w:rPr>
              <w:t>1.3集气罩收集效率</w:t>
            </w:r>
            <w:r>
              <w:rPr>
                <w:rFonts w:hint="default" w:ascii="Times New Roman" w:hAnsi="Times New Roman" w:cs="Times New Roman"/>
                <w:b/>
                <w:bCs/>
                <w:color w:val="auto"/>
                <w:kern w:val="24"/>
                <w:highlight w:val="none"/>
              </w:rPr>
              <w:t>合理性分析</w:t>
            </w:r>
          </w:p>
          <w:p>
            <w:pPr>
              <w:adjustRightInd w:val="0"/>
              <w:snapToGrid w:val="0"/>
              <w:ind w:left="0" w:leftChars="0" w:firstLine="480" w:firstLineChars="200"/>
              <w:rPr>
                <w:rFonts w:hint="default" w:ascii="Times New Roman" w:hAnsi="Times New Roman" w:cs="Times New Roman"/>
                <w:b w:val="0"/>
                <w:bCs w:val="0"/>
                <w:color w:val="auto"/>
                <w:kern w:val="24"/>
                <w:highlight w:val="none"/>
              </w:rPr>
            </w:pPr>
            <w:r>
              <w:rPr>
                <w:rFonts w:hint="default" w:ascii="Times New Roman" w:hAnsi="Times New Roman" w:cs="Times New Roman"/>
                <w:b w:val="0"/>
                <w:bCs w:val="0"/>
                <w:color w:val="auto"/>
                <w:kern w:val="24"/>
                <w:highlight w:val="none"/>
              </w:rPr>
              <w:t>根据《主要污染物总量减排核算技术指南（2022</w:t>
            </w:r>
            <w:r>
              <w:rPr>
                <w:rFonts w:hint="default" w:ascii="Times New Roman" w:hAnsi="Times New Roman" w:cs="Times New Roman"/>
                <w:b w:val="0"/>
                <w:bCs w:val="0"/>
                <w:color w:val="auto"/>
                <w:kern w:val="24"/>
                <w:highlight w:val="none"/>
                <w:lang w:eastAsia="zh-CN"/>
              </w:rPr>
              <w:t>）</w:t>
            </w:r>
            <w:r>
              <w:rPr>
                <w:rFonts w:hint="default" w:ascii="Times New Roman" w:hAnsi="Times New Roman" w:cs="Times New Roman"/>
                <w:b w:val="0"/>
                <w:bCs w:val="0"/>
                <w:color w:val="auto"/>
                <w:kern w:val="24"/>
                <w:highlight w:val="none"/>
              </w:rPr>
              <w:t>年修订）》中表2-3废气收集效率如下表</w:t>
            </w:r>
            <w:r>
              <w:rPr>
                <w:rFonts w:hint="default" w:ascii="Times New Roman" w:hAnsi="Times New Roman" w:cs="Times New Roman"/>
                <w:b w:val="0"/>
                <w:bCs w:val="0"/>
                <w:color w:val="auto"/>
                <w:kern w:val="24"/>
                <w:highlight w:val="none"/>
                <w:lang w:val="en-US" w:eastAsia="zh-CN"/>
              </w:rPr>
              <w:t>4-14</w:t>
            </w:r>
            <w:r>
              <w:rPr>
                <w:rFonts w:hint="default" w:ascii="Times New Roman" w:hAnsi="Times New Roman" w:cs="Times New Roman"/>
                <w:b w:val="0"/>
                <w:bCs w:val="0"/>
                <w:color w:val="auto"/>
                <w:kern w:val="24"/>
                <w:highlight w:val="none"/>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 xml:space="preserve">14   </w:t>
            </w:r>
            <w:r>
              <w:rPr>
                <w:rFonts w:hint="default" w:ascii="Times New Roman" w:hAnsi="Times New Roman" w:cs="Times New Roman"/>
                <w:b/>
                <w:bCs/>
                <w:color w:val="auto"/>
                <w:highlight w:val="none"/>
              </w:rPr>
              <w:t>废气收集集气效率参考值一览表</w:t>
            </w:r>
          </w:p>
          <w:tbl>
            <w:tblPr>
              <w:tblStyle w:val="22"/>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39"/>
              <w:gridCol w:w="1056"/>
              <w:gridCol w:w="1026"/>
              <w:gridCol w:w="1063"/>
              <w:gridCol w:w="1183"/>
              <w:gridCol w:w="118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34"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废气收集方式</w:t>
                  </w:r>
                </w:p>
              </w:tc>
              <w:tc>
                <w:tcPr>
                  <w:tcW w:w="498" w:type="pct"/>
                  <w:vMerge w:val="restart"/>
                  <w:vAlign w:val="center"/>
                </w:tcPr>
                <w:p>
                  <w:pPr>
                    <w:pStyle w:val="45"/>
                    <w:spacing w:line="240" w:lineRule="auto"/>
                    <w:ind w:firstLine="0" w:firstLineChars="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密闭管道</w:t>
                  </w:r>
                </w:p>
              </w:tc>
              <w:tc>
                <w:tcPr>
                  <w:tcW w:w="1236" w:type="pct"/>
                  <w:gridSpan w:val="2"/>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密闭空间</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（含密闭式集气罩）</w:t>
                  </w:r>
                </w:p>
              </w:tc>
              <w:tc>
                <w:tcPr>
                  <w:tcW w:w="631"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半密闭集气罩（含排气柜）</w:t>
                  </w:r>
                </w:p>
              </w:tc>
              <w:tc>
                <w:tcPr>
                  <w:tcW w:w="702"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包围型</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集气罩</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（含软帘）</w:t>
                  </w:r>
                </w:p>
              </w:tc>
              <w:tc>
                <w:tcPr>
                  <w:tcW w:w="702"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符合标准要求的外部集气罩</w:t>
                  </w:r>
                </w:p>
              </w:tc>
              <w:tc>
                <w:tcPr>
                  <w:tcW w:w="694"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其他收集方式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34" w:type="pct"/>
                  <w:vMerge w:val="restar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收集</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效率</w:t>
                  </w:r>
                </w:p>
              </w:tc>
              <w:tc>
                <w:tcPr>
                  <w:tcW w:w="498" w:type="pct"/>
                  <w:vMerge w:val="continue"/>
                  <w:vAlign w:val="center"/>
                </w:tcPr>
                <w:p>
                  <w:pPr>
                    <w:pStyle w:val="45"/>
                    <w:spacing w:line="240" w:lineRule="auto"/>
                    <w:ind w:firstLine="0" w:firstLineChars="0"/>
                    <w:rPr>
                      <w:rFonts w:hint="default" w:ascii="Times New Roman" w:hAnsi="Times New Roman" w:eastAsia="宋体" w:cs="Times New Roman"/>
                      <w:b w:val="0"/>
                      <w:bCs w:val="0"/>
                      <w:color w:val="auto"/>
                      <w:highlight w:val="none"/>
                      <w:lang w:val="en-US" w:eastAsia="zh-CN"/>
                    </w:rPr>
                  </w:pPr>
                </w:p>
              </w:tc>
              <w:tc>
                <w:tcPr>
                  <w:tcW w:w="62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负压</w:t>
                  </w:r>
                </w:p>
              </w:tc>
              <w:tc>
                <w:tcPr>
                  <w:tcW w:w="60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正压</w:t>
                  </w:r>
                </w:p>
              </w:tc>
              <w:tc>
                <w:tcPr>
                  <w:tcW w:w="631"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p>
              </w:tc>
              <w:tc>
                <w:tcPr>
                  <w:tcW w:w="702"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702"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69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34" w:type="pct"/>
                  <w:vMerge w:val="continue"/>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p>
              </w:tc>
              <w:tc>
                <w:tcPr>
                  <w:tcW w:w="498" w:type="pct"/>
                  <w:vAlign w:val="center"/>
                </w:tcPr>
                <w:p>
                  <w:pPr>
                    <w:pStyle w:val="45"/>
                    <w:spacing w:line="240" w:lineRule="auto"/>
                    <w:ind w:firstLine="0" w:firstLineChars="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95%</w:t>
                  </w:r>
                </w:p>
              </w:tc>
              <w:tc>
                <w:tcPr>
                  <w:tcW w:w="627"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w:t>
                  </w:r>
                </w:p>
              </w:tc>
              <w:tc>
                <w:tcPr>
                  <w:tcW w:w="60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80%</w:t>
                  </w:r>
                </w:p>
              </w:tc>
              <w:tc>
                <w:tcPr>
                  <w:tcW w:w="631"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65%</w:t>
                  </w:r>
                </w:p>
              </w:tc>
              <w:tc>
                <w:tcPr>
                  <w:tcW w:w="70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50%</w:t>
                  </w:r>
                </w:p>
              </w:tc>
              <w:tc>
                <w:tcPr>
                  <w:tcW w:w="702"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w:t>
                  </w:r>
                </w:p>
              </w:tc>
              <w:tc>
                <w:tcPr>
                  <w:tcW w:w="69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r>
          </w:tbl>
          <w:p>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本项目主要产品为110kV预制舱、35kV预制舱、10KV预制舱、400V预制舱、GIS舱、储能舱预制舱等，规格尺寸大小主要按照客户要求进行定制。</w:t>
            </w:r>
          </w:p>
          <w:p>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鉴于生产设备及产品规格尺寸较大，</w:t>
            </w:r>
            <w:r>
              <w:rPr>
                <w:rFonts w:hint="default" w:ascii="Times New Roman" w:hAnsi="Times New Roman" w:eastAsia="Segoe UI Emoji" w:cs="Times New Roman"/>
                <w:i w:val="0"/>
                <w:iCs w:val="0"/>
                <w:caps w:val="0"/>
                <w:color w:val="auto"/>
                <w:spacing w:val="0"/>
                <w:sz w:val="24"/>
                <w:szCs w:val="24"/>
                <w:highlight w:val="none"/>
              </w:rPr>
              <w:t>厂房为钢结构，四周墙壁门窗密闭性好，运营期间保持车间密闭，</w:t>
            </w:r>
            <w:r>
              <w:rPr>
                <w:rFonts w:hint="default" w:ascii="Times New Roman" w:hAnsi="Times New Roman" w:cs="Times New Roman"/>
                <w:b w:val="0"/>
                <w:bCs w:val="0"/>
                <w:color w:val="auto"/>
                <w:highlight w:val="none"/>
                <w:lang w:val="en-US" w:eastAsia="zh-CN"/>
              </w:rPr>
              <w:t>集气系统可在正压环境下实现有效收集，因此本次评价确定该切割工序集气罩的集气效率为按80%计。</w:t>
            </w:r>
          </w:p>
          <w:p>
            <w:pPr>
              <w:ind w:left="0" w:leftChars="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本项目焊接后的工件送入</w:t>
            </w:r>
            <w:r>
              <w:rPr>
                <w:rFonts w:hint="default" w:ascii="Times New Roman" w:hAnsi="Times New Roman" w:cs="Times New Roman"/>
                <w:color w:val="auto"/>
                <w:sz w:val="24"/>
                <w:highlight w:val="none"/>
                <w:lang w:val="en-US" w:eastAsia="zh-CN"/>
              </w:rPr>
              <w:t>全封闭</w:t>
            </w:r>
            <w:r>
              <w:rPr>
                <w:rFonts w:hint="default" w:ascii="Times New Roman" w:hAnsi="Times New Roman" w:eastAsia="宋体" w:cs="Times New Roman"/>
                <w:color w:val="auto"/>
                <w:sz w:val="24"/>
                <w:highlight w:val="none"/>
              </w:rPr>
              <w:t>喷砂房，</w:t>
            </w:r>
            <w:r>
              <w:rPr>
                <w:rFonts w:hint="default" w:ascii="Times New Roman" w:hAnsi="Times New Roman" w:cs="Times New Roman"/>
                <w:color w:val="auto"/>
                <w:sz w:val="24"/>
                <w:highlight w:val="none"/>
              </w:rPr>
              <w:t>对其表面打磨光滑、平整喷砂，以便喷漆。喷砂过程中粉尘主要为工件表面金属屑，其密度较大粉尘在喷砂房内易于沉降。在打磨、喷砂过程中产生少量的打磨、喷砂粉尘。</w:t>
            </w:r>
          </w:p>
          <w:p>
            <w:pPr>
              <w:rPr>
                <w:rFonts w:hint="default" w:ascii="Times New Roman" w:hAnsi="Times New Roman" w:cs="Times New Roman"/>
                <w:b w:val="0"/>
                <w:bCs w:val="0"/>
                <w:color w:val="auto"/>
                <w:highlight w:val="none"/>
                <w:lang w:val="en-US" w:eastAsia="zh-CN"/>
              </w:rPr>
            </w:pPr>
            <w:r>
              <w:rPr>
                <w:rFonts w:hint="default" w:ascii="Times New Roman" w:hAnsi="Times New Roman" w:cs="Times New Roman"/>
                <w:color w:val="auto"/>
                <w:highlight w:val="none"/>
              </w:rPr>
              <w:t>本项目调漆、喷漆、烘干均在全封闭喷漆房内进行，采用自动喷涂。底漆喷涂后送入电加热烘干室间接烘干后再进行面漆喷涂，面漆喷涂后再次进行烘干。</w:t>
            </w:r>
            <w:r>
              <w:rPr>
                <w:rFonts w:hint="default" w:ascii="Times New Roman" w:hAnsi="Times New Roman" w:eastAsia="Segoe UI Emoji" w:cs="Times New Roman"/>
                <w:i w:val="0"/>
                <w:iCs w:val="0"/>
                <w:caps w:val="0"/>
                <w:color w:val="auto"/>
                <w:spacing w:val="0"/>
                <w:sz w:val="24"/>
                <w:szCs w:val="24"/>
                <w:highlight w:val="none"/>
              </w:rPr>
              <w:t>运营期间保持</w:t>
            </w:r>
            <w:r>
              <w:rPr>
                <w:rFonts w:hint="default" w:ascii="Times New Roman" w:hAnsi="Times New Roman" w:eastAsia="宋体" w:cs="Times New Roman"/>
                <w:color w:val="auto"/>
                <w:sz w:val="24"/>
                <w:highlight w:val="none"/>
              </w:rPr>
              <w:t>喷砂房</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highlight w:val="none"/>
              </w:rPr>
              <w:t>喷漆房</w:t>
            </w:r>
            <w:r>
              <w:rPr>
                <w:rFonts w:hint="default" w:ascii="Times New Roman" w:hAnsi="Times New Roman" w:eastAsia="Segoe UI Emoji" w:cs="Times New Roman"/>
                <w:i w:val="0"/>
                <w:iCs w:val="0"/>
                <w:caps w:val="0"/>
                <w:color w:val="auto"/>
                <w:spacing w:val="0"/>
                <w:sz w:val="24"/>
                <w:szCs w:val="24"/>
                <w:highlight w:val="none"/>
              </w:rPr>
              <w:t>密闭，</w:t>
            </w:r>
            <w:r>
              <w:rPr>
                <w:rFonts w:hint="default" w:ascii="Times New Roman" w:hAnsi="Times New Roman" w:cs="Times New Roman"/>
                <w:b w:val="0"/>
                <w:bCs w:val="0"/>
                <w:color w:val="auto"/>
                <w:highlight w:val="none"/>
                <w:lang w:val="en-US" w:eastAsia="zh-CN"/>
              </w:rPr>
              <w:t>集气系统可在负压环境下实现有效收集，因此本次评价确定该喷砂、</w:t>
            </w:r>
            <w:r>
              <w:rPr>
                <w:rFonts w:hint="default" w:ascii="Times New Roman" w:hAnsi="Times New Roman" w:cs="Times New Roman"/>
                <w:color w:val="auto"/>
                <w:highlight w:val="none"/>
              </w:rPr>
              <w:t>喷漆</w:t>
            </w:r>
            <w:r>
              <w:rPr>
                <w:rFonts w:hint="default" w:ascii="Times New Roman" w:hAnsi="Times New Roman" w:cs="Times New Roman"/>
                <w:b w:val="0"/>
                <w:bCs w:val="0"/>
                <w:color w:val="auto"/>
                <w:highlight w:val="none"/>
                <w:lang w:val="en-US" w:eastAsia="zh-CN"/>
              </w:rPr>
              <w:t>工序集气罩的集气效率为按90%计。</w:t>
            </w:r>
          </w:p>
          <w:p>
            <w:pPr>
              <w:adjustRightInd w:val="0"/>
              <w:snapToGrid w:val="0"/>
              <w:ind w:firstLine="482"/>
              <w:rPr>
                <w:rFonts w:hint="default" w:ascii="Times New Roman" w:hAnsi="Times New Roman" w:cs="Times New Roman"/>
                <w:b/>
                <w:bCs/>
                <w:color w:val="auto"/>
                <w:kern w:val="24"/>
                <w:highlight w:val="none"/>
              </w:rPr>
            </w:pPr>
            <w:r>
              <w:rPr>
                <w:rFonts w:hint="default" w:ascii="Times New Roman" w:hAnsi="Times New Roman" w:cs="Times New Roman"/>
                <w:b/>
                <w:bCs/>
                <w:color w:val="auto"/>
                <w:kern w:val="24"/>
                <w:highlight w:val="none"/>
              </w:rPr>
              <w:t>1.</w:t>
            </w:r>
            <w:r>
              <w:rPr>
                <w:rFonts w:hint="default" w:ascii="Times New Roman" w:hAnsi="Times New Roman" w:cs="Times New Roman"/>
                <w:b/>
                <w:bCs/>
                <w:color w:val="auto"/>
                <w:kern w:val="24"/>
                <w:highlight w:val="none"/>
                <w:lang w:val="en-US" w:eastAsia="zh-CN"/>
              </w:rPr>
              <w:t>4</w:t>
            </w:r>
            <w:r>
              <w:rPr>
                <w:rFonts w:hint="default" w:ascii="Times New Roman" w:hAnsi="Times New Roman" w:cs="Times New Roman"/>
                <w:b/>
                <w:bCs/>
                <w:color w:val="auto"/>
                <w:kern w:val="24"/>
                <w:highlight w:val="none"/>
              </w:rPr>
              <w:t>废气治理措施及影响分析</w:t>
            </w:r>
          </w:p>
          <w:p>
            <w:pPr>
              <w:adjustRightInd w:val="0"/>
              <w:snapToGrid w:val="0"/>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lang w:val="en-US" w:eastAsia="zh-CN"/>
              </w:rPr>
              <w:t>依据</w:t>
            </w:r>
            <w:r>
              <w:rPr>
                <w:rFonts w:hint="default" w:ascii="Times New Roman" w:hAnsi="Times New Roman" w:cs="Times New Roman"/>
                <w:color w:val="auto"/>
                <w:sz w:val="24"/>
                <w:highlight w:val="none"/>
                <w:shd w:val="clear" w:color="auto" w:fill="FFFFFF"/>
              </w:rPr>
              <w:t>《排污许可证申请与核发技术规范</w:t>
            </w:r>
            <w:r>
              <w:rPr>
                <w:rFonts w:hint="default" w:ascii="Times New Roman" w:hAnsi="Times New Roman" w:cs="Times New Roman"/>
                <w:color w:val="auto"/>
                <w:sz w:val="24"/>
                <w:highlight w:val="none"/>
                <w:shd w:val="clear" w:color="auto" w:fill="FFFFFF"/>
                <w:lang w:val="en-US" w:eastAsia="zh-CN"/>
              </w:rPr>
              <w:t xml:space="preserve"> </w:t>
            </w:r>
            <w:r>
              <w:rPr>
                <w:rFonts w:hint="default" w:ascii="Times New Roman" w:hAnsi="Times New Roman" w:cs="Times New Roman"/>
                <w:color w:val="auto"/>
                <w:sz w:val="24"/>
                <w:highlight w:val="none"/>
                <w:shd w:val="clear" w:color="auto" w:fill="FFFFFF"/>
              </w:rPr>
              <w:t>铁路、船舶、航空航天和其他运输设备制造业》（HJ1124-2020）</w:t>
            </w:r>
            <w:r>
              <w:rPr>
                <w:rFonts w:hint="default" w:ascii="Times New Roman" w:hAnsi="Times New Roman" w:cs="Times New Roman"/>
                <w:color w:val="auto"/>
                <w:sz w:val="24"/>
                <w:highlight w:val="none"/>
                <w:lang w:val="en-US" w:eastAsia="zh-CN"/>
              </w:rPr>
              <w:t>表8其他运输设备制造排污单位废气产污环节、污染物项目、排放形式、污染防治措施及对应排放口类型一览表，切割工序、喷砂工序采用袋式除尘工艺实施粉尘治理，属于该规范明确的污染防治可行技术范畴；喷涂（烘干）工序采用纸盒过滤+活性炭吸附+</w:t>
            </w:r>
            <w:r>
              <w:rPr>
                <w:rFonts w:hint="default" w:ascii="Times New Roman" w:hAnsi="Times New Roman" w:cs="Times New Roman"/>
                <w:color w:val="auto"/>
                <w:sz w:val="24"/>
                <w:highlight w:val="none"/>
              </w:rPr>
              <w:t>催化燃烧</w:t>
            </w:r>
            <w:r>
              <w:rPr>
                <w:rFonts w:hint="default" w:ascii="Times New Roman" w:hAnsi="Times New Roman" w:cs="Times New Roman"/>
                <w:color w:val="auto"/>
                <w:sz w:val="24"/>
                <w:highlight w:val="none"/>
                <w:lang w:val="en-US" w:eastAsia="zh-CN"/>
              </w:rPr>
              <w:t>装置属于该规范明确的污染防治可行技术范畴。</w:t>
            </w:r>
            <w:r>
              <w:rPr>
                <w:rFonts w:hint="default" w:ascii="Times New Roman" w:hAnsi="Times New Roman" w:cs="Times New Roman"/>
                <w:color w:val="auto"/>
                <w:highlight w:val="none"/>
                <w:lang w:val="en-US" w:eastAsia="zh-CN"/>
              </w:rPr>
              <w:t>具体内容如下表4-15。</w:t>
            </w:r>
          </w:p>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 xml:space="preserve">4-15  </w:t>
            </w:r>
            <w:r>
              <w:rPr>
                <w:rFonts w:hint="default" w:ascii="Times New Roman" w:hAnsi="Times New Roman" w:cs="Times New Roman"/>
                <w:b/>
                <w:color w:val="auto"/>
                <w:sz w:val="24"/>
                <w:szCs w:val="24"/>
                <w:highlight w:val="none"/>
              </w:rPr>
              <w:t>废气污染防治推荐可行技术</w:t>
            </w:r>
          </w:p>
          <w:tbl>
            <w:tblPr>
              <w:tblStyle w:val="22"/>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
              <w:gridCol w:w="1294"/>
              <w:gridCol w:w="1079"/>
              <w:gridCol w:w="910"/>
              <w:gridCol w:w="1533"/>
              <w:gridCol w:w="141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3" w:type="dxa"/>
                  <w:gridSpan w:val="2"/>
                  <w:tcBorders>
                    <w:lef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产污</w:t>
                  </w:r>
                </w:p>
                <w:p>
                  <w:pPr>
                    <w:pStyle w:val="45"/>
                    <w:ind w:firstLine="0" w:firstLineChars="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环节</w:t>
                  </w:r>
                </w:p>
              </w:tc>
              <w:tc>
                <w:tcPr>
                  <w:tcW w:w="1296" w:type="dxa"/>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生产设施</w:t>
                  </w:r>
                </w:p>
              </w:tc>
              <w:tc>
                <w:tcPr>
                  <w:tcW w:w="1080"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污染物项目</w:t>
                  </w:r>
                </w:p>
              </w:tc>
              <w:tc>
                <w:tcPr>
                  <w:tcW w:w="911"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排放</w:t>
                  </w:r>
                </w:p>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形式</w:t>
                  </w:r>
                </w:p>
              </w:tc>
              <w:tc>
                <w:tcPr>
                  <w:tcW w:w="1535"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推荐可行技术</w:t>
                  </w:r>
                </w:p>
              </w:tc>
              <w:tc>
                <w:tcPr>
                  <w:tcW w:w="1417"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本项目</w:t>
                  </w:r>
                  <w:r>
                    <w:rPr>
                      <w:rFonts w:hint="eastAsia" w:ascii="Times New Roman" w:hAnsi="Times New Roman" w:cs="Times New Roman"/>
                      <w:b/>
                      <w:bCs w:val="0"/>
                      <w:color w:val="auto"/>
                      <w:sz w:val="21"/>
                      <w:szCs w:val="21"/>
                      <w:highlight w:val="none"/>
                      <w:lang w:val="en-US" w:eastAsia="zh-CN"/>
                    </w:rPr>
                    <w:t>采取</w:t>
                  </w:r>
                  <w:r>
                    <w:rPr>
                      <w:rFonts w:hint="default" w:ascii="Times New Roman" w:hAnsi="Times New Roman" w:cs="Times New Roman"/>
                      <w:b/>
                      <w:bCs w:val="0"/>
                      <w:color w:val="auto"/>
                      <w:sz w:val="21"/>
                      <w:szCs w:val="21"/>
                      <w:highlight w:val="none"/>
                      <w:lang w:val="en-US" w:eastAsia="zh-CN"/>
                    </w:rPr>
                    <w:t>措施</w:t>
                  </w:r>
                </w:p>
              </w:tc>
              <w:tc>
                <w:tcPr>
                  <w:tcW w:w="1026" w:type="dxa"/>
                  <w:tcBorders>
                    <w:right w:val="nil"/>
                  </w:tcBorders>
                  <w:vAlign w:val="center"/>
                </w:tcPr>
                <w:p>
                  <w:pPr>
                    <w:pStyle w:val="45"/>
                    <w:ind w:firstLine="0" w:firstLineChars="0"/>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1" w:type="dxa"/>
                  <w:tcBorders>
                    <w:lef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切割</w:t>
                  </w:r>
                </w:p>
              </w:tc>
              <w:tc>
                <w:tcPr>
                  <w:tcW w:w="1298" w:type="dxa"/>
                  <w:gridSpan w:val="2"/>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各种切割机</w:t>
                  </w:r>
                </w:p>
              </w:tc>
              <w:tc>
                <w:tcPr>
                  <w:tcW w:w="1080"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颗粒物</w:t>
                  </w:r>
                </w:p>
              </w:tc>
              <w:tc>
                <w:tcPr>
                  <w:tcW w:w="911"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有组织</w:t>
                  </w: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除尘设施，袋式除尘、静电除尘</w:t>
                  </w:r>
                </w:p>
              </w:tc>
              <w:tc>
                <w:tcPr>
                  <w:tcW w:w="1417"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袋式除尘</w:t>
                  </w:r>
                </w:p>
              </w:tc>
              <w:tc>
                <w:tcPr>
                  <w:tcW w:w="1026" w:type="dxa"/>
                  <w:tcBorders>
                    <w:right w:val="nil"/>
                  </w:tcBorders>
                  <w:vAlign w:val="center"/>
                </w:tcPr>
                <w:p>
                  <w:pPr>
                    <w:pStyle w:val="45"/>
                    <w:ind w:firstLine="0" w:firstLineChars="0"/>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1" w:type="dxa"/>
                  <w:tcBorders>
                    <w:lef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焊接</w:t>
                  </w:r>
                </w:p>
              </w:tc>
              <w:tc>
                <w:tcPr>
                  <w:tcW w:w="1298" w:type="dxa"/>
                  <w:gridSpan w:val="2"/>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气焊机、激光焊机</w:t>
                  </w:r>
                </w:p>
              </w:tc>
              <w:tc>
                <w:tcPr>
                  <w:tcW w:w="1080"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颗粒物</w:t>
                  </w:r>
                </w:p>
              </w:tc>
              <w:tc>
                <w:tcPr>
                  <w:tcW w:w="911"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无组织</w:t>
                  </w: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烟尘净化装置，袋式除尘</w:t>
                  </w:r>
                </w:p>
              </w:tc>
              <w:tc>
                <w:tcPr>
                  <w:tcW w:w="1417"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移动式烟尘净化器</w:t>
                  </w:r>
                </w:p>
              </w:tc>
              <w:tc>
                <w:tcPr>
                  <w:tcW w:w="1026" w:type="dxa"/>
                  <w:tcBorders>
                    <w:right w:val="nil"/>
                  </w:tcBorders>
                  <w:vAlign w:val="center"/>
                </w:tcPr>
                <w:p>
                  <w:pPr>
                    <w:pStyle w:val="45"/>
                    <w:ind w:firstLine="0" w:firstLineChars="0"/>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trPr>
              <w:tc>
                <w:tcPr>
                  <w:tcW w:w="1031" w:type="dxa"/>
                  <w:tcBorders>
                    <w:lef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机械预处理</w:t>
                  </w:r>
                </w:p>
              </w:tc>
              <w:tc>
                <w:tcPr>
                  <w:tcW w:w="1298" w:type="dxa"/>
                  <w:gridSpan w:val="2"/>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喷砂设备</w:t>
                  </w:r>
                </w:p>
              </w:tc>
              <w:tc>
                <w:tcPr>
                  <w:tcW w:w="1080"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颗粒物</w:t>
                  </w:r>
                </w:p>
              </w:tc>
              <w:tc>
                <w:tcPr>
                  <w:tcW w:w="911"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有组织</w:t>
                  </w: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除尘设施，袋式除尘、湿式除尘</w:t>
                  </w:r>
                </w:p>
              </w:tc>
              <w:tc>
                <w:tcPr>
                  <w:tcW w:w="1417"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袋式除尘</w:t>
                  </w:r>
                </w:p>
              </w:tc>
              <w:tc>
                <w:tcPr>
                  <w:tcW w:w="1026" w:type="dxa"/>
                  <w:tcBorders>
                    <w:right w:val="nil"/>
                  </w:tcBorders>
                  <w:vAlign w:val="center"/>
                </w:tcPr>
                <w:p>
                  <w:pPr>
                    <w:pStyle w:val="45"/>
                    <w:ind w:firstLine="0" w:firstLineChars="0"/>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31" w:type="dxa"/>
                  <w:vMerge w:val="restart"/>
                  <w:tcBorders>
                    <w:lef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喷漆</w:t>
                  </w:r>
                </w:p>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底漆/中涂/面漆/罩光清漆</w:t>
                  </w:r>
                  <w:r>
                    <w:rPr>
                      <w:rFonts w:hint="eastAsia" w:ascii="Times New Roman" w:hAnsi="Times New Roman" w:cs="Times New Roman"/>
                      <w:b w:val="0"/>
                      <w:bCs/>
                      <w:color w:val="auto"/>
                      <w:sz w:val="21"/>
                      <w:szCs w:val="21"/>
                      <w:highlight w:val="none"/>
                      <w:lang w:val="en-US" w:eastAsia="zh-CN"/>
                    </w:rPr>
                    <w:t>）</w:t>
                  </w:r>
                </w:p>
              </w:tc>
              <w:tc>
                <w:tcPr>
                  <w:tcW w:w="1298" w:type="dxa"/>
                  <w:gridSpan w:val="2"/>
                  <w:vMerge w:val="restart"/>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喷漆</w:t>
                  </w:r>
                </w:p>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（烘干）室</w:t>
                  </w:r>
                </w:p>
              </w:tc>
              <w:tc>
                <w:tcPr>
                  <w:tcW w:w="1080"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颗粒物（漆雾）</w:t>
                  </w:r>
                </w:p>
              </w:tc>
              <w:tc>
                <w:tcPr>
                  <w:tcW w:w="911" w:type="dxa"/>
                  <w:vMerge w:val="restart"/>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有组织</w:t>
                  </w: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密闭喷漆室，文丘里/水旋/水帘、</w:t>
                  </w:r>
                  <w:r>
                    <w:rPr>
                      <w:rFonts w:hint="eastAsia" w:ascii="Times New Roman" w:hAnsi="Times New Roman" w:cs="Times New Roman"/>
                      <w:b w:val="0"/>
                      <w:bCs/>
                      <w:color w:val="auto"/>
                      <w:sz w:val="21"/>
                      <w:szCs w:val="21"/>
                      <w:highlight w:val="none"/>
                      <w:lang w:val="en-US" w:eastAsia="zh-CN"/>
                    </w:rPr>
                    <w:t>石灰</w:t>
                  </w:r>
                  <w:r>
                    <w:rPr>
                      <w:rFonts w:hint="default" w:ascii="Times New Roman" w:hAnsi="Times New Roman" w:cs="Times New Roman"/>
                      <w:b w:val="0"/>
                      <w:bCs/>
                      <w:color w:val="auto"/>
                      <w:sz w:val="21"/>
                      <w:szCs w:val="21"/>
                      <w:highlight w:val="none"/>
                      <w:lang w:val="en-US" w:eastAsia="zh-CN"/>
                    </w:rPr>
                    <w:t>粉吸附、纸盒过滤、化学纤维过滤</w:t>
                  </w:r>
                </w:p>
              </w:tc>
              <w:tc>
                <w:tcPr>
                  <w:tcW w:w="1417"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密闭喷漆室、纸盒过滤</w:t>
                  </w:r>
                </w:p>
              </w:tc>
              <w:tc>
                <w:tcPr>
                  <w:tcW w:w="1026" w:type="dxa"/>
                  <w:tcBorders>
                    <w:right w:val="nil"/>
                  </w:tcBorders>
                  <w:vAlign w:val="center"/>
                </w:tcPr>
                <w:p>
                  <w:pPr>
                    <w:pStyle w:val="45"/>
                    <w:ind w:firstLine="0" w:firstLineChars="0"/>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31" w:type="dxa"/>
                  <w:vMerge w:val="continue"/>
                  <w:tcBorders>
                    <w:left w:val="nil"/>
                  </w:tcBorders>
                  <w:vAlign w:val="center"/>
                </w:tcPr>
                <w:p>
                  <w:pPr>
                    <w:pStyle w:val="45"/>
                    <w:ind w:firstLine="0" w:firstLineChars="0"/>
                    <w:rPr>
                      <w:rFonts w:hint="default" w:ascii="Times New Roman" w:hAnsi="Times New Roman" w:cs="Times New Roman"/>
                      <w:color w:val="auto"/>
                      <w:highlight w:val="none"/>
                    </w:rPr>
                  </w:pPr>
                </w:p>
              </w:tc>
              <w:tc>
                <w:tcPr>
                  <w:tcW w:w="1298" w:type="dxa"/>
                  <w:gridSpan w:val="2"/>
                  <w:vMerge w:val="continue"/>
                  <w:vAlign w:val="center"/>
                </w:tcPr>
                <w:p>
                  <w:pPr>
                    <w:pStyle w:val="45"/>
                    <w:ind w:firstLine="0" w:firstLineChars="0"/>
                    <w:rPr>
                      <w:rFonts w:hint="default" w:ascii="Times New Roman" w:hAnsi="Times New Roman" w:cs="Times New Roman"/>
                      <w:color w:val="auto"/>
                      <w:highlight w:val="none"/>
                    </w:rPr>
                  </w:pPr>
                </w:p>
              </w:tc>
              <w:tc>
                <w:tcPr>
                  <w:tcW w:w="1080" w:type="dxa"/>
                  <w:vMerge w:val="restart"/>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挥发性有机物、二甲苯</w:t>
                  </w:r>
                </w:p>
              </w:tc>
              <w:tc>
                <w:tcPr>
                  <w:tcW w:w="911" w:type="dxa"/>
                  <w:vMerge w:val="continue"/>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有机废气治理设施，活性炭吸附、吸附/浓缩+热力燃烧/催化氧化、热力</w:t>
                  </w:r>
                  <w:r>
                    <w:rPr>
                      <w:rFonts w:hint="eastAsia" w:ascii="Times New Roman" w:hAnsi="Times New Roman" w:cs="Times New Roman"/>
                      <w:b w:val="0"/>
                      <w:bCs/>
                      <w:color w:val="auto"/>
                      <w:sz w:val="21"/>
                      <w:szCs w:val="21"/>
                      <w:highlight w:val="none"/>
                      <w:lang w:val="en-US" w:eastAsia="zh-CN"/>
                    </w:rPr>
                    <w:t>焚烧</w:t>
                  </w:r>
                  <w:r>
                    <w:rPr>
                      <w:rFonts w:hint="default" w:ascii="Times New Roman" w:hAnsi="Times New Roman" w:cs="Times New Roman"/>
                      <w:b w:val="0"/>
                      <w:bCs/>
                      <w:color w:val="auto"/>
                      <w:sz w:val="21"/>
                      <w:szCs w:val="21"/>
                      <w:highlight w:val="none"/>
                      <w:lang w:val="en-US" w:eastAsia="zh-CN"/>
                    </w:rPr>
                    <w:t>/催化焚烧</w:t>
                  </w:r>
                </w:p>
              </w:tc>
              <w:tc>
                <w:tcPr>
                  <w:tcW w:w="1417" w:type="dxa"/>
                  <w:vMerge w:val="restart"/>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活性炭吸附+催化燃烧</w:t>
                  </w:r>
                </w:p>
              </w:tc>
              <w:tc>
                <w:tcPr>
                  <w:tcW w:w="1026" w:type="dxa"/>
                  <w:vMerge w:val="restart"/>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1" w:type="dxa"/>
                  <w:tcBorders>
                    <w:lef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烘干</w:t>
                  </w:r>
                </w:p>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喷漆</w:t>
                  </w:r>
                  <w:r>
                    <w:rPr>
                      <w:rFonts w:hint="eastAsia" w:ascii="Times New Roman" w:hAnsi="Times New Roman" w:cs="Times New Roman"/>
                      <w:b w:val="0"/>
                      <w:bCs/>
                      <w:color w:val="auto"/>
                      <w:sz w:val="21"/>
                      <w:szCs w:val="21"/>
                      <w:highlight w:val="none"/>
                      <w:lang w:val="en-US" w:eastAsia="zh-CN"/>
                    </w:rPr>
                    <w:t>）</w:t>
                  </w:r>
                </w:p>
              </w:tc>
              <w:tc>
                <w:tcPr>
                  <w:tcW w:w="1298" w:type="dxa"/>
                  <w:gridSpan w:val="2"/>
                  <w:vMerge w:val="continue"/>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p>
              </w:tc>
              <w:tc>
                <w:tcPr>
                  <w:tcW w:w="1080" w:type="dxa"/>
                  <w:vMerge w:val="continue"/>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p>
              </w:tc>
              <w:tc>
                <w:tcPr>
                  <w:tcW w:w="911" w:type="dxa"/>
                  <w:vMerge w:val="continue"/>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p>
              </w:tc>
              <w:tc>
                <w:tcPr>
                  <w:tcW w:w="1535" w:type="dxa"/>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有机废气治理设施，热力焚烧/催化氧化、吸附/浓缩+热力燃烧/催化氧化</w:t>
                  </w:r>
                </w:p>
              </w:tc>
              <w:tc>
                <w:tcPr>
                  <w:tcW w:w="1417" w:type="dxa"/>
                  <w:vMerge w:val="continue"/>
                  <w:tcBorders>
                    <w:right w:val="nil"/>
                  </w:tcBorders>
                  <w:vAlign w:val="center"/>
                </w:tcPr>
                <w:p>
                  <w:pPr>
                    <w:pStyle w:val="45"/>
                    <w:ind w:firstLine="0" w:firstLineChars="0"/>
                    <w:rPr>
                      <w:rFonts w:hint="default" w:ascii="Times New Roman" w:hAnsi="Times New Roman" w:cs="Times New Roman"/>
                      <w:b w:val="0"/>
                      <w:bCs/>
                      <w:color w:val="auto"/>
                      <w:sz w:val="21"/>
                      <w:szCs w:val="21"/>
                      <w:highlight w:val="none"/>
                      <w:lang w:val="en-US" w:eastAsia="zh-CN"/>
                    </w:rPr>
                  </w:pPr>
                </w:p>
              </w:tc>
              <w:tc>
                <w:tcPr>
                  <w:tcW w:w="1026" w:type="dxa"/>
                  <w:vMerge w:val="continue"/>
                  <w:tcBorders>
                    <w:right w:val="nil"/>
                  </w:tcBorders>
                  <w:vAlign w:val="center"/>
                </w:tcPr>
                <w:p>
                  <w:pPr>
                    <w:pStyle w:val="45"/>
                    <w:ind w:firstLine="0" w:firstLineChars="0"/>
                    <w:rPr>
                      <w:rFonts w:hint="default" w:ascii="Times New Roman" w:hAnsi="Times New Roman" w:eastAsia="宋体" w:cs="Times New Roman"/>
                      <w:b w:val="0"/>
                      <w:bCs/>
                      <w:color w:val="auto"/>
                      <w:kern w:val="0"/>
                      <w:sz w:val="21"/>
                      <w:szCs w:val="21"/>
                      <w:highlight w:val="none"/>
                      <w:lang w:val="en-US" w:eastAsia="zh-CN" w:bidi="ar"/>
                    </w:rPr>
                  </w:pPr>
                </w:p>
              </w:tc>
            </w:tr>
          </w:tbl>
          <w:p>
            <w:pPr>
              <w:adjustRightInd w:val="0"/>
              <w:snapToGrid w:val="0"/>
              <w:ind w:firstLine="480"/>
              <w:rPr>
                <w:rFonts w:hint="eastAsia" w:eastAsia="宋体"/>
                <w:b/>
                <w:bCs w:val="0"/>
                <w:color w:val="auto"/>
                <w:kern w:val="24"/>
                <w:highlight w:val="none"/>
                <w:lang w:eastAsia="zh-CN"/>
              </w:rPr>
            </w:pPr>
            <w:r>
              <w:rPr>
                <w:rFonts w:hint="eastAsia"/>
                <w:b/>
                <w:bCs w:val="0"/>
                <w:color w:val="auto"/>
                <w:kern w:val="24"/>
                <w:highlight w:val="none"/>
              </w:rPr>
              <w:t xml:space="preserve"> 活性炭吸附装置</w:t>
            </w:r>
            <w:r>
              <w:rPr>
                <w:rFonts w:hint="eastAsia"/>
                <w:b/>
                <w:bCs w:val="0"/>
                <w:color w:val="auto"/>
                <w:kern w:val="24"/>
                <w:highlight w:val="none"/>
                <w:lang w:eastAsia="zh-CN"/>
              </w:rPr>
              <w:t>：</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宋体" w:cs="Times New Roman"/>
                <w:caps w:val="0"/>
                <w:snapToGrid/>
                <w:color w:val="auto"/>
                <w:spacing w:val="0"/>
                <w:w w:val="100"/>
                <w:kern w:val="0"/>
                <w:position w:val="0"/>
                <w:szCs w:val="24"/>
                <w:highlight w:val="none"/>
                <w:lang w:val="en-US" w:eastAsia="zh-CN"/>
              </w:rPr>
            </w:pPr>
            <w:r>
              <w:rPr>
                <w:rFonts w:hint="default" w:ascii="Times New Roman" w:hAnsi="Times New Roman" w:eastAsia="宋体" w:cs="Times New Roman"/>
                <w:caps w:val="0"/>
                <w:snapToGrid/>
                <w:color w:val="auto"/>
                <w:spacing w:val="0"/>
                <w:w w:val="100"/>
                <w:kern w:val="0"/>
                <w:position w:val="0"/>
                <w:szCs w:val="24"/>
                <w:highlight w:val="none"/>
                <w:lang w:val="en-US" w:eastAsia="zh-CN"/>
              </w:rPr>
              <w:t>活性炭吸附是一种物理吸附过程，其核心原理是利用活性炭的多孔结构和巨大的比表面积，通过分子间作用力（范德华力）将废气中的污染物吸附在表面。活性炭的微孔结构（孔径小于2nm）、中孔结构（孔径2-50nm）和大孔结构（孔径大于50nm）共同构成了其强大的吸附能力。当废气通过活性炭层时，污染物分子被吸附在活性炭表面，洁净气体则通过吸附箱排出。吸附效率取决于活性炭的比表面积、孔隙结构以及污染物的性质和浓度。</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宋体" w:cs="Times New Roman"/>
                <w:caps w:val="0"/>
                <w:snapToGrid/>
                <w:color w:val="auto"/>
                <w:spacing w:val="0"/>
                <w:w w:val="100"/>
                <w:kern w:val="0"/>
                <w:position w:val="0"/>
                <w:szCs w:val="24"/>
                <w:highlight w:val="none"/>
                <w:lang w:val="en-US" w:eastAsia="zh-CN"/>
              </w:rPr>
            </w:pPr>
            <w:r>
              <w:rPr>
                <w:rFonts w:hint="default" w:ascii="Times New Roman" w:hAnsi="Times New Roman" w:eastAsia="宋体" w:cs="Times New Roman"/>
                <w:caps w:val="0"/>
                <w:snapToGrid/>
                <w:color w:val="auto"/>
                <w:spacing w:val="0"/>
                <w:w w:val="100"/>
                <w:kern w:val="0"/>
                <w:position w:val="0"/>
                <w:szCs w:val="24"/>
                <w:highlight w:val="none"/>
                <w:lang w:val="en-US" w:eastAsia="zh-CN"/>
              </w:rPr>
              <w:t>根据《催化燃烧法工业有机废气治理工程技术规范》（HJ2027-2013），进入催化燃烧装置前废气中的颗粒物含量高于10mg/m</w:t>
            </w:r>
            <w:r>
              <w:rPr>
                <w:rFonts w:hint="default" w:ascii="Times New Roman" w:hAnsi="Times New Roman" w:eastAsia="宋体" w:cs="Times New Roman"/>
                <w:caps w:val="0"/>
                <w:snapToGrid/>
                <w:color w:val="auto"/>
                <w:spacing w:val="0"/>
                <w:w w:val="100"/>
                <w:kern w:val="0"/>
                <w:position w:val="0"/>
                <w:szCs w:val="24"/>
                <w:highlight w:val="none"/>
                <w:vertAlign w:val="superscript"/>
                <w:lang w:val="en-US" w:eastAsia="zh-CN"/>
              </w:rPr>
              <w:t>3</w:t>
            </w:r>
            <w:r>
              <w:rPr>
                <w:rFonts w:hint="default" w:ascii="Times New Roman" w:hAnsi="Times New Roman" w:eastAsia="宋体" w:cs="Times New Roman"/>
                <w:caps w:val="0"/>
                <w:snapToGrid/>
                <w:color w:val="auto"/>
                <w:spacing w:val="0"/>
                <w:w w:val="100"/>
                <w:kern w:val="0"/>
                <w:position w:val="0"/>
                <w:szCs w:val="24"/>
                <w:highlight w:val="none"/>
                <w:lang w:val="en-US" w:eastAsia="zh-CN"/>
              </w:rPr>
              <w:t>时，应采用过滤等方式进行预处理；催化剂的工作温度应低于700℃，并能承受900℃短时间高温冲击。</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eastAsia" w:ascii="Times New Roman" w:hAnsi="Times New Roman" w:eastAsia="宋体" w:cs="Times New Roman"/>
                <w:caps w:val="0"/>
                <w:snapToGrid/>
                <w:color w:val="auto"/>
                <w:spacing w:val="0"/>
                <w:w w:val="100"/>
                <w:kern w:val="0"/>
                <w:position w:val="0"/>
                <w:szCs w:val="24"/>
                <w:highlight w:val="none"/>
                <w:lang w:val="en-US" w:eastAsia="zh-CN"/>
              </w:rPr>
            </w:pPr>
            <w:r>
              <w:rPr>
                <w:rFonts w:hint="default" w:ascii="Times New Roman" w:hAnsi="Times New Roman" w:eastAsia="宋体" w:cs="Times New Roman"/>
                <w:caps w:val="0"/>
                <w:snapToGrid/>
                <w:color w:val="auto"/>
                <w:spacing w:val="0"/>
                <w:w w:val="100"/>
                <w:kern w:val="0"/>
                <w:position w:val="0"/>
                <w:szCs w:val="24"/>
                <w:highlight w:val="none"/>
                <w:lang w:val="en-US" w:eastAsia="zh-CN"/>
              </w:rPr>
              <w:t>本项目采用</w:t>
            </w:r>
            <w:r>
              <w:rPr>
                <w:rFonts w:hint="eastAsia" w:ascii="Times New Roman" w:hAnsi="Times New Roman" w:eastAsia="宋体" w:cs="Times New Roman"/>
                <w:caps w:val="0"/>
                <w:snapToGrid/>
                <w:color w:val="auto"/>
                <w:spacing w:val="0"/>
                <w:w w:val="100"/>
                <w:kern w:val="0"/>
                <w:position w:val="0"/>
                <w:szCs w:val="24"/>
                <w:highlight w:val="none"/>
                <w:lang w:val="en-US" w:eastAsia="zh-CN"/>
              </w:rPr>
              <w:t>纸盒过滤</w:t>
            </w:r>
            <w:r>
              <w:rPr>
                <w:rFonts w:hint="default" w:ascii="Times New Roman" w:hAnsi="Times New Roman" w:eastAsia="宋体" w:cs="Times New Roman"/>
                <w:caps w:val="0"/>
                <w:snapToGrid/>
                <w:color w:val="auto"/>
                <w:spacing w:val="0"/>
                <w:w w:val="100"/>
                <w:kern w:val="0"/>
                <w:position w:val="0"/>
                <w:szCs w:val="24"/>
                <w:highlight w:val="none"/>
                <w:lang w:val="en-US" w:eastAsia="zh-CN"/>
              </w:rPr>
              <w:t>去除</w:t>
            </w:r>
            <w:r>
              <w:rPr>
                <w:rFonts w:hint="eastAsia" w:ascii="Times New Roman" w:hAnsi="Times New Roman" w:eastAsia="宋体" w:cs="Times New Roman"/>
                <w:caps w:val="0"/>
                <w:snapToGrid/>
                <w:color w:val="auto"/>
                <w:spacing w:val="0"/>
                <w:w w:val="100"/>
                <w:kern w:val="0"/>
                <w:position w:val="0"/>
                <w:szCs w:val="24"/>
                <w:highlight w:val="none"/>
                <w:lang w:val="en-US" w:eastAsia="zh-CN"/>
              </w:rPr>
              <w:t>喷漆产生的漆物颗粒</w:t>
            </w:r>
            <w:r>
              <w:rPr>
                <w:rFonts w:hint="default" w:ascii="Times New Roman" w:hAnsi="Times New Roman" w:eastAsia="宋体" w:cs="Times New Roman"/>
                <w:caps w:val="0"/>
                <w:snapToGrid/>
                <w:color w:val="auto"/>
                <w:spacing w:val="0"/>
                <w:w w:val="100"/>
                <w:kern w:val="0"/>
                <w:position w:val="0"/>
                <w:szCs w:val="24"/>
                <w:highlight w:val="none"/>
                <w:lang w:val="en-US" w:eastAsia="zh-CN"/>
              </w:rPr>
              <w:t>，处理后的废气中颗粒物</w:t>
            </w:r>
            <w:r>
              <w:rPr>
                <w:rFonts w:hint="eastAsia" w:ascii="Times New Roman" w:hAnsi="Times New Roman" w:eastAsia="宋体" w:cs="Times New Roman"/>
                <w:caps w:val="0"/>
                <w:snapToGrid/>
                <w:color w:val="auto"/>
                <w:spacing w:val="0"/>
                <w:w w:val="100"/>
                <w:kern w:val="0"/>
                <w:position w:val="0"/>
                <w:szCs w:val="24"/>
                <w:highlight w:val="none"/>
                <w:lang w:val="en-US" w:eastAsia="zh-CN"/>
              </w:rPr>
              <w:t>浓度为8</w:t>
            </w:r>
            <w:r>
              <w:rPr>
                <w:rFonts w:hint="default" w:ascii="Times New Roman" w:hAnsi="Times New Roman" w:eastAsia="宋体" w:cs="Times New Roman"/>
                <w:caps w:val="0"/>
                <w:snapToGrid/>
                <w:color w:val="auto"/>
                <w:spacing w:val="0"/>
                <w:w w:val="100"/>
                <w:kern w:val="0"/>
                <w:position w:val="0"/>
                <w:szCs w:val="24"/>
                <w:highlight w:val="none"/>
                <w:lang w:val="en-US" w:eastAsia="zh-CN"/>
              </w:rPr>
              <w:t>mg/m</w:t>
            </w:r>
            <w:r>
              <w:rPr>
                <w:rFonts w:hint="default" w:ascii="Times New Roman" w:hAnsi="Times New Roman" w:eastAsia="宋体" w:cs="Times New Roman"/>
                <w:caps w:val="0"/>
                <w:snapToGrid/>
                <w:color w:val="auto"/>
                <w:spacing w:val="0"/>
                <w:w w:val="100"/>
                <w:kern w:val="0"/>
                <w:position w:val="0"/>
                <w:szCs w:val="24"/>
                <w:highlight w:val="none"/>
                <w:vertAlign w:val="superscript"/>
                <w:lang w:val="en-US" w:eastAsia="zh-CN"/>
              </w:rPr>
              <w:t>3</w:t>
            </w:r>
            <w:r>
              <w:rPr>
                <w:rFonts w:hint="default" w:ascii="Times New Roman" w:hAnsi="Times New Roman" w:eastAsia="宋体" w:cs="Times New Roman"/>
                <w:caps w:val="0"/>
                <w:snapToGrid/>
                <w:color w:val="auto"/>
                <w:spacing w:val="0"/>
                <w:w w:val="100"/>
                <w:kern w:val="0"/>
                <w:position w:val="0"/>
                <w:szCs w:val="24"/>
                <w:highlight w:val="none"/>
                <w:lang w:val="en-US" w:eastAsia="zh-CN"/>
              </w:rPr>
              <w:t>；本项目废气加热温度为200-300℃，符合催化剂工作温度，且催化室设备可耐1100℃高温</w:t>
            </w:r>
            <w:r>
              <w:rPr>
                <w:rFonts w:hint="eastAsia" w:ascii="Times New Roman" w:hAnsi="Times New Roman" w:eastAsia="宋体" w:cs="Times New Roman"/>
                <w:caps w:val="0"/>
                <w:snapToGrid/>
                <w:color w:val="auto"/>
                <w:spacing w:val="0"/>
                <w:w w:val="100"/>
                <w:kern w:val="0"/>
                <w:position w:val="0"/>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宋体" w:cs="Times New Roman"/>
                <w:caps w:val="0"/>
                <w:snapToGrid/>
                <w:color w:val="auto"/>
                <w:spacing w:val="0"/>
                <w:w w:val="100"/>
                <w:kern w:val="0"/>
                <w:position w:val="0"/>
                <w:szCs w:val="24"/>
                <w:highlight w:val="none"/>
                <w:lang w:val="en-US" w:eastAsia="zh-CN"/>
              </w:rPr>
            </w:pPr>
            <w:r>
              <w:rPr>
                <w:rFonts w:hint="default" w:ascii="Times New Roman" w:hAnsi="Times New Roman" w:eastAsia="宋体" w:cs="Times New Roman"/>
                <w:caps w:val="0"/>
                <w:snapToGrid/>
                <w:color w:val="auto"/>
                <w:spacing w:val="0"/>
                <w:w w:val="100"/>
                <w:kern w:val="0"/>
                <w:position w:val="0"/>
                <w:szCs w:val="24"/>
                <w:highlight w:val="none"/>
                <w:lang w:val="en-US" w:eastAsia="zh-CN"/>
              </w:rPr>
              <w:t>综上所述，本项目选用的</w:t>
            </w:r>
            <w:r>
              <w:rPr>
                <w:rFonts w:hint="eastAsia" w:cs="Times New Roman"/>
                <w:caps w:val="0"/>
                <w:snapToGrid/>
                <w:color w:val="auto"/>
                <w:spacing w:val="0"/>
                <w:w w:val="100"/>
                <w:kern w:val="0"/>
                <w:position w:val="0"/>
                <w:szCs w:val="24"/>
                <w:highlight w:val="none"/>
                <w:lang w:val="en-US" w:eastAsia="zh-CN"/>
              </w:rPr>
              <w:t>活性炭吸附+催化燃烧</w:t>
            </w:r>
            <w:r>
              <w:rPr>
                <w:rFonts w:hint="default" w:ascii="Times New Roman" w:hAnsi="Times New Roman" w:eastAsia="宋体" w:cs="Times New Roman"/>
                <w:caps w:val="0"/>
                <w:snapToGrid/>
                <w:color w:val="auto"/>
                <w:spacing w:val="0"/>
                <w:w w:val="100"/>
                <w:kern w:val="0"/>
                <w:position w:val="0"/>
                <w:szCs w:val="24"/>
                <w:highlight w:val="none"/>
                <w:lang w:val="en-US" w:eastAsia="zh-CN"/>
              </w:rPr>
              <w:t>装置符合《催化燃烧法工业有机废气治理工程技术规范》（HJ2027-2013）要求。</w:t>
            </w:r>
          </w:p>
          <w:p>
            <w:pPr>
              <w:spacing w:line="360" w:lineRule="auto"/>
              <w:ind w:firstLine="482" w:firstLineChars="200"/>
              <w:rPr>
                <w:rFonts w:hint="eastAsia" w:eastAsia="宋体"/>
                <w:b/>
                <w:bCs w:val="0"/>
                <w:color w:val="auto"/>
                <w:kern w:val="24"/>
                <w:highlight w:val="none"/>
                <w:lang w:eastAsia="zh-CN"/>
              </w:rPr>
            </w:pPr>
            <w:r>
              <w:rPr>
                <w:rFonts w:hint="eastAsia"/>
                <w:b/>
                <w:bCs w:val="0"/>
                <w:color w:val="auto"/>
                <w:kern w:val="24"/>
                <w:highlight w:val="none"/>
              </w:rPr>
              <w:t>活性炭更换及管理分析</w:t>
            </w:r>
            <w:r>
              <w:rPr>
                <w:rFonts w:hint="eastAsia"/>
                <w:b/>
                <w:bCs w:val="0"/>
                <w:color w:val="auto"/>
                <w:kern w:val="24"/>
                <w:highlight w:val="none"/>
                <w:lang w:eastAsia="zh-CN"/>
              </w:rPr>
              <w:t>：</w:t>
            </w:r>
          </w:p>
          <w:p>
            <w:pPr>
              <w:spacing w:line="360" w:lineRule="auto"/>
              <w:ind w:firstLine="480" w:firstLineChars="200"/>
              <w:rPr>
                <w:rFonts w:hint="eastAsia"/>
                <w:bCs/>
                <w:color w:val="auto"/>
                <w:kern w:val="24"/>
                <w:highlight w:val="none"/>
                <w:lang w:val="en-US" w:eastAsia="zh-CN"/>
              </w:rPr>
            </w:pPr>
            <w:r>
              <w:rPr>
                <w:rFonts w:hint="default"/>
                <w:bCs/>
                <w:color w:val="auto"/>
                <w:kern w:val="24"/>
                <w:highlight w:val="none"/>
                <w:lang w:val="en-US" w:eastAsia="zh-CN"/>
              </w:rPr>
              <w:t>为保证活性炭吸附效率，净化系统的活性炭应定期更换</w:t>
            </w:r>
            <w:r>
              <w:rPr>
                <w:rFonts w:hint="eastAsia"/>
                <w:bCs/>
                <w:color w:val="auto"/>
                <w:kern w:val="24"/>
                <w:highlight w:val="none"/>
                <w:lang w:val="en-US" w:eastAsia="zh-CN"/>
              </w:rPr>
              <w:t>。参考《2020年挥发性有机物治理攻坚方案》内容“三、聚焦治污设施“三率”，提升综合治理效率”内容可知，采用活性炭吸附技术的，应选择碘值不低于800毫克/克的活性炭，并按设计要求足量添加、及时更换。</w:t>
            </w:r>
          </w:p>
          <w:p>
            <w:pPr>
              <w:spacing w:line="360" w:lineRule="auto"/>
              <w:ind w:firstLine="480" w:firstLineChars="200"/>
              <w:rPr>
                <w:rFonts w:hint="default" w:ascii="Times New Roman" w:hAnsi="Times New Roman" w:cs="Times New Roman"/>
                <w:color w:val="auto"/>
                <w:highlight w:val="none"/>
                <w:lang w:val="en-US" w:eastAsia="zh-CN"/>
              </w:rPr>
            </w:pPr>
            <w:r>
              <w:rPr>
                <w:rFonts w:hint="eastAsia"/>
                <w:bCs/>
                <w:color w:val="auto"/>
                <w:kern w:val="24"/>
                <w:highlight w:val="none"/>
                <w:lang w:val="en-US" w:eastAsia="zh-CN"/>
              </w:rPr>
              <w:t>根据《关于规范挥发性有机物治理过程中活性炭使用管理的通知》附件1废气收集参数和最少活性炭装填量参考表，</w:t>
            </w:r>
            <w:r>
              <w:rPr>
                <w:rFonts w:hint="default" w:ascii="Times New Roman" w:hAnsi="Times New Roman" w:cs="Times New Roman"/>
                <w:color w:val="auto"/>
                <w:highlight w:val="none"/>
                <w:lang w:val="en-US" w:eastAsia="zh-CN"/>
              </w:rPr>
              <w:t>具体内容如下表4-</w:t>
            </w:r>
            <w:r>
              <w:rPr>
                <w:rFonts w:hint="eastAsia" w:cs="Times New Roman"/>
                <w:color w:val="auto"/>
                <w:highlight w:val="none"/>
                <w:lang w:val="en-US" w:eastAsia="zh-CN"/>
              </w:rPr>
              <w:t>16</w:t>
            </w:r>
            <w:r>
              <w:rPr>
                <w:rFonts w:hint="default" w:ascii="Times New Roman" w:hAnsi="Times New Roman" w:cs="Times New Roman"/>
                <w:color w:val="auto"/>
                <w:highlight w:val="none"/>
                <w:lang w:val="en-US" w:eastAsia="zh-CN"/>
              </w:rPr>
              <w:t>。</w:t>
            </w:r>
          </w:p>
          <w:p>
            <w:pPr>
              <w:widowControl/>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4-</w:t>
            </w:r>
            <w:r>
              <w:rPr>
                <w:rFonts w:hint="eastAsia" w:cs="Times New Roman"/>
                <w:b/>
                <w:bCs/>
                <w:color w:val="auto"/>
                <w:highlight w:val="none"/>
                <w:lang w:val="en-US" w:eastAsia="zh-CN"/>
              </w:rPr>
              <w:t>16</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废气收集参数和最少活性炭装填量参考表</w:t>
            </w:r>
          </w:p>
          <w:tbl>
            <w:tblPr>
              <w:tblStyle w:val="22"/>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943"/>
              <w:gridCol w:w="2641"/>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154"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风量(Q)范围Nm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/h</w:t>
                  </w:r>
                </w:p>
              </w:tc>
              <w:tc>
                <w:tcPr>
                  <w:tcW w:w="156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rPr>
                    <w:t>VOCs初始浓度范围mg/Nm</w:t>
                  </w:r>
                  <w:r>
                    <w:rPr>
                      <w:rFonts w:hint="default" w:ascii="Times New Roman" w:hAnsi="Times New Roman" w:eastAsia="宋体" w:cs="Times New Roman"/>
                      <w:i w:val="0"/>
                      <w:iCs w:val="0"/>
                      <w:caps w:val="0"/>
                      <w:color w:val="auto"/>
                      <w:spacing w:val="0"/>
                      <w:sz w:val="21"/>
                      <w:szCs w:val="21"/>
                      <w:highlight w:val="none"/>
                      <w:shd w:val="clear" w:fill="FFFFFF"/>
                      <w:vertAlign w:val="superscript"/>
                    </w:rPr>
                    <w:t>3</w:t>
                  </w:r>
                </w:p>
              </w:tc>
              <w:tc>
                <w:tcPr>
                  <w:tcW w:w="133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活性炭最少装填量/</w:t>
                  </w:r>
                </w:p>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吨(按500小时使用时间计)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154" w:type="pct"/>
                  <w:vMerge w:val="restar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Q&lt;5000</w:t>
                  </w:r>
                </w:p>
              </w:tc>
              <w:tc>
                <w:tcPr>
                  <w:tcW w:w="156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0-200</w:t>
                  </w:r>
                </w:p>
              </w:tc>
              <w:tc>
                <w:tcPr>
                  <w:tcW w:w="133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15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156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200-300</w:t>
                  </w:r>
                </w:p>
              </w:tc>
              <w:tc>
                <w:tcPr>
                  <w:tcW w:w="133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15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156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300-400</w:t>
                  </w:r>
                </w:p>
              </w:tc>
              <w:tc>
                <w:tcPr>
                  <w:tcW w:w="133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tcBorders>
                    <w:lef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154" w:type="pct"/>
                  <w:vMerge w:val="continue"/>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p>
              </w:tc>
              <w:tc>
                <w:tcPr>
                  <w:tcW w:w="1569"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400-500</w:t>
                  </w:r>
                </w:p>
              </w:tc>
              <w:tc>
                <w:tcPr>
                  <w:tcW w:w="1337" w:type="pct"/>
                  <w:tcBorders>
                    <w:right w:val="nil"/>
                  </w:tcBorders>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r>
          </w:tbl>
          <w:p>
            <w:pPr>
              <w:spacing w:line="360" w:lineRule="auto"/>
              <w:ind w:firstLine="480" w:firstLineChars="200"/>
              <w:rPr>
                <w:rFonts w:hint="eastAsia"/>
                <w:color w:val="auto"/>
                <w:highlight w:val="none"/>
                <w:lang w:val="en-US" w:eastAsia="zh-CN"/>
              </w:rPr>
            </w:pPr>
            <w:r>
              <w:rPr>
                <w:rFonts w:hint="eastAsia"/>
                <w:bCs/>
                <w:color w:val="auto"/>
                <w:kern w:val="24"/>
                <w:highlight w:val="none"/>
                <w:lang w:val="en-US" w:eastAsia="zh-CN"/>
              </w:rPr>
              <w:t>本项目设计风量为3000m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/h，废气产生浓度为393.067mg/m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，属于Q&lt;5000Nm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/h，VOCs初始浓度范围300-400Nmg/m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，活性炭最少装填量/吨（按500小时使用时间计）为3t。</w:t>
            </w:r>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催化燃烧工艺：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催化燃烧</w:t>
            </w:r>
            <w:r>
              <w:rPr>
                <w:rFonts w:hint="default" w:ascii="Times New Roman" w:hAnsi="Times New Roman" w:eastAsia="宋体" w:cs="Times New Roman"/>
                <w:color w:val="auto"/>
                <w:sz w:val="24"/>
                <w:szCs w:val="24"/>
                <w:highlight w:val="none"/>
              </w:rPr>
              <w:t>装置主要用于有机废气</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非甲烷总烃</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的净化，采用在线吸附-脱附工艺，根据在线吸附和节能燃烧两个基本原理设计，一个催化燃烧炉，多个活性炭吸附床交替使用。</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该</w:t>
            </w:r>
            <w:r>
              <w:rPr>
                <w:rFonts w:hint="default" w:ascii="Times New Roman" w:hAnsi="Times New Roman" w:eastAsia="宋体" w:cs="Times New Roman"/>
                <w:color w:val="auto"/>
                <w:sz w:val="24"/>
                <w:szCs w:val="24"/>
                <w:highlight w:val="none"/>
              </w:rPr>
              <w:t>装置在工作时，有机废气先经过前置过滤系统进入活性炭吸附箱进行吸附，当达到饱和时，启动加热装置，将有机物从活性炭上脱附下来，这样脱附后的活性炭又重新保持了活性；经过脱附后的有机物已被浓缩至原来的好几倍，然后送往催化燃烧炉进行氧化分解成二氧化碳及水蒸气排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催化燃烧废气处理装置不仅能使碳循环使用，还有节能省电的功效。在装置运行时，如果有机废气的浓度达到2000PPm以上时，有机废气在催化床便可以维持自燃，不用外加热。这样，一部分气体排出，另一部分继续被送往活性炭吸附床进行脱附，这样既可以满足燃烧，又能保证吸附所需的热能，达到省电节能的目的。</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经过实践证明，催化燃烧装置对废气的净化效率高达99%，不仅可以有效净化有机废气，还能实现微废的零排放，一次性投资，长期回报，</w:t>
            </w:r>
            <w:r>
              <w:rPr>
                <w:rFonts w:hint="eastAsia" w:cs="Times New Roman"/>
                <w:color w:val="auto"/>
                <w:sz w:val="24"/>
                <w:szCs w:val="24"/>
                <w:highlight w:val="none"/>
                <w:lang w:eastAsia="zh-CN"/>
              </w:rPr>
              <w:t>在</w:t>
            </w:r>
            <w:r>
              <w:rPr>
                <w:rFonts w:hint="default" w:ascii="Times New Roman" w:hAnsi="Times New Roman" w:eastAsia="宋体" w:cs="Times New Roman"/>
                <w:color w:val="auto"/>
                <w:sz w:val="24"/>
                <w:szCs w:val="24"/>
                <w:highlight w:val="none"/>
              </w:rPr>
              <w:t>环保行业中该设备已经被大家广泛使用。</w:t>
            </w:r>
          </w:p>
          <w:p>
            <w:pPr>
              <w:pStyle w:val="58"/>
              <w:numPr>
                <w:ilvl w:val="0"/>
                <w:numId w:val="0"/>
              </w:numPr>
              <w:shd w:val="clear" w:color="auto" w:fill="auto"/>
              <w:spacing w:line="360" w:lineRule="auto"/>
              <w:jc w:val="center"/>
              <w:rPr>
                <w:rFonts w:hint="default" w:ascii="Times New Roman" w:hAnsi="Times New Roman" w:eastAsia="宋体" w:cs="Times New Roman"/>
                <w:color w:val="auto"/>
                <w:sz w:val="24"/>
                <w:szCs w:val="20"/>
                <w:highlight w:val="none"/>
                <w:lang w:val="en-US" w:eastAsia="zh-CN"/>
              </w:rPr>
            </w:pPr>
            <w:r>
              <w:rPr>
                <w:color w:val="auto"/>
                <w:highlight w:val="none"/>
              </w:rPr>
              <w:drawing>
                <wp:inline distT="0" distB="0" distL="114300" distR="114300">
                  <wp:extent cx="3543935" cy="3357880"/>
                  <wp:effectExtent l="0" t="0" r="18415" b="13970"/>
                  <wp:docPr id="4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0"/>
                          <pic:cNvPicPr>
                            <a:picLocks noChangeAspect="1"/>
                          </pic:cNvPicPr>
                        </pic:nvPicPr>
                        <pic:blipFill>
                          <a:blip r:embed="rId19"/>
                          <a:stretch>
                            <a:fillRect/>
                          </a:stretch>
                        </pic:blipFill>
                        <pic:spPr>
                          <a:xfrm>
                            <a:off x="0" y="0"/>
                            <a:ext cx="3543935" cy="3357880"/>
                          </a:xfrm>
                          <a:prstGeom prst="rect">
                            <a:avLst/>
                          </a:prstGeom>
                          <a:noFill/>
                          <a:ln>
                            <a:noFill/>
                          </a:ln>
                        </pic:spPr>
                      </pic:pic>
                    </a:graphicData>
                  </a:graphic>
                </wp:inline>
              </w:drawing>
            </w:r>
          </w:p>
          <w:p>
            <w:pPr>
              <w:pStyle w:val="26"/>
              <w:jc w:val="center"/>
              <w:rPr>
                <w:rFonts w:hint="default"/>
                <w:color w:val="auto"/>
                <w:highlight w:val="none"/>
              </w:rPr>
            </w:pPr>
            <w:r>
              <w:rPr>
                <w:rFonts w:hint="eastAsia" w:ascii="Times New Roman" w:hAnsi="Times New Roman" w:eastAsia="宋体" w:cs="Times New Roman"/>
                <w:b/>
                <w:bCs/>
                <w:color w:val="auto"/>
                <w:sz w:val="24"/>
                <w:szCs w:val="20"/>
                <w:highlight w:val="none"/>
                <w:lang w:val="en-US" w:eastAsia="zh-CN"/>
              </w:rPr>
              <w:t>图</w:t>
            </w:r>
            <w:r>
              <w:rPr>
                <w:rFonts w:hint="eastAsia" w:ascii="Times New Roman" w:cs="Times New Roman"/>
                <w:b/>
                <w:bCs/>
                <w:color w:val="auto"/>
                <w:sz w:val="24"/>
                <w:szCs w:val="20"/>
                <w:highlight w:val="none"/>
                <w:lang w:val="en-US" w:eastAsia="zh-CN"/>
              </w:rPr>
              <w:t>2-3</w:t>
            </w:r>
            <w:r>
              <w:rPr>
                <w:rFonts w:hint="eastAsia" w:ascii="Times New Roman" w:hAnsi="Times New Roman" w:eastAsia="宋体" w:cs="Times New Roman"/>
                <w:b/>
                <w:bCs/>
                <w:color w:val="auto"/>
                <w:sz w:val="24"/>
                <w:szCs w:val="20"/>
                <w:highlight w:val="none"/>
                <w:lang w:val="en-US" w:eastAsia="zh-CN"/>
              </w:rPr>
              <w:t xml:space="preserve">   催化燃烧设备工艺图</w:t>
            </w:r>
          </w:p>
          <w:p>
            <w:pPr>
              <w:adjustRightInd w:val="0"/>
              <w:snapToGrid w:val="0"/>
              <w:ind w:left="0" w:leftChars="0" w:firstLine="480" w:firstLineChars="200"/>
              <w:rPr>
                <w:rFonts w:hint="default" w:ascii="Times New Roman" w:hAnsi="Times New Roman" w:cs="Times New Roman"/>
                <w:b w:val="0"/>
                <w:bCs/>
                <w:color w:val="auto"/>
                <w:kern w:val="24"/>
                <w:highlight w:val="none"/>
                <w:lang w:val="en-US" w:eastAsia="zh-CN"/>
              </w:rPr>
            </w:pPr>
            <w:r>
              <w:rPr>
                <w:rFonts w:hint="default" w:ascii="Times New Roman" w:hAnsi="Times New Roman" w:cs="Times New Roman"/>
                <w:b w:val="0"/>
                <w:bCs/>
                <w:color w:val="auto"/>
                <w:kern w:val="24"/>
                <w:highlight w:val="none"/>
                <w:lang w:val="en-US" w:eastAsia="zh-CN"/>
              </w:rPr>
              <w:t>综上所述，项目有机废气及</w:t>
            </w:r>
            <w:r>
              <w:rPr>
                <w:rFonts w:hint="eastAsia"/>
                <w:bCs/>
                <w:color w:val="auto"/>
                <w:kern w:val="24"/>
                <w:highlight w:val="none"/>
                <w:lang w:val="en-US" w:eastAsia="zh-CN"/>
              </w:rPr>
              <w:t>苯系物（二甲苯）</w:t>
            </w:r>
            <w:r>
              <w:rPr>
                <w:rFonts w:hint="default" w:ascii="Times New Roman" w:hAnsi="Times New Roman" w:cs="Times New Roman"/>
                <w:b w:val="0"/>
                <w:bCs/>
                <w:color w:val="auto"/>
                <w:kern w:val="24"/>
                <w:highlight w:val="none"/>
                <w:lang w:val="en-US" w:eastAsia="zh-CN"/>
              </w:rPr>
              <w:t>采用“</w:t>
            </w:r>
            <w:r>
              <w:rPr>
                <w:rFonts w:hint="eastAsia" w:cs="Times New Roman"/>
                <w:b w:val="0"/>
                <w:bCs/>
                <w:color w:val="auto"/>
                <w:kern w:val="24"/>
                <w:highlight w:val="none"/>
                <w:lang w:val="en-US" w:eastAsia="zh-CN"/>
              </w:rPr>
              <w:t>活性炭吸附+</w:t>
            </w:r>
            <w:r>
              <w:rPr>
                <w:rFonts w:hint="default" w:ascii="Times New Roman" w:hAnsi="Times New Roman" w:cs="Times New Roman"/>
                <w:b w:val="0"/>
                <w:bCs/>
                <w:color w:val="auto"/>
                <w:kern w:val="24"/>
                <w:highlight w:val="none"/>
                <w:lang w:val="en-US" w:eastAsia="zh-CN"/>
              </w:rPr>
              <w:t>催化燃烧”废气污染治理设施为可行技术。</w:t>
            </w:r>
          </w:p>
          <w:p>
            <w:pPr>
              <w:adjustRightInd w:val="0"/>
              <w:snapToGrid w:val="0"/>
              <w:ind w:left="0" w:leftChars="0" w:firstLine="482" w:firstLineChars="200"/>
              <w:rPr>
                <w:rFonts w:hint="default" w:ascii="Times New Roman" w:hAnsi="Times New Roman" w:cs="Times New Roman"/>
                <w:b/>
                <w:color w:val="auto"/>
                <w:kern w:val="24"/>
                <w:highlight w:val="none"/>
              </w:rPr>
            </w:pPr>
            <w:r>
              <w:rPr>
                <w:rFonts w:hint="default" w:ascii="Times New Roman" w:hAnsi="Times New Roman" w:cs="Times New Roman"/>
                <w:b/>
                <w:color w:val="auto"/>
                <w:kern w:val="24"/>
                <w:highlight w:val="none"/>
                <w:lang w:val="en-US" w:eastAsia="zh-CN"/>
              </w:rPr>
              <w:t>1.</w:t>
            </w:r>
            <w:r>
              <w:rPr>
                <w:rFonts w:hint="eastAsia" w:cs="Times New Roman"/>
                <w:b/>
                <w:color w:val="auto"/>
                <w:kern w:val="24"/>
                <w:highlight w:val="none"/>
                <w:lang w:val="en-US" w:eastAsia="zh-CN"/>
              </w:rPr>
              <w:t>5</w:t>
            </w:r>
            <w:r>
              <w:rPr>
                <w:rFonts w:hint="default" w:ascii="Times New Roman" w:hAnsi="Times New Roman" w:cs="Times New Roman"/>
                <w:b/>
                <w:color w:val="auto"/>
                <w:kern w:val="24"/>
                <w:highlight w:val="none"/>
              </w:rPr>
              <w:t>非正常工况</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trike w:val="0"/>
                <w:dstrike w:val="0"/>
                <w:color w:val="auto"/>
                <w:spacing w:val="-6"/>
                <w:sz w:val="24"/>
                <w:szCs w:val="24"/>
                <w:highlight w:val="none"/>
              </w:rPr>
            </w:pPr>
            <w:r>
              <w:rPr>
                <w:rFonts w:hint="default" w:ascii="Times New Roman" w:hAnsi="Times New Roman" w:cs="Times New Roman"/>
                <w:color w:val="auto"/>
                <w:sz w:val="24"/>
                <w:highlight w:val="none"/>
              </w:rPr>
              <w:t>本项目非正常工况考虑</w:t>
            </w:r>
            <w:r>
              <w:rPr>
                <w:rFonts w:hint="default" w:ascii="Times New Roman" w:hAnsi="Times New Roman" w:cs="Times New Roman"/>
                <w:color w:val="auto"/>
                <w:sz w:val="24"/>
                <w:highlight w:val="none"/>
                <w:lang w:val="en-US" w:eastAsia="zh-CN"/>
              </w:rPr>
              <w:t>切割、</w:t>
            </w:r>
            <w:r>
              <w:rPr>
                <w:rFonts w:hint="default" w:ascii="Times New Roman" w:hAnsi="Times New Roman" w:cs="Times New Roman"/>
                <w:color w:val="auto"/>
                <w:sz w:val="24"/>
                <w:highlight w:val="none"/>
              </w:rPr>
              <w:t>喷砂处置措施故障，以及喷漆废气处置措施“活性炭吸附+催化燃烧装置”故障，处理效率仅能达到正常工况的50%的情况，污染物排放量大幅增加，</w:t>
            </w:r>
            <w:r>
              <w:rPr>
                <w:rFonts w:hint="default" w:ascii="Times New Roman" w:hAnsi="Times New Roman" w:cs="Times New Roman"/>
                <w:bCs/>
                <w:color w:val="auto"/>
                <w:kern w:val="24"/>
                <w:highlight w:val="none"/>
                <w:lang w:val="en-US" w:eastAsia="zh-CN"/>
              </w:rPr>
              <w:t>持续时间为30min，年发生频次为1次</w:t>
            </w:r>
            <w:r>
              <w:rPr>
                <w:rFonts w:hint="default" w:ascii="Times New Roman" w:hAnsi="Times New Roman" w:eastAsia="宋体" w:cs="Times New Roman"/>
                <w:strike w:val="0"/>
                <w:dstrike w:val="0"/>
                <w:color w:val="auto"/>
                <w:spacing w:val="-6"/>
                <w:sz w:val="24"/>
                <w:szCs w:val="24"/>
                <w:highlight w:val="none"/>
              </w:rPr>
              <w:t>。故障情况下污染物产生情况如下。</w:t>
            </w:r>
          </w:p>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4-1</w:t>
            </w:r>
            <w:r>
              <w:rPr>
                <w:rFonts w:hint="eastAsia"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非正常工况下</w:t>
            </w:r>
            <w:r>
              <w:rPr>
                <w:rFonts w:hint="default" w:ascii="Times New Roman" w:hAnsi="Times New Roman" w:cs="Times New Roman"/>
                <w:b/>
                <w:color w:val="auto"/>
                <w:sz w:val="24"/>
                <w:szCs w:val="24"/>
                <w:highlight w:val="none"/>
                <w:lang w:val="en-US" w:eastAsia="zh-CN"/>
              </w:rPr>
              <w:t>污染物</w:t>
            </w:r>
            <w:r>
              <w:rPr>
                <w:rFonts w:hint="default" w:ascii="Times New Roman" w:hAnsi="Times New Roman" w:cs="Times New Roman"/>
                <w:b/>
                <w:color w:val="auto"/>
                <w:sz w:val="24"/>
                <w:szCs w:val="24"/>
                <w:highlight w:val="none"/>
              </w:rPr>
              <w:t>产排情况一览表</w:t>
            </w:r>
          </w:p>
          <w:tbl>
            <w:tblPr>
              <w:tblStyle w:val="22"/>
              <w:tblW w:w="49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067"/>
              <w:gridCol w:w="978"/>
              <w:gridCol w:w="875"/>
              <w:gridCol w:w="907"/>
              <w:gridCol w:w="1044"/>
              <w:gridCol w:w="911"/>
              <w:gridCol w:w="808"/>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tcBorders>
                    <w:left w:val="nil"/>
                  </w:tcBorders>
                  <w:vAlign w:val="center"/>
                </w:tcPr>
                <w:p>
                  <w:pPr>
                    <w:pStyle w:val="45"/>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color w:val="auto"/>
                      <w:sz w:val="21"/>
                      <w:szCs w:val="21"/>
                      <w:highlight w:val="none"/>
                    </w:rPr>
                    <w:t>序号</w:t>
                  </w:r>
                </w:p>
              </w:tc>
              <w:tc>
                <w:tcPr>
                  <w:tcW w:w="1067" w:type="dxa"/>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color w:val="auto"/>
                      <w:sz w:val="21"/>
                      <w:szCs w:val="21"/>
                      <w:highlight w:val="none"/>
                    </w:rPr>
                    <w:t>产污环节</w:t>
                  </w:r>
                </w:p>
              </w:tc>
              <w:tc>
                <w:tcPr>
                  <w:tcW w:w="978"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color w:val="auto"/>
                      <w:sz w:val="21"/>
                      <w:szCs w:val="21"/>
                      <w:highlight w:val="none"/>
                    </w:rPr>
                    <w:t>污染物种类</w:t>
                  </w:r>
                </w:p>
              </w:tc>
              <w:tc>
                <w:tcPr>
                  <w:tcW w:w="875" w:type="dxa"/>
                  <w:tcBorders>
                    <w:right w:val="nil"/>
                  </w:tcBorders>
                  <w:vAlign w:val="center"/>
                </w:tcPr>
                <w:p>
                  <w:pPr>
                    <w:pStyle w:val="4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持续</w:t>
                  </w:r>
                </w:p>
                <w:p>
                  <w:pPr>
                    <w:pStyle w:val="45"/>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color w:val="auto"/>
                      <w:sz w:val="21"/>
                      <w:szCs w:val="21"/>
                      <w:highlight w:val="none"/>
                    </w:rPr>
                    <w:t>时间</w:t>
                  </w:r>
                </w:p>
              </w:tc>
              <w:tc>
                <w:tcPr>
                  <w:tcW w:w="907"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color w:val="auto"/>
                      <w:sz w:val="21"/>
                      <w:szCs w:val="21"/>
                      <w:highlight w:val="none"/>
                    </w:rPr>
                    <w:t>排放</w:t>
                  </w:r>
                  <w:r>
                    <w:rPr>
                      <w:rFonts w:hint="default" w:ascii="Times New Roman" w:hAnsi="Times New Roman" w:cs="Times New Roman"/>
                      <w:color w:val="auto"/>
                      <w:sz w:val="21"/>
                      <w:szCs w:val="21"/>
                      <w:highlight w:val="none"/>
                      <w:lang w:val="en-US" w:eastAsia="zh-CN"/>
                    </w:rPr>
                    <w:t>速率kg/h</w:t>
                  </w:r>
                </w:p>
              </w:tc>
              <w:tc>
                <w:tcPr>
                  <w:tcW w:w="1044"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color w:val="auto"/>
                      <w:sz w:val="21"/>
                      <w:szCs w:val="21"/>
                      <w:highlight w:val="none"/>
                    </w:rPr>
                    <w:t>排放浓度mg/m</w:t>
                  </w:r>
                  <w:r>
                    <w:rPr>
                      <w:rFonts w:hint="default" w:ascii="Times New Roman" w:hAnsi="Times New Roman" w:cs="Times New Roman"/>
                      <w:color w:val="auto"/>
                      <w:sz w:val="21"/>
                      <w:szCs w:val="21"/>
                      <w:highlight w:val="none"/>
                      <w:vertAlign w:val="superscript"/>
                    </w:rPr>
                    <w:t>3</w:t>
                  </w:r>
                </w:p>
              </w:tc>
              <w:tc>
                <w:tcPr>
                  <w:tcW w:w="911" w:type="dxa"/>
                  <w:tcBorders>
                    <w:right w:val="nil"/>
                  </w:tcBorders>
                  <w:vAlign w:val="center"/>
                </w:tcPr>
                <w:p>
                  <w:pPr>
                    <w:pStyle w:val="45"/>
                    <w:ind w:firstLine="0" w:firstLineChars="0"/>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color w:val="auto"/>
                      <w:sz w:val="21"/>
                      <w:szCs w:val="21"/>
                      <w:highlight w:val="none"/>
                    </w:rPr>
                    <w:t>排放量kg</w:t>
                  </w:r>
                </w:p>
              </w:tc>
              <w:tc>
                <w:tcPr>
                  <w:tcW w:w="808" w:type="dxa"/>
                  <w:tcBorders>
                    <w:right w:val="nil"/>
                  </w:tcBorders>
                  <w:vAlign w:val="center"/>
                </w:tcPr>
                <w:p>
                  <w:pPr>
                    <w:pStyle w:val="45"/>
                    <w:ind w:firstLine="0" w:firstLineChars="0"/>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cs="Times New Roman"/>
                      <w:color w:val="auto"/>
                      <w:sz w:val="21"/>
                      <w:szCs w:val="21"/>
                      <w:highlight w:val="none"/>
                    </w:rPr>
                    <w:t>年发生频次/次</w:t>
                  </w:r>
                </w:p>
              </w:tc>
              <w:tc>
                <w:tcPr>
                  <w:tcW w:w="1050" w:type="dxa"/>
                  <w:tcBorders>
                    <w:right w:val="nil"/>
                  </w:tcBorders>
                  <w:vAlign w:val="center"/>
                </w:tcPr>
                <w:p>
                  <w:pPr>
                    <w:pStyle w:val="4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pPr>
                    <w:pStyle w:val="45"/>
                    <w:ind w:firstLine="0" w:firstLineChars="0"/>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cs="Times New Roman"/>
                      <w:color w:val="auto"/>
                      <w:sz w:val="21"/>
                      <w:szCs w:val="21"/>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tcBorders>
                    <w:left w:val="nil"/>
                  </w:tcBorders>
                  <w:vAlign w:val="center"/>
                </w:tcPr>
                <w:p>
                  <w:pPr>
                    <w:pStyle w:val="45"/>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067" w:type="dxa"/>
                  <w:vAlign w:val="center"/>
                </w:tcPr>
                <w:p>
                  <w:pPr>
                    <w:pStyle w:val="45"/>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DA001</w:t>
                  </w:r>
                </w:p>
                <w:p>
                  <w:pPr>
                    <w:pStyle w:val="45"/>
                    <w:ind w:firstLine="0" w:firstLineChars="0"/>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vertAlign w:val="baseline"/>
                      <w:lang w:val="en-US" w:eastAsia="zh-CN"/>
                    </w:rPr>
                    <w:t>切割工序</w:t>
                  </w:r>
                </w:p>
              </w:tc>
              <w:tc>
                <w:tcPr>
                  <w:tcW w:w="978"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颗粒物</w:t>
                  </w:r>
                </w:p>
              </w:tc>
              <w:tc>
                <w:tcPr>
                  <w:tcW w:w="875" w:type="dxa"/>
                  <w:vMerge w:val="restart"/>
                  <w:tcBorders>
                    <w:right w:val="nil"/>
                  </w:tcBorders>
                  <w:vAlign w:val="center"/>
                </w:tcPr>
                <w:p>
                  <w:pPr>
                    <w:pStyle w:val="4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30min</w:t>
                  </w:r>
                </w:p>
              </w:tc>
              <w:tc>
                <w:tcPr>
                  <w:tcW w:w="90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0.424</w:t>
                  </w:r>
                </w:p>
              </w:tc>
              <w:tc>
                <w:tcPr>
                  <w:tcW w:w="1044"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141.4</w:t>
                  </w:r>
                </w:p>
              </w:tc>
              <w:tc>
                <w:tcPr>
                  <w:tcW w:w="911" w:type="dxa"/>
                  <w:tcBorders>
                    <w:right w:val="nil"/>
                  </w:tcBorders>
                  <w:vAlign w:val="center"/>
                </w:tcPr>
                <w:p>
                  <w:pPr>
                    <w:pStyle w:val="45"/>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0.212</w:t>
                  </w:r>
                </w:p>
              </w:tc>
              <w:tc>
                <w:tcPr>
                  <w:tcW w:w="808" w:type="dxa"/>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1次</w:t>
                  </w:r>
                </w:p>
              </w:tc>
              <w:tc>
                <w:tcPr>
                  <w:tcW w:w="1050" w:type="dxa"/>
                  <w:tcBorders>
                    <w:right w:val="nil"/>
                  </w:tcBorders>
                  <w:vAlign w:val="center"/>
                </w:tcPr>
                <w:p>
                  <w:pPr>
                    <w:pStyle w:val="45"/>
                    <w:ind w:firstLine="0" w:firstLineChars="0"/>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tcBorders>
                    <w:lef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67" w:type="dxa"/>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DA002</w:t>
                  </w:r>
                </w:p>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喷砂工序</w:t>
                  </w:r>
                </w:p>
              </w:tc>
              <w:tc>
                <w:tcPr>
                  <w:tcW w:w="978"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颗粒物</w:t>
                  </w:r>
                </w:p>
              </w:tc>
              <w:tc>
                <w:tcPr>
                  <w:tcW w:w="875" w:type="dxa"/>
                  <w:vMerge w:val="continue"/>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90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0.945</w:t>
                  </w:r>
                </w:p>
              </w:tc>
              <w:tc>
                <w:tcPr>
                  <w:tcW w:w="1044"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315</w:t>
                  </w:r>
                </w:p>
              </w:tc>
              <w:tc>
                <w:tcPr>
                  <w:tcW w:w="911" w:type="dxa"/>
                  <w:tcBorders>
                    <w:right w:val="nil"/>
                  </w:tcBorders>
                  <w:vAlign w:val="center"/>
                </w:tcPr>
                <w:p>
                  <w:pPr>
                    <w:pStyle w:val="45"/>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0.473</w:t>
                  </w:r>
                </w:p>
              </w:tc>
              <w:tc>
                <w:tcPr>
                  <w:tcW w:w="808"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w:t>
                  </w:r>
                </w:p>
              </w:tc>
              <w:tc>
                <w:tcPr>
                  <w:tcW w:w="1050"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vMerge w:val="restart"/>
                  <w:tcBorders>
                    <w:lef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067" w:type="dxa"/>
                  <w:vMerge w:val="restart"/>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DA003</w:t>
                  </w:r>
                </w:p>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喷涂工序</w:t>
                  </w:r>
                </w:p>
              </w:tc>
              <w:tc>
                <w:tcPr>
                  <w:tcW w:w="978"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颗粒物</w:t>
                  </w:r>
                </w:p>
              </w:tc>
              <w:tc>
                <w:tcPr>
                  <w:tcW w:w="875" w:type="dxa"/>
                  <w:vMerge w:val="continue"/>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90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0.252</w:t>
                  </w:r>
                </w:p>
              </w:tc>
              <w:tc>
                <w:tcPr>
                  <w:tcW w:w="1044"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84</w:t>
                  </w:r>
                </w:p>
              </w:tc>
              <w:tc>
                <w:tcPr>
                  <w:tcW w:w="911" w:type="dxa"/>
                  <w:tcBorders>
                    <w:right w:val="nil"/>
                  </w:tcBorders>
                  <w:vAlign w:val="center"/>
                </w:tcPr>
                <w:p>
                  <w:pPr>
                    <w:pStyle w:val="45"/>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0.126</w:t>
                  </w:r>
                </w:p>
              </w:tc>
              <w:tc>
                <w:tcPr>
                  <w:tcW w:w="808"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w:t>
                  </w:r>
                </w:p>
              </w:tc>
              <w:tc>
                <w:tcPr>
                  <w:tcW w:w="1050"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vMerge w:val="continue"/>
                  <w:tcBorders>
                    <w:lef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1067" w:type="dxa"/>
                  <w:vMerge w:val="continue"/>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p>
              </w:tc>
              <w:tc>
                <w:tcPr>
                  <w:tcW w:w="978"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非甲烷总烃</w:t>
                  </w:r>
                </w:p>
              </w:tc>
              <w:tc>
                <w:tcPr>
                  <w:tcW w:w="875" w:type="dxa"/>
                  <w:vMerge w:val="continue"/>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90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0.678</w:t>
                  </w:r>
                </w:p>
              </w:tc>
              <w:tc>
                <w:tcPr>
                  <w:tcW w:w="1044"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226</w:t>
                  </w:r>
                </w:p>
              </w:tc>
              <w:tc>
                <w:tcPr>
                  <w:tcW w:w="911" w:type="dxa"/>
                  <w:tcBorders>
                    <w:right w:val="nil"/>
                  </w:tcBorders>
                  <w:vAlign w:val="center"/>
                </w:tcPr>
                <w:p>
                  <w:pPr>
                    <w:pStyle w:val="45"/>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0.339</w:t>
                  </w:r>
                </w:p>
              </w:tc>
              <w:tc>
                <w:tcPr>
                  <w:tcW w:w="808"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w:t>
                  </w:r>
                </w:p>
              </w:tc>
              <w:tc>
                <w:tcPr>
                  <w:tcW w:w="1050"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8" w:type="dxa"/>
                  <w:vMerge w:val="continue"/>
                  <w:tcBorders>
                    <w:lef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1067" w:type="dxa"/>
                  <w:vMerge w:val="continue"/>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p>
              </w:tc>
              <w:tc>
                <w:tcPr>
                  <w:tcW w:w="978"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二甲苯</w:t>
                  </w:r>
                </w:p>
              </w:tc>
              <w:tc>
                <w:tcPr>
                  <w:tcW w:w="875" w:type="dxa"/>
                  <w:vMerge w:val="continue"/>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p>
              </w:tc>
              <w:tc>
                <w:tcPr>
                  <w:tcW w:w="90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0.075</w:t>
                  </w:r>
                </w:p>
              </w:tc>
              <w:tc>
                <w:tcPr>
                  <w:tcW w:w="1044" w:type="dxa"/>
                  <w:tcBorders>
                    <w:right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911" w:type="dxa"/>
                  <w:tcBorders>
                    <w:right w:val="nil"/>
                  </w:tcBorders>
                  <w:vAlign w:val="center"/>
                </w:tcPr>
                <w:p>
                  <w:pPr>
                    <w:pStyle w:val="4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0.0375</w:t>
                  </w:r>
                </w:p>
              </w:tc>
              <w:tc>
                <w:tcPr>
                  <w:tcW w:w="808"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w:t>
                  </w:r>
                </w:p>
              </w:tc>
              <w:tc>
                <w:tcPr>
                  <w:tcW w:w="1050" w:type="dxa"/>
                  <w:tcBorders>
                    <w:right w:val="nil"/>
                  </w:tcBorders>
                  <w:vAlign w:val="center"/>
                </w:tcPr>
                <w:p>
                  <w:pPr>
                    <w:pStyle w:val="45"/>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r>
          </w:tbl>
          <w:p>
            <w:pPr>
              <w:spacing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非正常工况主要是生产中由于操作失误或突然停企业应制定开停车、检维修等非正常工况污染物治理操作规程。各工艺装置，进行有计划检修开停车及临时性故障停车时，各工艺及环保设施均处于正常运行状态。开车前首先运行所有废气处理装置，然后再开启</w:t>
            </w:r>
            <w:r>
              <w:rPr>
                <w:rFonts w:hint="default" w:ascii="Times New Roman" w:hAnsi="Times New Roman" w:cs="Times New Roman"/>
                <w:color w:val="auto"/>
                <w:highlight w:val="none"/>
                <w:lang w:eastAsia="zh-CN"/>
              </w:rPr>
              <w:t>各</w:t>
            </w:r>
            <w:r>
              <w:rPr>
                <w:rFonts w:hint="default" w:ascii="Times New Roman" w:hAnsi="Times New Roman" w:cs="Times New Roman"/>
                <w:color w:val="auto"/>
                <w:highlight w:val="none"/>
              </w:rPr>
              <w:t>生产设备，进行生产、</w:t>
            </w:r>
            <w:r>
              <w:rPr>
                <w:rFonts w:hint="default" w:ascii="Times New Roman" w:hAnsi="Times New Roman" w:cs="Times New Roman"/>
                <w:color w:val="auto"/>
                <w:highlight w:val="none"/>
                <w:lang w:eastAsia="zh-CN"/>
              </w:rPr>
              <w:t>试验</w:t>
            </w:r>
            <w:r>
              <w:rPr>
                <w:rFonts w:hint="default" w:ascii="Times New Roman" w:hAnsi="Times New Roman" w:cs="Times New Roman"/>
                <w:color w:val="auto"/>
                <w:highlight w:val="none"/>
              </w:rPr>
              <w:t>等操作。停车前逐步停止生产设备，同时继续保持</w:t>
            </w:r>
            <w:r>
              <w:rPr>
                <w:rFonts w:hint="eastAsia" w:cs="Times New Roman"/>
                <w:color w:val="auto"/>
                <w:highlight w:val="none"/>
                <w:lang w:eastAsia="zh-CN"/>
              </w:rPr>
              <w:t>环境治理</w:t>
            </w:r>
            <w:r>
              <w:rPr>
                <w:rFonts w:hint="default" w:ascii="Times New Roman" w:hAnsi="Times New Roman" w:cs="Times New Roman"/>
                <w:color w:val="auto"/>
                <w:highlight w:val="none"/>
              </w:rPr>
              <w:t>设备的运转，待废气全部排出治理后，方可停止运行。采取上述措施后，能确保生产设备在开停车时排出的污染物得到有效治理，排出的浓度与正常生产时基本一致，不会对环境造成影响。</w:t>
            </w:r>
          </w:p>
          <w:p>
            <w:pPr>
              <w:keepNext w:val="0"/>
              <w:keepLines/>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color w:val="auto"/>
                <w:highlight w:val="none"/>
                <w:lang w:val="en-US" w:eastAsia="zh-CN"/>
              </w:rPr>
              <w:t>1.</w:t>
            </w:r>
            <w:r>
              <w:rPr>
                <w:rFonts w:hint="eastAsia" w:cs="Times New Roman"/>
                <w:b/>
                <w:color w:val="auto"/>
                <w:highlight w:val="none"/>
                <w:lang w:val="en-US" w:eastAsia="zh-CN"/>
              </w:rPr>
              <w:t>6</w:t>
            </w:r>
            <w:r>
              <w:rPr>
                <w:rFonts w:hint="default" w:ascii="Times New Roman" w:hAnsi="Times New Roman" w:eastAsia="宋体" w:cs="Times New Roman"/>
                <w:b/>
                <w:color w:val="auto"/>
                <w:highlight w:val="none"/>
              </w:rPr>
              <w:t>监测要求</w:t>
            </w:r>
          </w:p>
          <w:p>
            <w:pPr>
              <w:keepNext w:val="0"/>
              <w:keepLines/>
              <w:pageBreakBefore w:val="0"/>
              <w:widowControl w:val="0"/>
              <w:wordWrap/>
              <w:bidi w:val="0"/>
              <w:adjustRightInd/>
              <w:snapToGrid/>
              <w:spacing w:beforeAutospacing="0" w:afterAutospacing="0"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sz w:val="24"/>
                <w:highlight w:val="none"/>
                <w:shd w:val="clear" w:color="auto" w:fill="FFFFFF"/>
              </w:rPr>
              <w:t>根据《排污许可证申请与核发技术规范</w:t>
            </w:r>
            <w:r>
              <w:rPr>
                <w:rFonts w:hint="default" w:ascii="Times New Roman" w:hAnsi="Times New Roman" w:cs="Times New Roman"/>
                <w:color w:val="auto"/>
                <w:sz w:val="24"/>
                <w:highlight w:val="none"/>
                <w:shd w:val="clear" w:color="auto" w:fill="FFFFFF"/>
                <w:lang w:val="en-US" w:eastAsia="zh-CN"/>
              </w:rPr>
              <w:t xml:space="preserve"> </w:t>
            </w:r>
            <w:r>
              <w:rPr>
                <w:rFonts w:hint="default" w:ascii="Times New Roman" w:hAnsi="Times New Roman" w:cs="Times New Roman"/>
                <w:color w:val="auto"/>
                <w:sz w:val="24"/>
                <w:highlight w:val="none"/>
                <w:shd w:val="clear" w:color="auto" w:fill="FFFFFF"/>
              </w:rPr>
              <w:t>总则》（HJ942-2018）、《排污单位自行监测技术指南</w:t>
            </w:r>
            <w:r>
              <w:rPr>
                <w:rFonts w:hint="default" w:ascii="Times New Roman" w:hAnsi="Times New Roman" w:cs="Times New Roman"/>
                <w:color w:val="auto"/>
                <w:sz w:val="24"/>
                <w:highlight w:val="none"/>
                <w:shd w:val="clear" w:color="auto" w:fill="FFFFFF"/>
                <w:lang w:val="en-US" w:eastAsia="zh-CN"/>
              </w:rPr>
              <w:t xml:space="preserve"> </w:t>
            </w:r>
            <w:r>
              <w:rPr>
                <w:rFonts w:hint="default" w:ascii="Times New Roman" w:hAnsi="Times New Roman" w:cs="Times New Roman"/>
                <w:color w:val="auto"/>
                <w:sz w:val="24"/>
                <w:highlight w:val="none"/>
                <w:shd w:val="clear" w:color="auto" w:fill="FFFFFF"/>
              </w:rPr>
              <w:t>涂装》（HJ1086-2020）、《排污许可证申请与核发技术规范铁路、船舶、航空航天和其他运输设备制造业》（HJ1124-2020）以及《排污单位自行监测技术指南</w:t>
            </w:r>
            <w:r>
              <w:rPr>
                <w:rFonts w:hint="default" w:ascii="Times New Roman" w:hAnsi="Times New Roman" w:cs="Times New Roman"/>
                <w:color w:val="auto"/>
                <w:sz w:val="24"/>
                <w:highlight w:val="none"/>
                <w:shd w:val="clear" w:color="auto" w:fill="FFFFFF"/>
                <w:lang w:val="en-US" w:eastAsia="zh-CN"/>
              </w:rPr>
              <w:t xml:space="preserve"> </w:t>
            </w:r>
            <w:r>
              <w:rPr>
                <w:rFonts w:hint="default" w:ascii="Times New Roman" w:hAnsi="Times New Roman" w:cs="Times New Roman"/>
                <w:color w:val="auto"/>
                <w:sz w:val="24"/>
                <w:highlight w:val="none"/>
                <w:shd w:val="clear" w:color="auto" w:fill="FFFFFF"/>
              </w:rPr>
              <w:t>总则》（HJ819-2017）</w:t>
            </w:r>
            <w:r>
              <w:rPr>
                <w:rFonts w:hint="default" w:ascii="Times New Roman" w:hAnsi="Times New Roman" w:cs="Times New Roman"/>
                <w:color w:val="auto"/>
                <w:highlight w:val="none"/>
                <w:lang w:val="en-US" w:eastAsia="zh-CN"/>
              </w:rPr>
              <w:t>制定本项目废气污染源监测计划，建设单位需按计划落实监测，</w:t>
            </w:r>
            <w:r>
              <w:rPr>
                <w:rFonts w:hint="default" w:ascii="Times New Roman" w:hAnsi="Times New Roman" w:eastAsia="宋体" w:cs="Times New Roman"/>
                <w:color w:val="auto"/>
                <w:sz w:val="24"/>
                <w:highlight w:val="none"/>
                <w:lang w:val="en-US" w:eastAsia="zh-CN"/>
              </w:rPr>
              <w:t>结合本项目生产工艺特点，其废气监测工作内容详见表4-</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w:t>
            </w:r>
          </w:p>
          <w:p>
            <w:pPr>
              <w:pStyle w:val="29"/>
              <w:spacing w:line="24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废气自行监测要求一览表</w:t>
            </w:r>
          </w:p>
          <w:tbl>
            <w:tblPr>
              <w:tblStyle w:val="21"/>
              <w:tblW w:w="4770" w:type="pct"/>
              <w:tblInd w:w="24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844"/>
              <w:gridCol w:w="1680"/>
              <w:gridCol w:w="2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829"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监测点位</w:t>
                  </w:r>
                </w:p>
              </w:tc>
              <w:tc>
                <w:tcPr>
                  <w:tcW w:w="1844"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snapToGrid w:val="0"/>
                      <w:color w:val="auto"/>
                      <w:kern w:val="0"/>
                      <w:sz w:val="21"/>
                      <w:szCs w:val="21"/>
                      <w:highlight w:val="none"/>
                      <w:lang w:val="en-US" w:eastAsia="zh-CN"/>
                    </w:rPr>
                    <w:t>监测因</w:t>
                  </w:r>
                  <w:r>
                    <w:rPr>
                      <w:rFonts w:hint="default" w:ascii="Times New Roman" w:hAnsi="Times New Roman" w:eastAsia="宋体" w:cs="Times New Roman"/>
                      <w:b/>
                      <w:bCs/>
                      <w:snapToGrid w:val="0"/>
                      <w:color w:val="auto"/>
                      <w:kern w:val="0"/>
                      <w:sz w:val="21"/>
                      <w:szCs w:val="21"/>
                      <w:highlight w:val="none"/>
                    </w:rPr>
                    <w:t>子</w:t>
                  </w:r>
                </w:p>
              </w:tc>
              <w:tc>
                <w:tcPr>
                  <w:tcW w:w="1680"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监测频次</w:t>
                  </w:r>
                </w:p>
              </w:tc>
              <w:tc>
                <w:tcPr>
                  <w:tcW w:w="2657"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829" w:type="dxa"/>
                  <w:tcBorders>
                    <w:tl2br w:val="nil"/>
                    <w:tr2bl w:val="nil"/>
                  </w:tcBorders>
                  <w:vAlign w:val="center"/>
                </w:tcPr>
                <w:p>
                  <w:pPr>
                    <w:pStyle w:val="45"/>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DA001</w:t>
                  </w:r>
                </w:p>
                <w:p>
                  <w:pPr>
                    <w:pStyle w:val="4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切割工序</w:t>
                  </w:r>
                </w:p>
              </w:tc>
              <w:tc>
                <w:tcPr>
                  <w:tcW w:w="18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Hans"/>
                    </w:rPr>
                    <w:t>《大气污染物综合排放标准》（GB16297-1996）表2中新污染源大气污染物排放限值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tcBorders>
                    <w:tl2br w:val="nil"/>
                    <w:tr2bl w:val="nil"/>
                  </w:tcBorders>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DA002</w:t>
                  </w:r>
                </w:p>
                <w:p>
                  <w:pPr>
                    <w:pStyle w:val="4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喷砂工序</w:t>
                  </w:r>
                </w:p>
              </w:tc>
              <w:tc>
                <w:tcPr>
                  <w:tcW w:w="18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restart"/>
                  <w:tcBorders>
                    <w:tl2br w:val="nil"/>
                    <w:tr2bl w:val="nil"/>
                  </w:tcBorders>
                  <w:vAlign w:val="center"/>
                </w:tcPr>
                <w:p>
                  <w:pPr>
                    <w:pStyle w:val="45"/>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DA003</w:t>
                  </w:r>
                </w:p>
                <w:p>
                  <w:pPr>
                    <w:pStyle w:val="45"/>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喷涂工序</w:t>
                  </w: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颗粒物</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非甲烷总烃</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二甲苯</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厂界</w:t>
                  </w: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颗粒物</w:t>
                  </w:r>
                </w:p>
              </w:tc>
              <w:tc>
                <w:tcPr>
                  <w:tcW w:w="1680"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1次/半年</w:t>
                  </w: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非甲烷总烃</w:t>
                  </w:r>
                </w:p>
              </w:tc>
              <w:tc>
                <w:tcPr>
                  <w:tcW w:w="1680"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二甲苯</w:t>
                  </w:r>
                </w:p>
              </w:tc>
              <w:tc>
                <w:tcPr>
                  <w:tcW w:w="1680"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657"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厂区内</w:t>
                  </w:r>
                </w:p>
              </w:tc>
              <w:tc>
                <w:tcPr>
                  <w:tcW w:w="184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非甲烷总烃</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c>
                <w:tcPr>
                  <w:tcW w:w="26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《挥发性有机物无组织排放控制标准》（GB37822-2019）表A.1厂区内VOCs无组织排放限值中特别排放限值</w:t>
                  </w:r>
                </w:p>
              </w:tc>
            </w:tr>
          </w:tbl>
          <w:p>
            <w:pPr>
              <w:ind w:firstLine="48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1.</w:t>
            </w:r>
            <w:r>
              <w:rPr>
                <w:rFonts w:hint="eastAsia" w:cs="Times New Roman"/>
                <w:b/>
                <w:bCs/>
                <w:color w:val="auto"/>
                <w:highlight w:val="none"/>
                <w:lang w:val="en-US" w:eastAsia="zh-CN"/>
              </w:rPr>
              <w:t>7</w:t>
            </w:r>
            <w:r>
              <w:rPr>
                <w:rFonts w:hint="default" w:ascii="Times New Roman" w:hAnsi="Times New Roman" w:cs="Times New Roman"/>
                <w:b/>
                <w:bCs/>
                <w:color w:val="auto"/>
                <w:highlight w:val="none"/>
              </w:rPr>
              <w:t>有组织废气可行性分析</w:t>
            </w:r>
          </w:p>
          <w:p>
            <w:pPr>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val="en-US" w:eastAsia="zh-CN"/>
              </w:rPr>
              <w:t>（1）切割工序金属粉尘</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切割</w:t>
            </w:r>
            <w:r>
              <w:rPr>
                <w:rFonts w:hint="default" w:ascii="Times New Roman" w:hAnsi="Times New Roman" w:eastAsia="宋体" w:cs="Times New Roman"/>
                <w:color w:val="auto"/>
                <w:sz w:val="24"/>
                <w:highlight w:val="none"/>
                <w:lang w:val="en-US" w:eastAsia="zh-CN"/>
              </w:rPr>
              <w:t>工序切割处设置</w:t>
            </w:r>
            <w:r>
              <w:rPr>
                <w:rFonts w:hint="default" w:ascii="Times New Roman" w:hAnsi="Times New Roman" w:cs="Times New Roman"/>
                <w:color w:val="auto"/>
                <w:highlight w:val="none"/>
              </w:rPr>
              <w:t>集气罩，废气经集气管道一同输送</w:t>
            </w:r>
            <w:r>
              <w:rPr>
                <w:rFonts w:hint="default" w:ascii="Times New Roman" w:hAnsi="Times New Roman" w:cs="Times New Roman"/>
                <w:color w:val="auto"/>
                <w:highlight w:val="none"/>
                <w:lang w:val="en-US" w:eastAsia="zh-CN"/>
              </w:rPr>
              <w:t>设备</w:t>
            </w:r>
            <w:r>
              <w:rPr>
                <w:rFonts w:hint="default" w:ascii="Times New Roman" w:hAnsi="Times New Roman" w:cs="Times New Roman"/>
                <w:color w:val="auto"/>
                <w:highlight w:val="none"/>
              </w:rPr>
              <w:t>布袋除尘器处理后，通过1根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排气筒（DA001）排放，风机风量为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收尘效率不低于</w:t>
            </w:r>
            <w:r>
              <w:rPr>
                <w:rFonts w:hint="default" w:ascii="Times New Roman" w:hAnsi="Times New Roman" w:cs="Times New Roman"/>
                <w:color w:val="auto"/>
                <w:highlight w:val="none"/>
                <w:lang w:val="en-US" w:eastAsia="zh-CN"/>
              </w:rPr>
              <w:t>80</w:t>
            </w:r>
            <w:r>
              <w:rPr>
                <w:rFonts w:hint="default" w:ascii="Times New Roman" w:hAnsi="Times New Roman" w:cs="Times New Roman"/>
                <w:color w:val="auto"/>
                <w:highlight w:val="none"/>
              </w:rPr>
              <w:t>%，密闭厂房，处理效率按</w:t>
            </w: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%计，</w:t>
            </w:r>
            <w:r>
              <w:rPr>
                <w:rFonts w:hint="default" w:ascii="Times New Roman" w:hAnsi="Times New Roman" w:cs="Times New Roman"/>
                <w:color w:val="auto"/>
                <w:highlight w:val="none"/>
                <w:lang w:val="en-US" w:eastAsia="zh-CN"/>
              </w:rPr>
              <w:t>则有组织产生</w:t>
            </w:r>
            <w:r>
              <w:rPr>
                <w:rFonts w:hint="default" w:ascii="Times New Roman" w:hAnsi="Times New Roman" w:cs="Times New Roman"/>
                <w:color w:val="auto"/>
                <w:sz w:val="24"/>
                <w:szCs w:val="24"/>
                <w:highlight w:val="none"/>
                <w:vertAlign w:val="baseline"/>
                <w:lang w:val="en-US" w:eastAsia="zh-CN"/>
              </w:rPr>
              <w:t>浓度269.43</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；经除尘</w:t>
            </w:r>
            <w:r>
              <w:rPr>
                <w:rFonts w:hint="default" w:ascii="Times New Roman" w:hAnsi="Times New Roman" w:cs="Times New Roman"/>
                <w:color w:val="auto"/>
                <w:highlight w:val="none"/>
                <w:lang w:val="en-US" w:eastAsia="zh-CN"/>
              </w:rPr>
              <w:t>后金属粉尘</w:t>
            </w:r>
            <w:r>
              <w:rPr>
                <w:rFonts w:hint="default" w:ascii="Times New Roman" w:hAnsi="Times New Roman" w:cs="Times New Roman"/>
                <w:color w:val="auto"/>
                <w:sz w:val="24"/>
                <w:szCs w:val="24"/>
                <w:highlight w:val="none"/>
                <w:vertAlign w:val="baseline"/>
                <w:lang w:val="en-US" w:eastAsia="zh-CN"/>
              </w:rPr>
              <w:t>排放浓度13.54</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排放浓度</w:t>
            </w:r>
            <w:r>
              <w:rPr>
                <w:rFonts w:hint="default" w:ascii="Times New Roman" w:hAnsi="Times New Roman" w:eastAsia="Times New Roman" w:cs="Times New Roman"/>
                <w:b w:val="0"/>
                <w:bCs/>
                <w:color w:val="auto"/>
                <w:sz w:val="24"/>
                <w:szCs w:val="20"/>
                <w:highlight w:val="none"/>
                <w:lang w:val="en-US" w:eastAsia="zh-CN" w:bidi="ar-SA"/>
              </w:rPr>
              <w:t>满足《大气污染物综合排放标准》（GB16297-1996）中浓度限值（颗粒物</w:t>
            </w:r>
            <w:r>
              <w:rPr>
                <w:rFonts w:hint="eastAsia" w:eastAsia="Times New Roman" w:cs="Times New Roman"/>
                <w:b w:val="0"/>
                <w:bCs/>
                <w:color w:val="auto"/>
                <w:sz w:val="24"/>
                <w:szCs w:val="20"/>
                <w:highlight w:val="none"/>
                <w:lang w:val="en-US" w:eastAsia="zh-CN" w:bidi="ar-SA"/>
              </w:rPr>
              <w:t>120</w:t>
            </w:r>
            <w:r>
              <w:rPr>
                <w:rFonts w:hint="default" w:ascii="Times New Roman" w:hAnsi="Times New Roman" w:eastAsia="Times New Roman" w:cs="Times New Roman"/>
                <w:b w:val="0"/>
                <w:bCs/>
                <w:color w:val="auto"/>
                <w:sz w:val="24"/>
                <w:szCs w:val="20"/>
                <w:highlight w:val="none"/>
                <w:lang w:val="en-US" w:eastAsia="zh-CN" w:bidi="ar-SA"/>
              </w:rPr>
              <w:t>m</w:t>
            </w:r>
            <w:r>
              <w:rPr>
                <w:rFonts w:hint="default" w:ascii="Times New Roman" w:hAnsi="Times New Roman" w:cs="Times New Roman"/>
                <w:color w:val="auto"/>
                <w:sz w:val="24"/>
                <w:highlight w:val="none"/>
              </w:rPr>
              <w:t>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eastAsia="Times New Roman" w:cs="Times New Roman"/>
                <w:b w:val="0"/>
                <w:bCs/>
                <w:color w:val="auto"/>
                <w:sz w:val="24"/>
                <w:szCs w:val="20"/>
                <w:highlight w:val="none"/>
                <w:lang w:val="en-US" w:eastAsia="zh-CN" w:bidi="ar-SA"/>
              </w:rPr>
              <w:t>）</w:t>
            </w:r>
            <w:r>
              <w:rPr>
                <w:rFonts w:hint="default" w:ascii="Times New Roman" w:hAnsi="Times New Roman" w:cs="Times New Roman"/>
                <w:color w:val="auto"/>
                <w:highlight w:val="none"/>
              </w:rPr>
              <w:t>。</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2）喷砂工序金属粉尘</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Times New Roman" w:cs="Times New Roman"/>
                <w:b w:val="0"/>
                <w:bCs/>
                <w:color w:val="auto"/>
                <w:sz w:val="24"/>
                <w:szCs w:val="20"/>
                <w:highlight w:val="none"/>
                <w:lang w:val="en-US" w:eastAsia="zh-CN" w:bidi="ar-SA"/>
              </w:rPr>
            </w:pPr>
            <w:r>
              <w:rPr>
                <w:rFonts w:hint="default" w:ascii="Times New Roman" w:hAnsi="Times New Roman" w:cs="Times New Roman"/>
                <w:color w:val="auto"/>
                <w:highlight w:val="none"/>
                <w:lang w:val="en-US" w:eastAsia="zh-CN"/>
              </w:rPr>
              <w:t>喷砂工序</w:t>
            </w:r>
            <w:r>
              <w:rPr>
                <w:rFonts w:hint="default" w:ascii="Times New Roman" w:hAnsi="Times New Roman" w:eastAsia="宋体" w:cs="Times New Roman"/>
                <w:color w:val="auto"/>
                <w:sz w:val="24"/>
                <w:highlight w:val="none"/>
                <w:lang w:val="en-US" w:eastAsia="zh-CN"/>
              </w:rPr>
              <w:t>处设置</w:t>
            </w:r>
            <w:r>
              <w:rPr>
                <w:rFonts w:hint="default" w:ascii="Times New Roman" w:hAnsi="Times New Roman" w:cs="Times New Roman"/>
                <w:color w:val="auto"/>
                <w:highlight w:val="none"/>
              </w:rPr>
              <w:t>集气罩，废气经集气管道一同输送</w:t>
            </w:r>
            <w:r>
              <w:rPr>
                <w:rFonts w:hint="default" w:ascii="Times New Roman" w:hAnsi="Times New Roman" w:cs="Times New Roman"/>
                <w:color w:val="auto"/>
                <w:highlight w:val="none"/>
                <w:lang w:val="en-US" w:eastAsia="zh-CN"/>
              </w:rPr>
              <w:t>设备</w:t>
            </w:r>
            <w:r>
              <w:rPr>
                <w:rFonts w:hint="default" w:ascii="Times New Roman" w:hAnsi="Times New Roman" w:cs="Times New Roman"/>
                <w:color w:val="auto"/>
                <w:highlight w:val="none"/>
              </w:rPr>
              <w:t>布袋除尘器处理后，通过1根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收尘效率不低于</w:t>
            </w:r>
            <w:r>
              <w:rPr>
                <w:rFonts w:hint="default" w:ascii="Times New Roman" w:hAnsi="Times New Roman" w:cs="Times New Roman"/>
                <w:color w:val="auto"/>
                <w:highlight w:val="none"/>
                <w:lang w:val="en-US" w:eastAsia="zh-CN"/>
              </w:rPr>
              <w:t>80</w:t>
            </w:r>
            <w:r>
              <w:rPr>
                <w:rFonts w:hint="default" w:ascii="Times New Roman" w:hAnsi="Times New Roman" w:cs="Times New Roman"/>
                <w:color w:val="auto"/>
                <w:highlight w:val="none"/>
              </w:rPr>
              <w:t>%，密闭厂房，处理效率按</w:t>
            </w: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%计，则</w:t>
            </w:r>
            <w:r>
              <w:rPr>
                <w:rFonts w:hint="default" w:ascii="Times New Roman" w:hAnsi="Times New Roman" w:cs="Times New Roman"/>
                <w:color w:val="auto"/>
                <w:highlight w:val="none"/>
                <w:lang w:val="en-US" w:eastAsia="zh-CN"/>
              </w:rPr>
              <w:t>有组织产生</w:t>
            </w:r>
            <w:r>
              <w:rPr>
                <w:rFonts w:hint="default" w:ascii="Times New Roman" w:hAnsi="Times New Roman" w:cs="Times New Roman"/>
                <w:color w:val="auto"/>
                <w:sz w:val="24"/>
                <w:szCs w:val="24"/>
                <w:highlight w:val="none"/>
                <w:vertAlign w:val="baseline"/>
                <w:lang w:val="en-US" w:eastAsia="zh-CN"/>
              </w:rPr>
              <w:t>浓度</w:t>
            </w:r>
            <w:r>
              <w:rPr>
                <w:rFonts w:hint="eastAsia" w:cs="Times New Roman"/>
                <w:color w:val="auto"/>
                <w:sz w:val="24"/>
                <w:szCs w:val="24"/>
                <w:highlight w:val="none"/>
                <w:vertAlign w:val="baseline"/>
                <w:lang w:val="en-US" w:eastAsia="zh-CN"/>
              </w:rPr>
              <w:t>600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；经除尘后</w:t>
            </w:r>
            <w:r>
              <w:rPr>
                <w:rFonts w:hint="default" w:ascii="Times New Roman" w:hAnsi="Times New Roman" w:cs="Times New Roman"/>
                <w:color w:val="auto"/>
                <w:highlight w:val="none"/>
                <w:lang w:val="en-US" w:eastAsia="zh-CN"/>
              </w:rPr>
              <w:t>金属</w:t>
            </w:r>
            <w:r>
              <w:rPr>
                <w:rFonts w:hint="default" w:ascii="Times New Roman" w:hAnsi="Times New Roman" w:cs="Times New Roman"/>
                <w:color w:val="auto"/>
                <w:highlight w:val="none"/>
              </w:rPr>
              <w:t>粉尘有组织</w:t>
            </w:r>
            <w:r>
              <w:rPr>
                <w:rFonts w:hint="default" w:ascii="Times New Roman" w:hAnsi="Times New Roman" w:cs="Times New Roman"/>
                <w:color w:val="auto"/>
                <w:sz w:val="24"/>
                <w:szCs w:val="24"/>
                <w:highlight w:val="none"/>
                <w:vertAlign w:val="baseline"/>
                <w:lang w:val="en-US" w:eastAsia="zh-CN"/>
              </w:rPr>
              <w:t>排放浓度</w:t>
            </w:r>
            <w:r>
              <w:rPr>
                <w:rFonts w:hint="eastAsia" w:cs="Times New Roman"/>
                <w:color w:val="auto"/>
                <w:sz w:val="24"/>
                <w:szCs w:val="24"/>
                <w:highlight w:val="none"/>
                <w:vertAlign w:val="baseline"/>
                <w:lang w:val="en-US" w:eastAsia="zh-CN"/>
              </w:rPr>
              <w:t>30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排放浓度</w:t>
            </w:r>
            <w:r>
              <w:rPr>
                <w:rFonts w:hint="default" w:ascii="Times New Roman" w:hAnsi="Times New Roman" w:eastAsia="Times New Roman" w:cs="Times New Roman"/>
                <w:b w:val="0"/>
                <w:bCs/>
                <w:color w:val="auto"/>
                <w:sz w:val="24"/>
                <w:szCs w:val="20"/>
                <w:highlight w:val="none"/>
                <w:lang w:val="en-US" w:eastAsia="zh-CN" w:bidi="ar-SA"/>
              </w:rPr>
              <w:t>满足《大气污染物综合排放标准》（GB16297-1996）中浓度限值（颗粒物</w:t>
            </w:r>
            <w:r>
              <w:rPr>
                <w:rFonts w:hint="eastAsia" w:eastAsia="Times New Roman" w:cs="Times New Roman"/>
                <w:b w:val="0"/>
                <w:bCs/>
                <w:color w:val="auto"/>
                <w:sz w:val="24"/>
                <w:szCs w:val="20"/>
                <w:highlight w:val="none"/>
                <w:lang w:val="en-US" w:eastAsia="zh-CN" w:bidi="ar-SA"/>
              </w:rPr>
              <w:t>120</w:t>
            </w:r>
            <w:r>
              <w:rPr>
                <w:rFonts w:hint="default" w:ascii="Times New Roman" w:hAnsi="Times New Roman" w:eastAsia="Times New Roman" w:cs="Times New Roman"/>
                <w:b w:val="0"/>
                <w:bCs/>
                <w:color w:val="auto"/>
                <w:sz w:val="24"/>
                <w:szCs w:val="20"/>
                <w:highlight w:val="none"/>
                <w:lang w:val="en-US" w:eastAsia="zh-CN" w:bidi="ar-SA"/>
              </w:rPr>
              <w:t>m</w:t>
            </w:r>
            <w:r>
              <w:rPr>
                <w:rFonts w:hint="default" w:ascii="Times New Roman" w:hAnsi="Times New Roman" w:cs="Times New Roman"/>
                <w:color w:val="auto"/>
                <w:sz w:val="24"/>
                <w:highlight w:val="none"/>
              </w:rPr>
              <w:t>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eastAsia="Times New Roman" w:cs="Times New Roman"/>
                <w:b w:val="0"/>
                <w:bCs/>
                <w:color w:val="auto"/>
                <w:sz w:val="24"/>
                <w:szCs w:val="20"/>
                <w:highlight w:val="none"/>
                <w:lang w:val="en-US" w:eastAsia="zh-CN" w:bidi="ar-SA"/>
              </w:rPr>
              <w:t>）。</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3）喷漆工序废气</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color w:val="auto"/>
                <w:highlight w:val="none"/>
                <w:lang w:val="en-US" w:eastAsia="zh-CN"/>
              </w:rPr>
            </w:pPr>
            <w:r>
              <w:rPr>
                <w:rFonts w:hint="default" w:ascii="Times New Roman" w:hAnsi="Times New Roman" w:cs="Times New Roman"/>
                <w:color w:val="auto"/>
                <w:sz w:val="24"/>
                <w:highlight w:val="none"/>
              </w:rPr>
              <w:t>项目区建设一座全封闭喷漆房，喷漆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共用一套处理废气处理设备。喷漆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废气经集气罩+</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催化燃烧装置净化后，</w:t>
            </w:r>
            <w:r>
              <w:rPr>
                <w:rFonts w:hint="default" w:ascii="Times New Roman" w:hAnsi="Times New Roman" w:cs="Times New Roman"/>
                <w:color w:val="auto"/>
                <w:highlight w:val="none"/>
              </w:rPr>
              <w:t>通过1根</w:t>
            </w:r>
            <w:r>
              <w:rPr>
                <w:rFonts w:hint="default" w:ascii="Times New Roman" w:hAnsi="Times New Roman" w:cs="Times New Roman"/>
                <w:color w:val="auto"/>
                <w:highlight w:val="none"/>
                <w:lang w:eastAsia="zh-CN"/>
              </w:rPr>
              <w:t>15m</w:t>
            </w:r>
            <w:r>
              <w:rPr>
                <w:rFonts w:hint="default" w:ascii="Times New Roman" w:hAnsi="Times New Roman" w:cs="Times New Roman"/>
                <w:color w:val="auto"/>
                <w:highlight w:val="none"/>
              </w:rPr>
              <w:t>排气筒（DA00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）排放，风机风量为</w:t>
            </w:r>
            <w:r>
              <w:rPr>
                <w:rFonts w:hint="default" w:ascii="Times New Roman" w:hAnsi="Times New Roman" w:cs="Times New Roman"/>
                <w:color w:val="auto"/>
                <w:highlight w:val="none"/>
                <w:lang w:val="en-US" w:eastAsia="zh-CN"/>
              </w:rPr>
              <w:t>3000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废气收集效率以90%计</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处理对</w:t>
            </w:r>
            <w:r>
              <w:rPr>
                <w:rFonts w:hint="default" w:ascii="Times New Roman" w:hAnsi="Times New Roman" w:cs="Times New Roman"/>
                <w:color w:val="auto"/>
                <w:sz w:val="24"/>
                <w:highlight w:val="none"/>
                <w:lang w:val="en-US" w:eastAsia="zh-CN"/>
              </w:rPr>
              <w:t>非甲烷总烃</w:t>
            </w:r>
            <w:r>
              <w:rPr>
                <w:rFonts w:hint="default" w:ascii="Times New Roman" w:hAnsi="Times New Roman" w:cs="Times New Roman"/>
                <w:color w:val="auto"/>
                <w:sz w:val="24"/>
                <w:highlight w:val="none"/>
              </w:rPr>
              <w:t>无净化处理效率，对漆雾的处理效率不低于95%；活性炭吸附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催化燃烧装置对</w:t>
            </w:r>
            <w:r>
              <w:rPr>
                <w:rFonts w:hint="default" w:ascii="Times New Roman" w:hAnsi="Times New Roman" w:cs="Times New Roman"/>
                <w:color w:val="auto"/>
                <w:sz w:val="24"/>
                <w:highlight w:val="none"/>
                <w:lang w:val="en-US" w:eastAsia="zh-CN"/>
              </w:rPr>
              <w:t>非甲烷总烃</w:t>
            </w:r>
            <w:r>
              <w:rPr>
                <w:rFonts w:hint="default" w:ascii="Times New Roman" w:hAnsi="Times New Roman" w:cs="Times New Roman"/>
                <w:color w:val="auto"/>
                <w:sz w:val="24"/>
                <w:highlight w:val="none"/>
              </w:rPr>
              <w:t>的处理效率为约77%</w:t>
            </w:r>
            <w:r>
              <w:rPr>
                <w:rFonts w:hint="eastAsia" w:cs="Times New Roman"/>
                <w:color w:val="auto"/>
                <w:sz w:val="24"/>
                <w:highlight w:val="none"/>
                <w:lang w:val="en-US" w:eastAsia="zh-CN"/>
              </w:rPr>
              <w:t>.</w:t>
            </w:r>
          </w:p>
          <w:p>
            <w:pPr>
              <w:widowControl/>
              <w:ind w:firstLine="480"/>
              <w:jc w:val="both"/>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w:t>
            </w:r>
            <w:r>
              <w:rPr>
                <w:rFonts w:hint="default" w:ascii="Times New Roman" w:hAnsi="Times New Roman" w:cs="Times New Roman"/>
                <w:color w:val="auto"/>
                <w:sz w:val="24"/>
                <w:highlight w:val="none"/>
              </w:rPr>
              <w:t>漆雾</w:t>
            </w:r>
            <w:r>
              <w:rPr>
                <w:rFonts w:hint="default" w:ascii="Times New Roman" w:hAnsi="Times New Roman" w:cs="Times New Roman"/>
                <w:color w:val="auto"/>
                <w:sz w:val="24"/>
                <w:highlight w:val="none"/>
                <w:lang w:val="en-US" w:eastAsia="zh-CN"/>
              </w:rPr>
              <w:t>颗粒</w:t>
            </w:r>
            <w:r>
              <w:rPr>
                <w:rFonts w:hint="default" w:ascii="Times New Roman" w:hAnsi="Times New Roman" w:cs="Times New Roman"/>
                <w:color w:val="auto"/>
                <w:highlight w:val="none"/>
              </w:rPr>
              <w:t>有组织</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浓度158.67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lang w:val="en-US" w:eastAsia="zh-CN"/>
              </w:rPr>
              <w:t>去除后</w:t>
            </w:r>
            <w:r>
              <w:rPr>
                <w:rFonts w:hint="default" w:ascii="Times New Roman" w:hAnsi="Times New Roman" w:cs="Times New Roman"/>
                <w:color w:val="auto"/>
                <w:highlight w:val="none"/>
              </w:rPr>
              <w:t>有组织</w:t>
            </w:r>
            <w:r>
              <w:rPr>
                <w:rFonts w:hint="default" w:ascii="Times New Roman" w:hAnsi="Times New Roman" w:cs="Times New Roman"/>
                <w:color w:val="auto"/>
                <w:sz w:val="24"/>
                <w:szCs w:val="24"/>
                <w:highlight w:val="none"/>
                <w:vertAlign w:val="baseline"/>
                <w:lang w:val="en-US" w:eastAsia="zh-CN"/>
              </w:rPr>
              <w:t>排放浓度8</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工序非甲烷总烃</w:t>
            </w:r>
            <w:r>
              <w:rPr>
                <w:rFonts w:hint="default" w:ascii="Times New Roman" w:hAnsi="Times New Roman" w:cs="Times New Roman"/>
                <w:color w:val="auto"/>
                <w:highlight w:val="none"/>
              </w:rPr>
              <w:t>有组织</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浓度393.067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w:t>
            </w:r>
            <w:r>
              <w:rPr>
                <w:rFonts w:hint="default" w:ascii="Times New Roman" w:hAnsi="Times New Roman" w:cs="Times New Roman"/>
                <w:color w:val="auto"/>
                <w:sz w:val="24"/>
                <w:highlight w:val="none"/>
                <w:lang w:val="en-US" w:eastAsia="zh-CN"/>
              </w:rPr>
              <w:t>净化后</w:t>
            </w:r>
            <w:r>
              <w:rPr>
                <w:rFonts w:hint="default" w:ascii="Times New Roman" w:hAnsi="Times New Roman" w:cs="Times New Roman"/>
                <w:color w:val="auto"/>
                <w:highlight w:val="none"/>
              </w:rPr>
              <w:t>有组织</w:t>
            </w:r>
            <w:r>
              <w:rPr>
                <w:rFonts w:hint="default" w:ascii="Times New Roman" w:hAnsi="Times New Roman" w:cs="Times New Roman"/>
                <w:color w:val="auto"/>
                <w:sz w:val="24"/>
                <w:szCs w:val="24"/>
                <w:highlight w:val="none"/>
                <w:vertAlign w:val="baseline"/>
                <w:lang w:val="en-US" w:eastAsia="zh-CN"/>
              </w:rPr>
              <w:t>排放浓度90.33</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pPr>
              <w:widowControl/>
              <w:spacing w:line="360" w:lineRule="auto"/>
              <w:ind w:firstLine="480"/>
              <w:jc w:val="both"/>
              <w:rPr>
                <w:rFonts w:hint="default"/>
                <w:color w:val="auto"/>
                <w:highlight w:val="none"/>
              </w:rPr>
            </w:pPr>
            <w:r>
              <w:rPr>
                <w:rFonts w:hint="eastAsia" w:ascii="Times New Roman" w:hAnsi="Times New Roman" w:eastAsia="宋体" w:cs="Times New Roman"/>
                <w:b w:val="0"/>
                <w:bCs w:val="0"/>
                <w:color w:val="auto"/>
                <w:sz w:val="24"/>
                <w:szCs w:val="24"/>
                <w:highlight w:val="none"/>
                <w:lang w:val="en-US" w:eastAsia="zh-CN"/>
              </w:rPr>
              <w:t>苯系物（二甲苯）属于VOCs废气当中的一种，针对苯系物（二甲苯）的去除效率，参考《主要污染物总量减排核算技术指南（2022 年修订）》中的表2-3 VOCs 废气收集率和治理设施去除率通用系数：一次性活性炭吸附（不再生），VOCs去除率15%，催化燃烧设备VOCs去除率80%，活性炭吸附+催化燃烧设备共计去除效率为83%。考虑到实际运行效果，本次保守确定去除效率为80%。</w:t>
            </w:r>
          </w:p>
          <w:p>
            <w:pPr>
              <w:widowControl/>
              <w:ind w:firstLine="480"/>
              <w:jc w:val="both"/>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喷漆</w:t>
            </w:r>
            <w:r>
              <w:rPr>
                <w:rFonts w:hint="default" w:ascii="Times New Roman" w:hAnsi="Times New Roman" w:eastAsia="宋体" w:cs="Times New Roman"/>
                <w:color w:val="auto"/>
                <w:sz w:val="24"/>
                <w:highlight w:val="none"/>
                <w:lang w:val="en-US" w:eastAsia="zh-CN"/>
              </w:rPr>
              <w:t>工序二甲苯</w:t>
            </w:r>
            <w:r>
              <w:rPr>
                <w:rFonts w:hint="default" w:ascii="Times New Roman" w:hAnsi="Times New Roman" w:cs="Times New Roman"/>
                <w:color w:val="auto"/>
                <w:highlight w:val="none"/>
              </w:rPr>
              <w:t>有组织</w:t>
            </w:r>
            <w:r>
              <w:rPr>
                <w:rFonts w:hint="default" w:ascii="Times New Roman" w:hAnsi="Times New Roman" w:cs="Times New Roman"/>
                <w:color w:val="auto"/>
                <w:highlight w:val="none"/>
                <w:lang w:val="en-US" w:eastAsia="zh-CN"/>
              </w:rPr>
              <w:t>产生</w:t>
            </w:r>
            <w:r>
              <w:rPr>
                <w:rFonts w:hint="default" w:ascii="Times New Roman" w:hAnsi="Times New Roman" w:cs="Times New Roman"/>
                <w:color w:val="auto"/>
                <w:sz w:val="24"/>
                <w:szCs w:val="24"/>
                <w:highlight w:val="none"/>
                <w:vertAlign w:val="baseline"/>
                <w:lang w:val="en-US" w:eastAsia="zh-CN"/>
              </w:rPr>
              <w:t>浓度50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；经</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w:t>
            </w:r>
            <w:r>
              <w:rPr>
                <w:rFonts w:hint="default" w:ascii="Times New Roman" w:hAnsi="Times New Roman" w:cs="Times New Roman"/>
                <w:color w:val="auto"/>
                <w:sz w:val="24"/>
                <w:highlight w:val="none"/>
                <w:lang w:val="en-US" w:eastAsia="zh-CN"/>
              </w:rPr>
              <w:t>净化后</w:t>
            </w:r>
            <w:r>
              <w:rPr>
                <w:rFonts w:hint="default" w:ascii="Times New Roman" w:hAnsi="Times New Roman" w:cs="Times New Roman"/>
                <w:color w:val="auto"/>
                <w:highlight w:val="none"/>
              </w:rPr>
              <w:t>有组织</w:t>
            </w:r>
            <w:r>
              <w:rPr>
                <w:rFonts w:hint="default" w:ascii="Times New Roman" w:hAnsi="Times New Roman" w:cs="Times New Roman"/>
                <w:color w:val="auto"/>
                <w:sz w:val="24"/>
                <w:szCs w:val="24"/>
                <w:highlight w:val="none"/>
                <w:vertAlign w:val="baseline"/>
                <w:lang w:val="en-US" w:eastAsia="zh-CN"/>
              </w:rPr>
              <w:t>排放浓度</w:t>
            </w:r>
            <w:r>
              <w:rPr>
                <w:rFonts w:hint="eastAsia" w:cs="Times New Roman"/>
                <w:color w:val="auto"/>
                <w:sz w:val="24"/>
                <w:szCs w:val="24"/>
                <w:highlight w:val="none"/>
                <w:vertAlign w:val="baseline"/>
                <w:lang w:val="en-US" w:eastAsia="zh-CN"/>
              </w:rPr>
              <w:t>10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Times New Roman" w:cs="Times New Roman"/>
                <w:b w:val="0"/>
                <w:bCs/>
                <w:color w:val="auto"/>
                <w:sz w:val="24"/>
                <w:szCs w:val="20"/>
                <w:highlight w:val="none"/>
                <w:lang w:val="en-US" w:eastAsia="zh-CN" w:bidi="ar-SA"/>
              </w:rPr>
            </w:pPr>
            <w:r>
              <w:rPr>
                <w:rFonts w:hint="default" w:ascii="Times New Roman" w:hAnsi="Times New Roman" w:cs="Times New Roman"/>
                <w:color w:val="auto"/>
                <w:highlight w:val="none"/>
                <w:lang w:val="en-US" w:eastAsia="zh-CN"/>
              </w:rPr>
              <w:t>综上所述，颗粒物、非甲烷总</w:t>
            </w:r>
            <w:r>
              <w:rPr>
                <w:rFonts w:hint="eastAsia" w:cs="Times New Roman"/>
                <w:color w:val="auto"/>
                <w:highlight w:val="none"/>
                <w:lang w:val="en-US" w:eastAsia="zh-CN"/>
              </w:rPr>
              <w:t>、二甲苯</w:t>
            </w:r>
            <w:r>
              <w:rPr>
                <w:rFonts w:hint="default" w:ascii="Times New Roman" w:hAnsi="Times New Roman" w:cs="Times New Roman"/>
                <w:color w:val="auto"/>
                <w:highlight w:val="none"/>
                <w:lang w:val="en-US" w:eastAsia="zh-CN"/>
              </w:rPr>
              <w:t>烃排放浓度</w:t>
            </w:r>
            <w:r>
              <w:rPr>
                <w:rFonts w:hint="default" w:ascii="Times New Roman" w:hAnsi="Times New Roman" w:eastAsia="Times New Roman" w:cs="Times New Roman"/>
                <w:b w:val="0"/>
                <w:bCs/>
                <w:color w:val="auto"/>
                <w:sz w:val="24"/>
                <w:szCs w:val="20"/>
                <w:highlight w:val="none"/>
                <w:lang w:val="en-US" w:eastAsia="zh-CN" w:bidi="ar-SA"/>
              </w:rPr>
              <w:t>满足《大气污染物综合排放标准》（GB16297-1996）中浓度限值（颗粒物</w:t>
            </w:r>
            <w:r>
              <w:rPr>
                <w:rFonts w:hint="eastAsia" w:eastAsia="Times New Roman" w:cs="Times New Roman"/>
                <w:b w:val="0"/>
                <w:bCs/>
                <w:color w:val="auto"/>
                <w:sz w:val="24"/>
                <w:szCs w:val="20"/>
                <w:highlight w:val="none"/>
                <w:lang w:val="en-US" w:eastAsia="zh-CN" w:bidi="ar-SA"/>
              </w:rPr>
              <w:t>120</w:t>
            </w:r>
            <w:r>
              <w:rPr>
                <w:rFonts w:hint="default" w:ascii="Times New Roman" w:hAnsi="Times New Roman" w:eastAsia="Times New Roman" w:cs="Times New Roman"/>
                <w:b w:val="0"/>
                <w:bCs/>
                <w:color w:val="auto"/>
                <w:sz w:val="24"/>
                <w:szCs w:val="20"/>
                <w:highlight w:val="none"/>
                <w:lang w:val="en-US" w:eastAsia="zh-CN" w:bidi="ar-SA"/>
              </w:rPr>
              <w:t>m</w:t>
            </w:r>
            <w:r>
              <w:rPr>
                <w:rFonts w:hint="default" w:ascii="Times New Roman" w:hAnsi="Times New Roman" w:cs="Times New Roman"/>
                <w:color w:val="auto"/>
                <w:sz w:val="24"/>
                <w:highlight w:val="none"/>
              </w:rPr>
              <w:t>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eastAsia="Times New Roman" w:cs="Times New Roman"/>
                <w:b w:val="0"/>
                <w:bCs/>
                <w:color w:val="auto"/>
                <w:sz w:val="24"/>
                <w:szCs w:val="20"/>
                <w:highlight w:val="none"/>
                <w:lang w:val="en-US" w:eastAsia="zh-CN" w:bidi="ar-SA"/>
              </w:rPr>
              <w:t>、非甲烷总烃</w:t>
            </w:r>
            <w:r>
              <w:rPr>
                <w:rFonts w:hint="eastAsia" w:eastAsia="Times New Roman" w:cs="Times New Roman"/>
                <w:b w:val="0"/>
                <w:bCs/>
                <w:color w:val="auto"/>
                <w:sz w:val="24"/>
                <w:szCs w:val="20"/>
                <w:highlight w:val="none"/>
                <w:lang w:val="en-US" w:eastAsia="zh-CN" w:bidi="ar-SA"/>
              </w:rPr>
              <w:t>120</w:t>
            </w:r>
            <w:r>
              <w:rPr>
                <w:rFonts w:hint="default" w:ascii="Times New Roman" w:hAnsi="Times New Roman" w:eastAsia="Times New Roman" w:cs="Times New Roman"/>
                <w:b w:val="0"/>
                <w:bCs/>
                <w:color w:val="auto"/>
                <w:sz w:val="24"/>
                <w:szCs w:val="20"/>
                <w:highlight w:val="none"/>
                <w:lang w:val="en-US" w:eastAsia="zh-CN" w:bidi="ar-SA"/>
              </w:rPr>
              <w:t>m</w:t>
            </w:r>
            <w:r>
              <w:rPr>
                <w:rFonts w:hint="default" w:ascii="Times New Roman" w:hAnsi="Times New Roman" w:cs="Times New Roman"/>
                <w:color w:val="auto"/>
                <w:sz w:val="24"/>
                <w:highlight w:val="none"/>
              </w:rPr>
              <w:t>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eastAsia="Times New Roman" w:cs="Times New Roman"/>
                <w:b w:val="0"/>
                <w:bCs/>
                <w:color w:val="auto"/>
                <w:sz w:val="24"/>
                <w:szCs w:val="20"/>
                <w:highlight w:val="none"/>
                <w:lang w:val="en-US" w:eastAsia="zh-CN" w:bidi="ar-SA"/>
              </w:rPr>
              <w:t>、二甲苯70</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eastAsia="Times New Roman" w:cs="Times New Roman"/>
                <w:b w:val="0"/>
                <w:bCs/>
                <w:color w:val="auto"/>
                <w:sz w:val="24"/>
                <w:szCs w:val="20"/>
                <w:highlight w:val="none"/>
                <w:lang w:val="en-US" w:eastAsia="zh-CN" w:bidi="ar-SA"/>
              </w:rPr>
              <w:t>）。</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8</w:t>
            </w:r>
            <w:r>
              <w:rPr>
                <w:rFonts w:hint="default" w:ascii="Times New Roman" w:hAnsi="Times New Roman" w:cs="Times New Roman"/>
                <w:b/>
                <w:bCs/>
                <w:color w:val="auto"/>
                <w:highlight w:val="none"/>
                <w:lang w:val="en-US" w:eastAsia="zh-CN"/>
              </w:rPr>
              <w:t>无</w:t>
            </w:r>
            <w:r>
              <w:rPr>
                <w:rFonts w:hint="default" w:ascii="Times New Roman" w:hAnsi="Times New Roman" w:cs="Times New Roman"/>
                <w:b/>
                <w:bCs/>
                <w:color w:val="auto"/>
                <w:highlight w:val="none"/>
              </w:rPr>
              <w:t>组织废气可行性分析</w:t>
            </w:r>
          </w:p>
          <w:p>
            <w:pPr>
              <w:tabs>
                <w:tab w:val="left" w:pos="0"/>
              </w:tabs>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本项目产生的废气</w:t>
            </w:r>
            <w:r>
              <w:rPr>
                <w:rFonts w:hint="default" w:ascii="Times New Roman" w:hAnsi="Times New Roman" w:cs="Times New Roman"/>
                <w:color w:val="auto"/>
                <w:highlight w:val="none"/>
                <w:lang w:val="en-US" w:eastAsia="zh-CN"/>
              </w:rPr>
              <w:t>主要</w:t>
            </w:r>
            <w:r>
              <w:rPr>
                <w:rFonts w:hint="default" w:ascii="Times New Roman" w:hAnsi="Times New Roman" w:cs="Times New Roman"/>
                <w:color w:val="auto"/>
                <w:highlight w:val="none"/>
              </w:rPr>
              <w:t>为颗粒物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w:t>
            </w:r>
            <w:r>
              <w:rPr>
                <w:rFonts w:hint="default" w:ascii="Times New Roman" w:hAnsi="Times New Roman" w:cs="Times New Roman"/>
                <w:b w:val="0"/>
                <w:bCs w:val="0"/>
                <w:color w:val="auto"/>
                <w:highlight w:val="none"/>
                <w:lang w:val="en-US" w:eastAsia="zh-CN"/>
              </w:rPr>
              <w:t>切割工序、喷砂工序、焊接工序</w:t>
            </w:r>
            <w:r>
              <w:rPr>
                <w:rFonts w:hint="default" w:ascii="Times New Roman" w:hAnsi="Times New Roman" w:cs="Times New Roman"/>
                <w:color w:val="auto"/>
                <w:highlight w:val="none"/>
              </w:rPr>
              <w:t>生产过程均在密闭厂房内进行。</w:t>
            </w:r>
            <w:r>
              <w:rPr>
                <w:rFonts w:hint="default" w:ascii="Times New Roman" w:hAnsi="Times New Roman" w:cs="Times New Roman"/>
                <w:b w:val="0"/>
                <w:bCs w:val="0"/>
                <w:color w:val="auto"/>
                <w:highlight w:val="none"/>
                <w:lang w:val="en-US" w:eastAsia="zh-CN"/>
              </w:rPr>
              <w:t>切割工序、喷砂工序</w:t>
            </w:r>
            <w:r>
              <w:rPr>
                <w:rFonts w:hint="default" w:ascii="Times New Roman" w:hAnsi="Times New Roman" w:cs="Times New Roman"/>
                <w:color w:val="auto"/>
                <w:highlight w:val="none"/>
                <w:lang w:val="en-US" w:eastAsia="zh-CN"/>
              </w:rPr>
              <w:t>采用袋式除尘器进行粉尘处理，</w:t>
            </w:r>
            <w:r>
              <w:rPr>
                <w:rFonts w:hint="default" w:ascii="Times New Roman" w:hAnsi="Times New Roman" w:cs="Times New Roman"/>
                <w:b w:val="0"/>
                <w:bCs w:val="0"/>
                <w:color w:val="auto"/>
                <w:highlight w:val="none"/>
                <w:lang w:val="en-US" w:eastAsia="zh-CN"/>
              </w:rPr>
              <w:t>焊接工序采用移动式烟尘净化器进行处理，</w:t>
            </w:r>
            <w:r>
              <w:rPr>
                <w:rFonts w:hint="default" w:ascii="Times New Roman" w:hAnsi="Times New Roman" w:cs="Times New Roman"/>
                <w:color w:val="auto"/>
                <w:highlight w:val="none"/>
                <w:lang w:val="en-US" w:eastAsia="zh-CN"/>
              </w:rPr>
              <w:t>从源头有效控制粉尘的产生与排放，实现粉尘污染的综合治理</w:t>
            </w:r>
            <w:r>
              <w:rPr>
                <w:rFonts w:hint="default" w:ascii="Times New Roman" w:hAnsi="Times New Roman" w:cs="Times New Roman"/>
                <w:color w:val="auto"/>
                <w:sz w:val="24"/>
                <w:highlight w:val="none"/>
                <w:lang w:val="en-US" w:eastAsia="zh-CN"/>
              </w:rPr>
              <w:t>。</w:t>
            </w:r>
          </w:p>
          <w:p>
            <w:pPr>
              <w:tabs>
                <w:tab w:val="left" w:pos="0"/>
              </w:tabs>
              <w:ind w:firstLine="48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项目区建设一座全封闭喷漆烤漆房，喷漆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共用一套处理废气处理设备。喷漆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rPr>
              <w:t>废气经集气罩+</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+活性炭吸附</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催化燃烧装置净化</w:t>
            </w:r>
            <w:r>
              <w:rPr>
                <w:rFonts w:hint="default" w:ascii="Times New Roman" w:hAnsi="Times New Roman" w:cs="Times New Roman"/>
                <w:color w:val="auto"/>
                <w:sz w:val="24"/>
                <w:highlight w:val="none"/>
                <w:lang w:val="en-US" w:eastAsia="zh-CN"/>
              </w:rPr>
              <w:t>处理。</w:t>
            </w:r>
          </w:p>
          <w:p>
            <w:pPr>
              <w:pStyle w:val="9"/>
              <w:spacing w:line="240" w:lineRule="atLeas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主要废气污染源参数一览表（矩形面源）</w:t>
            </w:r>
          </w:p>
          <w:tbl>
            <w:tblPr>
              <w:tblStyle w:val="21"/>
              <w:tblW w:w="498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9"/>
              <w:gridCol w:w="1163"/>
              <w:gridCol w:w="1152"/>
              <w:gridCol w:w="786"/>
              <w:gridCol w:w="802"/>
              <w:gridCol w:w="825"/>
              <w:gridCol w:w="808"/>
              <w:gridCol w:w="963"/>
              <w:gridCol w:w="10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83"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384" w:type="pct"/>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w:t>
                  </w:r>
                </w:p>
              </w:tc>
              <w:tc>
                <w:tcPr>
                  <w:tcW w:w="470"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海拔高度（m）</w:t>
                  </w:r>
                </w:p>
              </w:tc>
              <w:tc>
                <w:tcPr>
                  <w:tcW w:w="1456" w:type="pct"/>
                  <w:gridSpan w:val="3"/>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矩形面源</w:t>
                  </w:r>
                </w:p>
              </w:tc>
              <w:tc>
                <w:tcPr>
                  <w:tcW w:w="1205" w:type="pct"/>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83"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95"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88"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470"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47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长度（m）</w:t>
                  </w:r>
                </w:p>
              </w:tc>
              <w:tc>
                <w:tcPr>
                  <w:tcW w:w="493"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宽度（m）</w:t>
                  </w:r>
                </w:p>
              </w:tc>
              <w:tc>
                <w:tcPr>
                  <w:tcW w:w="483"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有效</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高度（m）</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TSP</w:t>
                  </w:r>
                </w:p>
              </w:tc>
              <w:tc>
                <w:tcPr>
                  <w:tcW w:w="62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切割</w:t>
                  </w:r>
                  <w:r>
                    <w:rPr>
                      <w:rFonts w:hint="default" w:ascii="Times New Roman" w:hAnsi="Times New Roman" w:eastAsia="宋体" w:cs="Times New Roman"/>
                      <w:b w:val="0"/>
                      <w:bCs w:val="0"/>
                      <w:color w:val="auto"/>
                      <w:sz w:val="21"/>
                      <w:szCs w:val="21"/>
                      <w:highlight w:val="none"/>
                      <w:lang w:val="en-US" w:eastAsia="zh-CN"/>
                    </w:rPr>
                    <w:t>序金属粉尘</w:t>
                  </w:r>
                </w:p>
              </w:tc>
              <w:tc>
                <w:tcPr>
                  <w:tcW w:w="695"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84.299194</w:t>
                  </w:r>
                </w:p>
              </w:tc>
              <w:tc>
                <w:tcPr>
                  <w:tcW w:w="688" w:type="pct"/>
                  <w:vAlign w:val="center"/>
                </w:tcPr>
                <w:p>
                  <w:pPr>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41.781834</w:t>
                  </w:r>
                </w:p>
              </w:tc>
              <w:tc>
                <w:tcPr>
                  <w:tcW w:w="470"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963</w:t>
                  </w:r>
                </w:p>
              </w:tc>
              <w:tc>
                <w:tcPr>
                  <w:tcW w:w="479"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118</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lang w:val="en-US" w:eastAsia="zh-CN"/>
                    </w:rPr>
                    <w:t>00</w:t>
                  </w:r>
                </w:p>
              </w:tc>
              <w:tc>
                <w:tcPr>
                  <w:tcW w:w="493"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182</w:t>
                  </w:r>
                  <w:r>
                    <w:rPr>
                      <w:rFonts w:hint="default" w:ascii="Times New Roman" w:hAnsi="Times New Roman" w:eastAsia="宋体" w:cs="Times New Roman"/>
                      <w:b w:val="0"/>
                      <w:color w:val="auto"/>
                      <w:sz w:val="21"/>
                      <w:szCs w:val="21"/>
                      <w:highlight w:val="none"/>
                      <w:lang w:val="en-US" w:eastAsia="zh-CN"/>
                    </w:rPr>
                    <w:t>.00</w:t>
                  </w:r>
                </w:p>
              </w:tc>
              <w:tc>
                <w:tcPr>
                  <w:tcW w:w="483"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10.00</w:t>
                  </w:r>
                </w:p>
              </w:tc>
              <w:tc>
                <w:tcPr>
                  <w:tcW w:w="57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喷砂工序金属粉尘</w:t>
                  </w:r>
                </w:p>
              </w:tc>
              <w:tc>
                <w:tcPr>
                  <w:tcW w:w="695" w:type="pc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84.299991</w:t>
                  </w:r>
                </w:p>
              </w:tc>
              <w:tc>
                <w:tcPr>
                  <w:tcW w:w="688" w:type="pc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41.78075</w:t>
                  </w:r>
                </w:p>
              </w:tc>
              <w:tc>
                <w:tcPr>
                  <w:tcW w:w="470"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963</w:t>
                  </w:r>
                </w:p>
              </w:tc>
              <w:tc>
                <w:tcPr>
                  <w:tcW w:w="479" w:type="pct"/>
                  <w:vAlign w:val="center"/>
                </w:tcPr>
                <w:p>
                  <w:pPr>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15.00</w:t>
                  </w:r>
                </w:p>
              </w:tc>
              <w:tc>
                <w:tcPr>
                  <w:tcW w:w="493" w:type="pct"/>
                  <w:vAlign w:val="center"/>
                </w:tcPr>
                <w:p>
                  <w:pPr>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rPr>
                    <w:t>.00</w:t>
                  </w:r>
                </w:p>
              </w:tc>
              <w:tc>
                <w:tcPr>
                  <w:tcW w:w="483"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color w:val="auto"/>
                      <w:sz w:val="21"/>
                      <w:szCs w:val="21"/>
                      <w:highlight w:val="none"/>
                    </w:rPr>
                    <w:t>4.00</w:t>
                  </w:r>
                </w:p>
              </w:tc>
              <w:tc>
                <w:tcPr>
                  <w:tcW w:w="57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6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焊接工序</w:t>
                  </w:r>
                </w:p>
              </w:tc>
              <w:tc>
                <w:tcPr>
                  <w:tcW w:w="695" w:type="pc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84.299774</w:t>
                  </w:r>
                </w:p>
              </w:tc>
              <w:tc>
                <w:tcPr>
                  <w:tcW w:w="688" w:type="pc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41.78112</w:t>
                  </w:r>
                </w:p>
              </w:tc>
              <w:tc>
                <w:tcPr>
                  <w:tcW w:w="470" w:type="pct"/>
                  <w:vAlign w:val="center"/>
                </w:tcPr>
                <w:p>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96</w:t>
                  </w:r>
                  <w:r>
                    <w:rPr>
                      <w:rFonts w:hint="default" w:ascii="Times New Roman" w:hAnsi="Times New Roman" w:cs="Times New Roman"/>
                      <w:b w:val="0"/>
                      <w:color w:val="auto"/>
                      <w:sz w:val="21"/>
                      <w:szCs w:val="21"/>
                      <w:highlight w:val="none"/>
                      <w:lang w:val="en-US" w:eastAsia="zh-CN"/>
                    </w:rPr>
                    <w:t>3</w:t>
                  </w:r>
                </w:p>
              </w:tc>
              <w:tc>
                <w:tcPr>
                  <w:tcW w:w="479" w:type="pc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493" w:type="pc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17.00</w:t>
                  </w:r>
                </w:p>
              </w:tc>
              <w:tc>
                <w:tcPr>
                  <w:tcW w:w="483" w:type="pc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10.00</w:t>
                  </w:r>
                </w:p>
              </w:tc>
              <w:tc>
                <w:tcPr>
                  <w:tcW w:w="575"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0.041</w:t>
                  </w:r>
                </w:p>
              </w:tc>
              <w:tc>
                <w:tcPr>
                  <w:tcW w:w="6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44" w:hRule="atLeast"/>
              </w:trPr>
              <w:tc>
                <w:tcPr>
                  <w:tcW w:w="48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喷漆工序废气</w:t>
                  </w:r>
                </w:p>
              </w:tc>
              <w:tc>
                <w:tcPr>
                  <w:tcW w:w="695" w:type="pct"/>
                  <w:vMerge w:val="restar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84.300745</w:t>
                  </w:r>
                </w:p>
              </w:tc>
              <w:tc>
                <w:tcPr>
                  <w:tcW w:w="688" w:type="pct"/>
                  <w:vMerge w:val="restart"/>
                  <w:shd w:val="clear" w:color="auto" w:fill="auto"/>
                  <w:vAlign w:val="center"/>
                </w:tcPr>
                <w:p>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41.780916</w:t>
                  </w:r>
                </w:p>
              </w:tc>
              <w:tc>
                <w:tcPr>
                  <w:tcW w:w="470" w:type="pct"/>
                  <w:vMerge w:val="restart"/>
                  <w:vAlign w:val="center"/>
                </w:tcPr>
                <w:p>
                  <w:pPr>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963</w:t>
                  </w:r>
                </w:p>
              </w:tc>
              <w:tc>
                <w:tcPr>
                  <w:tcW w:w="479" w:type="pct"/>
                  <w:vMerge w:val="restar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cs="Times New Roman"/>
                      <w:b w:val="0"/>
                      <w:color w:val="auto"/>
                      <w:sz w:val="21"/>
                      <w:szCs w:val="21"/>
                      <w:highlight w:val="none"/>
                      <w:lang w:val="en-US" w:eastAsia="zh-CN"/>
                    </w:rPr>
                    <w:t>15</w:t>
                  </w:r>
                  <w:r>
                    <w:rPr>
                      <w:rFonts w:hint="default" w:ascii="Times New Roman" w:hAnsi="Times New Roman" w:eastAsia="宋体" w:cs="Times New Roman"/>
                      <w:b w:val="0"/>
                      <w:color w:val="auto"/>
                      <w:sz w:val="21"/>
                      <w:szCs w:val="21"/>
                      <w:highlight w:val="none"/>
                    </w:rPr>
                    <w:t>.00</w:t>
                  </w:r>
                </w:p>
              </w:tc>
              <w:tc>
                <w:tcPr>
                  <w:tcW w:w="493" w:type="pct"/>
                  <w:vMerge w:val="restar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4.00</w:t>
                  </w:r>
                </w:p>
              </w:tc>
              <w:tc>
                <w:tcPr>
                  <w:tcW w:w="483" w:type="pct"/>
                  <w:vMerge w:val="restart"/>
                  <w:vAlign w:val="center"/>
                </w:tcPr>
                <w:p>
                  <w:pPr>
                    <w:ind w:left="0" w:leftChars="0" w:firstLine="0" w:firstLineChars="0"/>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4.00</w:t>
                  </w:r>
                </w:p>
              </w:tc>
              <w:tc>
                <w:tcPr>
                  <w:tcW w:w="575"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0.0265</w:t>
                  </w:r>
                </w:p>
              </w:tc>
              <w:tc>
                <w:tcPr>
                  <w:tcW w:w="6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44" w:hRule="atLeast"/>
              </w:trPr>
              <w:tc>
                <w:tcPr>
                  <w:tcW w:w="48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rPr>
                  </w:pPr>
                </w:p>
              </w:tc>
              <w:tc>
                <w:tcPr>
                  <w:tcW w:w="695" w:type="pct"/>
                  <w:vMerge w:val="continue"/>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688" w:type="pct"/>
                  <w:vMerge w:val="continue"/>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70"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79"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9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83" w:type="pct"/>
                  <w:vMerge w:val="continue"/>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75" w:type="pct"/>
                  <w:shd w:val="clear" w:color="auto" w:fill="auto"/>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29" w:type="pct"/>
                  <w:vAlign w:val="center"/>
                </w:tcPr>
                <w:p>
                  <w:pPr>
                    <w:pStyle w:val="38"/>
                    <w:keepNext w:val="0"/>
                    <w:keepLines w:val="0"/>
                    <w:pageBreakBefore w:val="0"/>
                    <w:tabs>
                      <w:tab w:val="left" w:pos="2700"/>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0.13</w:t>
                  </w:r>
                </w:p>
              </w:tc>
            </w:tr>
          </w:tbl>
          <w:p>
            <w:pPr>
              <w:spacing w:line="48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szCs w:val="20"/>
                <w:highlight w:val="none"/>
              </w:rPr>
              <w:t>表4-</w:t>
            </w:r>
            <w:r>
              <w:rPr>
                <w:rFonts w:hint="eastAsia" w:cs="Times New Roman"/>
                <w:b/>
                <w:color w:val="auto"/>
                <w:szCs w:val="20"/>
                <w:highlight w:val="none"/>
                <w:lang w:val="en-US" w:eastAsia="zh-CN"/>
              </w:rPr>
              <w:t>20</w:t>
            </w:r>
            <w:r>
              <w:rPr>
                <w:rFonts w:hint="default" w:ascii="Times New Roman" w:hAnsi="Times New Roman" w:cs="Times New Roman"/>
                <w:b/>
                <w:color w:val="auto"/>
                <w:szCs w:val="20"/>
                <w:highlight w:val="none"/>
                <w:lang w:val="en-US" w:eastAsia="zh-CN"/>
              </w:rPr>
              <w:t xml:space="preserve">   </w:t>
            </w:r>
            <w:r>
              <w:rPr>
                <w:rFonts w:hint="default" w:ascii="Times New Roman" w:hAnsi="Times New Roman" w:cs="Times New Roman"/>
                <w:b/>
                <w:color w:val="auto"/>
                <w:szCs w:val="20"/>
                <w:highlight w:val="none"/>
              </w:rPr>
              <w:t>估算模型参数表</w:t>
            </w:r>
          </w:p>
          <w:tbl>
            <w:tblPr>
              <w:tblStyle w:val="21"/>
              <w:tblW w:w="84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17"/>
              <w:gridCol w:w="2250"/>
              <w:gridCol w:w="43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0" w:hRule="atLeast"/>
              </w:trPr>
              <w:tc>
                <w:tcPr>
                  <w:tcW w:w="4067" w:type="dxa"/>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参数</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城市/农村选项</w:t>
                  </w: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人口数（城市人口数）</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4067" w:type="dxa"/>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最高环境温度</w:t>
                  </w:r>
                </w:p>
              </w:tc>
              <w:tc>
                <w:tcPr>
                  <w:tcW w:w="4338"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4067" w:type="dxa"/>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最低环境温度</w:t>
                  </w:r>
                </w:p>
              </w:tc>
              <w:tc>
                <w:tcPr>
                  <w:tcW w:w="4338"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4067" w:type="dxa"/>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土地利用类型</w:t>
                  </w:r>
                </w:p>
              </w:tc>
              <w:tc>
                <w:tcPr>
                  <w:tcW w:w="4338"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荒漠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4067" w:type="dxa"/>
                  <w:gridSpan w:val="2"/>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区域湿度条件</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干燥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是否考虑地形</w:t>
                  </w: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考虑地形</w:t>
                  </w:r>
                </w:p>
              </w:tc>
              <w:tc>
                <w:tcPr>
                  <w:tcW w:w="4338"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地形数据分辨率（m）</w:t>
                  </w:r>
                </w:p>
              </w:tc>
              <w:tc>
                <w:tcPr>
                  <w:tcW w:w="4338"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是否考虑岸线熏烟</w:t>
                  </w: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考虑岸线熏烟</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岸线距离/m</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8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250"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岸线方向/°</w:t>
                  </w:r>
                </w:p>
              </w:tc>
              <w:tc>
                <w:tcPr>
                  <w:tcW w:w="4338"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9"/>
              <w:spacing w:line="240" w:lineRule="atLeast"/>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估算结果一览表</w:t>
            </w:r>
          </w:p>
          <w:tbl>
            <w:tblPr>
              <w:tblStyle w:val="21"/>
              <w:tblW w:w="84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28"/>
              <w:gridCol w:w="1134"/>
              <w:gridCol w:w="2353"/>
              <w:gridCol w:w="28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67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39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厂界无组织排放标准（mg/m³）</w:t>
                  </w:r>
                </w:p>
              </w:tc>
              <w:tc>
                <w:tcPr>
                  <w:tcW w:w="171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Cmax（mg/m³）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切割</w:t>
                  </w:r>
                  <w:r>
                    <w:rPr>
                      <w:rFonts w:hint="default" w:ascii="Times New Roman" w:hAnsi="Times New Roman" w:eastAsia="宋体" w:cs="Times New Roman"/>
                      <w:b w:val="0"/>
                      <w:bCs w:val="0"/>
                      <w:color w:val="auto"/>
                      <w:sz w:val="21"/>
                      <w:szCs w:val="21"/>
                      <w:highlight w:val="none"/>
                      <w:lang w:val="en-US" w:eastAsia="zh-CN"/>
                    </w:rPr>
                    <w:t>序金属粉尘</w:t>
                  </w:r>
                </w:p>
              </w:tc>
              <w:tc>
                <w:tcPr>
                  <w:tcW w:w="67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139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71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0.0042454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喷砂工序金属粉尘</w:t>
                  </w:r>
                </w:p>
              </w:tc>
              <w:tc>
                <w:tcPr>
                  <w:tcW w:w="674"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1399" w:type="pct"/>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71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0.16951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焊接工序</w:t>
                  </w:r>
                </w:p>
              </w:tc>
              <w:tc>
                <w:tcPr>
                  <w:tcW w:w="67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TSP</w:t>
                  </w:r>
                </w:p>
              </w:tc>
              <w:tc>
                <w:tcPr>
                  <w:tcW w:w="1399"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171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0.04745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喷漆工序废气</w:t>
                  </w:r>
                </w:p>
              </w:tc>
              <w:tc>
                <w:tcPr>
                  <w:tcW w:w="67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TSP</w:t>
                  </w:r>
                </w:p>
              </w:tc>
              <w:tc>
                <w:tcPr>
                  <w:tcW w:w="1399" w:type="pc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171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0.26909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2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674"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NMHC</w:t>
                  </w:r>
                </w:p>
              </w:tc>
              <w:tc>
                <w:tcPr>
                  <w:tcW w:w="139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1719"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1.3200642</w:t>
                  </w:r>
                </w:p>
              </w:tc>
            </w:tr>
          </w:tbl>
          <w:p>
            <w:pPr>
              <w:tabs>
                <w:tab w:val="left" w:pos="0"/>
              </w:tabs>
              <w:ind w:firstLine="480"/>
              <w:rPr>
                <w:rFonts w:hint="default" w:ascii="Times New Roman" w:hAnsi="Times New Roman" w:cs="Times New Roman"/>
                <w:b/>
                <w:bCs/>
                <w:color w:val="auto"/>
                <w:highlight w:val="none"/>
                <w:lang w:eastAsia="zh-CN"/>
              </w:rPr>
            </w:pPr>
            <w:r>
              <w:rPr>
                <w:rFonts w:hint="default" w:ascii="Times New Roman" w:hAnsi="Times New Roman" w:cs="Times New Roman"/>
                <w:color w:val="auto"/>
                <w:highlight w:val="none"/>
              </w:rPr>
              <w:t>根</w:t>
            </w:r>
            <w:r>
              <w:rPr>
                <w:rFonts w:hint="default" w:ascii="Times New Roman" w:hAnsi="Times New Roman" w:cs="Times New Roman"/>
                <w:color w:val="auto"/>
                <w:sz w:val="24"/>
                <w:szCs w:val="24"/>
                <w:highlight w:val="none"/>
              </w:rPr>
              <w:t>据《环境影响评价技术导则大气环境》（HJ2.2-2018）中推荐模式的估算模型（AERSCREEN）进行预测</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highlight w:val="none"/>
                <w:lang w:val="en-US" w:eastAsia="zh-CN"/>
              </w:rPr>
              <w:t>下风向最大浓度出现距离为15m</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color w:val="auto"/>
                <w:sz w:val="24"/>
                <w:szCs w:val="24"/>
                <w:highlight w:val="none"/>
              </w:rPr>
              <w:t>预测</w:t>
            </w:r>
            <w:r>
              <w:rPr>
                <w:rFonts w:hint="default" w:ascii="Times New Roman" w:hAnsi="Times New Roman" w:cs="Times New Roman"/>
                <w:color w:val="auto"/>
                <w:sz w:val="24"/>
                <w:szCs w:val="24"/>
                <w:highlight w:val="none"/>
                <w:lang w:eastAsia="zh-CN"/>
              </w:rPr>
              <w:t>切割</w:t>
            </w:r>
            <w:r>
              <w:rPr>
                <w:rFonts w:hint="default" w:ascii="Times New Roman" w:hAnsi="Times New Roman" w:cs="Times New Roman"/>
                <w:color w:val="auto"/>
                <w:sz w:val="24"/>
                <w:szCs w:val="24"/>
                <w:highlight w:val="none"/>
              </w:rPr>
              <w:t>序金属粉尘最大落地浓度为</w:t>
            </w:r>
            <w:r>
              <w:rPr>
                <w:rFonts w:hint="default" w:ascii="Times New Roman" w:hAnsi="Times New Roman" w:cs="Times New Roman"/>
                <w:color w:val="auto"/>
                <w:sz w:val="24"/>
                <w:szCs w:val="24"/>
                <w:highlight w:val="none"/>
                <w:lang w:val="en-US" w:eastAsia="zh-CN"/>
              </w:rPr>
              <w:t>0.0042454</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val="0"/>
                <w:color w:val="auto"/>
                <w:highlight w:val="none"/>
                <w:lang w:val="en-US" w:eastAsia="zh-CN"/>
              </w:rPr>
              <w:t>下风向最大浓度出现距离为9m，</w:t>
            </w:r>
            <w:r>
              <w:rPr>
                <w:rFonts w:hint="default" w:ascii="Times New Roman" w:hAnsi="Times New Roman" w:cs="Times New Roman"/>
                <w:color w:val="auto"/>
                <w:sz w:val="24"/>
                <w:szCs w:val="24"/>
                <w:highlight w:val="none"/>
              </w:rPr>
              <w:t>喷砂工序金属粉尘最大落地点浓度为0.16951mg/m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；焊接工序</w:t>
            </w:r>
            <w:r>
              <w:rPr>
                <w:rFonts w:hint="default" w:ascii="Times New Roman" w:hAnsi="Times New Roman" w:cs="Times New Roman"/>
                <w:color w:val="auto"/>
                <w:sz w:val="24"/>
                <w:szCs w:val="24"/>
                <w:highlight w:val="none"/>
                <w:lang w:val="en-US" w:eastAsia="zh-CN"/>
              </w:rPr>
              <w:t>烟尘</w:t>
            </w:r>
            <w:r>
              <w:rPr>
                <w:rFonts w:hint="default" w:ascii="Times New Roman" w:hAnsi="Times New Roman" w:cs="Times New Roman"/>
                <w:color w:val="auto"/>
                <w:sz w:val="24"/>
                <w:szCs w:val="24"/>
                <w:highlight w:val="none"/>
              </w:rPr>
              <w:t>最大落地点浓度为0.04745mg/m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val="0"/>
                <w:color w:val="auto"/>
                <w:highlight w:val="none"/>
                <w:lang w:val="en-US" w:eastAsia="zh-CN"/>
              </w:rPr>
              <w:t>下风向最大浓度出现距离为10m，</w:t>
            </w:r>
            <w:r>
              <w:rPr>
                <w:rFonts w:hint="default" w:ascii="Times New Roman" w:hAnsi="Times New Roman" w:cs="Times New Roman"/>
                <w:color w:val="auto"/>
                <w:sz w:val="24"/>
                <w:szCs w:val="24"/>
                <w:highlight w:val="none"/>
                <w:lang w:eastAsia="zh-CN"/>
              </w:rPr>
              <w:t>喷漆工序废气</w:t>
            </w:r>
            <w:r>
              <w:rPr>
                <w:rFonts w:hint="default"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rPr>
              <w:t>最大落地点浓度为</w:t>
            </w:r>
            <w:r>
              <w:rPr>
                <w:rFonts w:hint="default" w:ascii="Times New Roman" w:hAnsi="Times New Roman" w:cs="Times New Roman"/>
                <w:color w:val="auto"/>
                <w:sz w:val="24"/>
                <w:szCs w:val="24"/>
                <w:highlight w:val="none"/>
                <w:lang w:val="en-US" w:eastAsia="zh-CN"/>
              </w:rPr>
              <w:t>0.26909</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val="0"/>
                <w:color w:val="auto"/>
                <w:highlight w:val="none"/>
                <w:lang w:val="en-US" w:eastAsia="zh-CN"/>
              </w:rPr>
              <w:t>下风向最大浓度出现距离为6m，</w:t>
            </w:r>
            <w:r>
              <w:rPr>
                <w:rFonts w:hint="default" w:ascii="Times New Roman" w:hAnsi="Times New Roman" w:cs="Times New Roman"/>
                <w:color w:val="auto"/>
                <w:sz w:val="24"/>
                <w:szCs w:val="24"/>
                <w:highlight w:val="none"/>
                <w:lang w:val="en-US" w:eastAsia="zh-CN"/>
              </w:rPr>
              <w:t>非甲烷总烃</w:t>
            </w:r>
            <w:r>
              <w:rPr>
                <w:rFonts w:hint="default" w:ascii="Times New Roman" w:hAnsi="Times New Roman" w:cs="Times New Roman"/>
                <w:color w:val="auto"/>
                <w:sz w:val="24"/>
                <w:szCs w:val="24"/>
                <w:highlight w:val="none"/>
              </w:rPr>
              <w:t>最大落地点浓度为1.3200642mg/m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无组织</w:t>
            </w:r>
            <w:r>
              <w:rPr>
                <w:rFonts w:hint="default" w:ascii="Times New Roman" w:hAnsi="Times New Roman" w:cs="Times New Roman"/>
                <w:color w:val="auto"/>
                <w:sz w:val="24"/>
                <w:szCs w:val="24"/>
                <w:highlight w:val="none"/>
                <w:lang w:val="en-US" w:eastAsia="zh-CN"/>
              </w:rPr>
              <w:t>颗粒物、非甲烷总烃厂界浓度满足</w:t>
            </w:r>
            <w:r>
              <w:rPr>
                <w:rFonts w:hint="default" w:ascii="Times New Roman" w:hAnsi="Times New Roman" w:cs="Times New Roman"/>
                <w:color w:val="auto"/>
                <w:sz w:val="24"/>
                <w:szCs w:val="24"/>
                <w:highlight w:val="none"/>
                <w:lang w:eastAsia="zh-CN"/>
              </w:rPr>
              <w:t>《大气污染物综合排放标准》（</w:t>
            </w:r>
            <w:r>
              <w:rPr>
                <w:rFonts w:hint="default" w:ascii="Times New Roman" w:hAnsi="Times New Roman" w:cs="Times New Roman"/>
                <w:color w:val="auto"/>
                <w:sz w:val="24"/>
                <w:szCs w:val="24"/>
                <w:highlight w:val="none"/>
                <w:lang w:val="en-US" w:eastAsia="zh-CN"/>
              </w:rPr>
              <w:t>GB16297-1996</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2中无组织排放限值要求</w:t>
            </w:r>
            <w:r>
              <w:rPr>
                <w:rFonts w:hint="default" w:ascii="Times New Roman" w:hAnsi="Times New Roman" w:cs="Times New Roman"/>
                <w:color w:val="auto"/>
                <w:sz w:val="24"/>
                <w:szCs w:val="24"/>
                <w:highlight w:val="none"/>
              </w:rPr>
              <w:t>。</w:t>
            </w:r>
          </w:p>
          <w:p>
            <w:pPr>
              <w:keepNext w:val="0"/>
              <w:keepLines/>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2</w:t>
            </w:r>
            <w:r>
              <w:rPr>
                <w:rFonts w:hint="default" w:ascii="Times New Roman" w:hAnsi="Times New Roman" w:cs="Times New Roman"/>
                <w:b/>
                <w:bCs/>
                <w:color w:val="auto"/>
                <w:highlight w:val="none"/>
              </w:rPr>
              <w:t>废水</w:t>
            </w:r>
            <w:r>
              <w:rPr>
                <w:rFonts w:hint="default" w:ascii="Times New Roman" w:hAnsi="Times New Roman" w:cs="Times New Roman"/>
                <w:b/>
                <w:bCs/>
                <w:color w:val="auto"/>
                <w:szCs w:val="21"/>
                <w:highlight w:val="none"/>
              </w:rPr>
              <w:t>环境影响及保护措施</w:t>
            </w:r>
          </w:p>
          <w:p>
            <w:pPr>
              <w:spacing w:line="360" w:lineRule="auto"/>
              <w:ind w:left="0" w:leftChars="0"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2.1</w:t>
            </w:r>
            <w:r>
              <w:rPr>
                <w:rFonts w:hint="default" w:ascii="Times New Roman" w:hAnsi="Times New Roman" w:cs="Times New Roman"/>
                <w:b/>
                <w:bCs/>
                <w:color w:val="auto"/>
                <w:highlight w:val="none"/>
              </w:rPr>
              <w:t>废水产生情况</w:t>
            </w:r>
          </w:p>
          <w:p>
            <w:pPr>
              <w:adjustRightInd w:val="0"/>
              <w:snapToGrid w:val="0"/>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废水</w:t>
            </w:r>
            <w:r>
              <w:rPr>
                <w:rFonts w:hint="default" w:ascii="Times New Roman" w:hAnsi="Times New Roman" w:cs="Times New Roman"/>
                <w:color w:val="auto"/>
                <w:highlight w:val="none"/>
                <w:lang w:val="en-US" w:eastAsia="zh-CN"/>
              </w:rPr>
              <w:t>仅</w:t>
            </w:r>
            <w:r>
              <w:rPr>
                <w:rFonts w:hint="default" w:ascii="Times New Roman" w:hAnsi="Times New Roman" w:cs="Times New Roman"/>
                <w:color w:val="auto"/>
                <w:highlight w:val="none"/>
              </w:rPr>
              <w:t>为生活污水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食堂废水</w:t>
            </w:r>
            <w:r>
              <w:rPr>
                <w:rFonts w:hint="default" w:ascii="Times New Roman" w:hAnsi="Times New Roman" w:cs="Times New Roman"/>
                <w:color w:val="auto"/>
                <w:highlight w:val="none"/>
              </w:rPr>
              <w:t>。</w:t>
            </w:r>
          </w:p>
          <w:p>
            <w:pPr>
              <w:adjustRightInd w:val="0"/>
              <w:snapToGrid w:val="0"/>
              <w:ind w:left="0" w:leftChars="0" w:firstLine="480" w:firstLineChars="200"/>
              <w:rPr>
                <w:rFonts w:hint="eastAsia" w:ascii="Times New Roman" w:hAnsi="Times New Roman" w:eastAsia="宋体" w:cs="Times New Roman"/>
                <w:color w:val="auto"/>
                <w:highlight w:val="none"/>
                <w:lang w:eastAsia="zh-CN"/>
              </w:rPr>
            </w:pPr>
            <w:bookmarkStart w:id="8" w:name="OLE_LINK282"/>
            <w:r>
              <w:rPr>
                <w:rFonts w:hint="default" w:ascii="Times New Roman" w:hAnsi="Times New Roman" w:cs="Times New Roman"/>
                <w:snapToGrid w:val="0"/>
                <w:color w:val="auto"/>
                <w:kern w:val="0"/>
                <w:szCs w:val="22"/>
                <w:highlight w:val="none"/>
              </w:rPr>
              <w:t>生活污水量约</w:t>
            </w:r>
            <w:r>
              <w:rPr>
                <w:rFonts w:hint="default" w:ascii="Times New Roman" w:hAnsi="Times New Roman" w:cs="Times New Roman"/>
                <w:snapToGrid w:val="0"/>
                <w:color w:val="auto"/>
                <w:kern w:val="0"/>
                <w:szCs w:val="22"/>
                <w:highlight w:val="none"/>
                <w:lang w:val="en-US" w:eastAsia="zh-CN"/>
              </w:rPr>
              <w:t>4.25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/d，</w:t>
            </w:r>
            <w:r>
              <w:rPr>
                <w:rFonts w:hint="default" w:ascii="Times New Roman" w:hAnsi="Times New Roman" w:cs="Times New Roman"/>
                <w:snapToGrid w:val="0"/>
                <w:color w:val="auto"/>
                <w:kern w:val="0"/>
                <w:szCs w:val="22"/>
                <w:highlight w:val="none"/>
                <w:lang w:val="en-US" w:eastAsia="zh-CN"/>
              </w:rPr>
              <w:t>1275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/a。</w:t>
            </w:r>
            <w:r>
              <w:rPr>
                <w:rFonts w:hint="default" w:ascii="Times New Roman" w:hAnsi="Times New Roman" w:cs="Times New Roman"/>
                <w:color w:val="auto"/>
                <w:highlight w:val="none"/>
              </w:rPr>
              <w:t>生活污水按照用水量的80%计算，则污水产</w:t>
            </w:r>
            <w:r>
              <w:rPr>
                <w:rFonts w:hint="default" w:ascii="Times New Roman" w:hAnsi="Times New Roman" w:cs="Times New Roman"/>
                <w:bCs/>
                <w:color w:val="auto"/>
                <w:highlight w:val="none"/>
              </w:rPr>
              <w:t>生总量为</w:t>
            </w:r>
            <w:r>
              <w:rPr>
                <w:rFonts w:hint="default" w:ascii="Times New Roman" w:hAnsi="Times New Roman" w:cs="Times New Roman"/>
                <w:bCs/>
                <w:color w:val="auto"/>
                <w:highlight w:val="none"/>
                <w:lang w:val="en-US" w:eastAsia="zh-CN"/>
              </w:rPr>
              <w:t>3.4</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default" w:ascii="Times New Roman" w:hAnsi="Times New Roman" w:cs="Times New Roman"/>
                <w:bCs/>
                <w:color w:val="auto"/>
                <w:highlight w:val="none"/>
                <w:lang w:val="en-US" w:eastAsia="zh-CN"/>
              </w:rPr>
              <w:t>1015m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/a</w:t>
            </w:r>
            <w:r>
              <w:rPr>
                <w:rFonts w:hint="eastAsia" w:ascii="Times New Roman" w:hAnsi="Times New Roman" w:cs="Times New Roman"/>
                <w:color w:val="auto"/>
                <w:spacing w:val="-2"/>
                <w:highlight w:val="none"/>
                <w:lang w:eastAsia="zh-CN"/>
              </w:rPr>
              <w:t>。</w:t>
            </w:r>
            <w:r>
              <w:rPr>
                <w:rFonts w:hint="default" w:ascii="Times New Roman" w:hAnsi="Times New Roman" w:eastAsia="宋体" w:cs="Times New Roman"/>
                <w:color w:val="auto"/>
                <w:kern w:val="0"/>
                <w:sz w:val="24"/>
                <w:szCs w:val="24"/>
                <w:highlight w:val="none"/>
                <w:lang w:val="en-US" w:eastAsia="zh-CN" w:bidi="ar"/>
              </w:rPr>
              <w:t>食堂用水量为</w:t>
            </w:r>
            <w:r>
              <w:rPr>
                <w:rFonts w:hint="eastAsia" w:ascii="Times New Roman" w:hAnsi="Times New Roman" w:cs="Times New Roman"/>
                <w:snapToGrid w:val="0"/>
                <w:color w:val="auto"/>
                <w:kern w:val="0"/>
                <w:szCs w:val="22"/>
                <w:highlight w:val="none"/>
                <w:lang w:val="en-US" w:eastAsia="zh-CN"/>
              </w:rPr>
              <w:t>1.5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/d，</w:t>
            </w:r>
            <w:r>
              <w:rPr>
                <w:rFonts w:hint="default" w:ascii="Times New Roman" w:hAnsi="Times New Roman" w:eastAsia="宋体" w:cs="Times New Roman"/>
                <w:color w:val="auto"/>
                <w:kern w:val="0"/>
                <w:sz w:val="24"/>
                <w:szCs w:val="24"/>
                <w:highlight w:val="none"/>
                <w:lang w:val="en-US" w:eastAsia="zh-CN" w:bidi="ar"/>
              </w:rPr>
              <w:t>450</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/a</w:t>
            </w:r>
            <w:r>
              <w:rPr>
                <w:rFonts w:hint="eastAsia" w:ascii="Times New Roman" w:hAnsi="Times New Roman" w:cs="Times New Roman"/>
                <w:snapToGrid w:val="0"/>
                <w:color w:val="auto"/>
                <w:kern w:val="0"/>
                <w:szCs w:val="22"/>
                <w:highlight w:val="none"/>
                <w:lang w:eastAsia="zh-CN"/>
              </w:rPr>
              <w:t>，</w:t>
            </w:r>
            <w:r>
              <w:rPr>
                <w:rFonts w:hint="eastAsia" w:ascii="Times New Roman" w:hAnsi="Times New Roman" w:cs="Times New Roman"/>
                <w:bCs/>
                <w:color w:val="auto"/>
                <w:highlight w:val="none"/>
                <w:lang w:val="en-US" w:eastAsia="zh-CN"/>
              </w:rPr>
              <w:t>食堂废水</w:t>
            </w:r>
            <w:r>
              <w:rPr>
                <w:rFonts w:hint="default" w:ascii="Times New Roman" w:hAnsi="Times New Roman" w:cs="Times New Roman"/>
                <w:color w:val="auto"/>
                <w:highlight w:val="none"/>
              </w:rPr>
              <w:t>按照用水量的80%计算，</w:t>
            </w:r>
            <w:r>
              <w:rPr>
                <w:rFonts w:hint="eastAsia" w:ascii="Times New Roman" w:hAnsi="Times New Roman" w:cs="Times New Roman"/>
                <w:bCs/>
                <w:color w:val="auto"/>
                <w:highlight w:val="none"/>
                <w:lang w:val="en-US" w:eastAsia="zh-CN"/>
              </w:rPr>
              <w:t>食堂废水产生量为1.2</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eastAsia" w:ascii="Times New Roman" w:hAnsi="Times New Roman" w:cs="Times New Roman"/>
                <w:bCs/>
                <w:color w:val="auto"/>
                <w:highlight w:val="none"/>
                <w:lang w:val="en-US" w:eastAsia="zh-CN"/>
              </w:rPr>
              <w:t>360</w:t>
            </w:r>
            <w:r>
              <w:rPr>
                <w:rFonts w:hint="default" w:ascii="Times New Roman" w:hAnsi="Times New Roman" w:cs="Times New Roman"/>
                <w:bCs/>
                <w:color w:val="auto"/>
                <w:highlight w:val="none"/>
                <w:lang w:val="en-US" w:eastAsia="zh-CN"/>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/a</w:t>
            </w:r>
            <w:r>
              <w:rPr>
                <w:rFonts w:hint="default" w:ascii="Times New Roman" w:hAnsi="Times New Roman" w:cs="Times New Roman"/>
                <w:color w:val="auto"/>
                <w:spacing w:val="-2"/>
                <w:highlight w:val="none"/>
                <w:lang w:eastAsia="zh-CN"/>
              </w:rPr>
              <w:t>，</w:t>
            </w:r>
            <w:r>
              <w:rPr>
                <w:rFonts w:hint="eastAsia" w:ascii="Times New Roman" w:hAnsi="Times New Roman" w:cs="Times New Roman"/>
                <w:color w:val="auto"/>
                <w:highlight w:val="none"/>
                <w:lang w:val="en-US" w:eastAsia="zh-CN"/>
              </w:rPr>
              <w:t>食堂废水经隔油池处理后，与生活污水一同排入园区污水管网，最终进入轮台县新城区污水处理厂处理</w:t>
            </w:r>
            <w:r>
              <w:rPr>
                <w:rFonts w:hint="default" w:ascii="Times New Roman" w:hAnsi="Times New Roman" w:cs="Times New Roman"/>
                <w:color w:val="auto"/>
                <w:highlight w:val="none"/>
              </w:rPr>
              <w:t>。因此</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本项目总排口污水可视为生活污水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排放总</w:t>
            </w:r>
            <w:r>
              <w:rPr>
                <w:rFonts w:hint="default" w:ascii="Times New Roman" w:hAnsi="Times New Roman" w:cs="Times New Roman"/>
                <w:snapToGrid w:val="0"/>
                <w:color w:val="auto"/>
                <w:kern w:val="0"/>
                <w:szCs w:val="22"/>
                <w:highlight w:val="none"/>
              </w:rPr>
              <w:t>量</w:t>
            </w:r>
            <w:r>
              <w:rPr>
                <w:rFonts w:hint="eastAsia" w:ascii="Times New Roman" w:hAnsi="Times New Roman" w:cs="Times New Roman"/>
                <w:snapToGrid w:val="0"/>
                <w:color w:val="auto"/>
                <w:kern w:val="0"/>
                <w:szCs w:val="22"/>
                <w:highlight w:val="none"/>
                <w:lang w:val="en-US" w:eastAsia="zh-CN"/>
              </w:rPr>
              <w:t>为4.6</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/d，</w:t>
            </w:r>
            <w:r>
              <w:rPr>
                <w:rFonts w:hint="eastAsia" w:ascii="Times New Roman" w:hAnsi="Times New Roman" w:cs="Times New Roman"/>
                <w:snapToGrid w:val="0"/>
                <w:color w:val="auto"/>
                <w:kern w:val="0"/>
                <w:szCs w:val="22"/>
                <w:highlight w:val="none"/>
                <w:lang w:val="en-US" w:eastAsia="zh-CN"/>
              </w:rPr>
              <w:t>1375</w:t>
            </w:r>
            <w:r>
              <w:rPr>
                <w:rFonts w:hint="default" w:ascii="Times New Roman" w:hAnsi="Times New Roman" w:cs="Times New Roman"/>
                <w:snapToGrid w:val="0"/>
                <w:color w:val="auto"/>
                <w:kern w:val="0"/>
                <w:szCs w:val="22"/>
                <w:highlight w:val="none"/>
              </w:rPr>
              <w:t>m</w:t>
            </w:r>
            <w:r>
              <w:rPr>
                <w:rFonts w:hint="default" w:ascii="Times New Roman" w:hAnsi="Times New Roman" w:cs="Times New Roman"/>
                <w:snapToGrid w:val="0"/>
                <w:color w:val="auto"/>
                <w:kern w:val="0"/>
                <w:szCs w:val="22"/>
                <w:highlight w:val="none"/>
                <w:vertAlign w:val="superscript"/>
              </w:rPr>
              <w:t>3</w:t>
            </w:r>
            <w:r>
              <w:rPr>
                <w:rFonts w:hint="default" w:ascii="Times New Roman" w:hAnsi="Times New Roman" w:cs="Times New Roman"/>
                <w:snapToGrid w:val="0"/>
                <w:color w:val="auto"/>
                <w:kern w:val="0"/>
                <w:szCs w:val="22"/>
                <w:highlight w:val="none"/>
              </w:rPr>
              <w:t>/a。</w:t>
            </w:r>
          </w:p>
          <w:p>
            <w:pPr>
              <w:adjustRightInd w:val="0"/>
              <w:snapToGrid w:val="0"/>
              <w:ind w:left="0" w:leftChars="0" w:firstLine="480" w:firstLineChars="20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项目生活污水中主要污染物浓度和排放量见表4-</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2</w:t>
            </w:r>
            <w:r>
              <w:rPr>
                <w:rFonts w:hint="default" w:ascii="Times New Roman" w:hAnsi="Times New Roman" w:cs="Times New Roman"/>
                <w:color w:val="auto"/>
                <w:highlight w:val="none"/>
              </w:rPr>
              <w:t>。</w:t>
            </w:r>
          </w:p>
          <w:p>
            <w:pPr>
              <w:spacing w:line="240" w:lineRule="atLeast"/>
              <w:ind w:firstLine="482"/>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表4-</w:t>
            </w:r>
            <w:r>
              <w:rPr>
                <w:rFonts w:hint="default" w:ascii="Times New Roman" w:hAnsi="Times New Roman" w:cs="Times New Roman"/>
                <w:b/>
                <w:color w:val="auto"/>
                <w:kern w:val="0"/>
                <w:szCs w:val="21"/>
                <w:highlight w:val="none"/>
                <w:lang w:val="en-US" w:eastAsia="zh-CN"/>
              </w:rPr>
              <w:t>2</w:t>
            </w:r>
            <w:r>
              <w:rPr>
                <w:rFonts w:hint="eastAsia" w:cs="Times New Roman"/>
                <w:b/>
                <w:color w:val="auto"/>
                <w:kern w:val="0"/>
                <w:szCs w:val="21"/>
                <w:highlight w:val="none"/>
                <w:lang w:val="en-US" w:eastAsia="zh-CN"/>
              </w:rPr>
              <w:t>2</w:t>
            </w:r>
            <w:r>
              <w:rPr>
                <w:rFonts w:hint="default" w:ascii="Times New Roman" w:hAnsi="Times New Roman" w:cs="Times New Roman"/>
                <w:b/>
                <w:color w:val="auto"/>
                <w:kern w:val="0"/>
                <w:szCs w:val="21"/>
                <w:highlight w:val="none"/>
                <w:lang w:val="en-US" w:eastAsia="zh-CN"/>
              </w:rPr>
              <w:t xml:space="preserve">   </w:t>
            </w:r>
            <w:r>
              <w:rPr>
                <w:rFonts w:hint="default" w:ascii="Times New Roman" w:hAnsi="Times New Roman" w:cs="Times New Roman"/>
                <w:b/>
                <w:color w:val="auto"/>
                <w:kern w:val="0"/>
                <w:szCs w:val="21"/>
                <w:highlight w:val="none"/>
              </w:rPr>
              <w:t>生活污水污染物排放一览表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426"/>
              <w:gridCol w:w="2019"/>
              <w:gridCol w:w="1932"/>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457"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污水</w:t>
                  </w:r>
                  <w:r>
                    <w:rPr>
                      <w:rFonts w:hint="default" w:ascii="Times New Roman" w:hAnsi="Times New Roman" w:cs="Times New Roman"/>
                      <w:b/>
                      <w:bCs/>
                      <w:color w:val="auto"/>
                      <w:kern w:val="0"/>
                      <w:sz w:val="21"/>
                      <w:szCs w:val="21"/>
                      <w:highlight w:val="none"/>
                      <w:lang w:val="en-US" w:eastAsia="zh-CN"/>
                    </w:rPr>
                    <w:t>产生</w:t>
                  </w:r>
                  <w:r>
                    <w:rPr>
                      <w:rFonts w:hint="default" w:ascii="Times New Roman" w:hAnsi="Times New Roman" w:cs="Times New Roman"/>
                      <w:b/>
                      <w:bCs/>
                      <w:color w:val="auto"/>
                      <w:kern w:val="0"/>
                      <w:sz w:val="21"/>
                      <w:szCs w:val="21"/>
                      <w:highlight w:val="none"/>
                    </w:rPr>
                    <w:t>量</w:t>
                  </w: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污染物名称</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产生浓度（mg/L）</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执行标准（mg/L）</w:t>
                  </w:r>
                </w:p>
              </w:tc>
              <w:tc>
                <w:tcPr>
                  <w:tcW w:w="1558"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产生量（</w:t>
                  </w:r>
                  <w:r>
                    <w:rPr>
                      <w:rFonts w:hint="default" w:ascii="Times New Roman" w:hAnsi="Times New Roman" w:cs="Times New Roman"/>
                      <w:b/>
                      <w:bCs/>
                      <w:color w:val="auto"/>
                      <w:sz w:val="21"/>
                      <w:szCs w:val="21"/>
                      <w:highlight w:val="none"/>
                      <w:lang w:val="en-US" w:eastAsia="zh-CN"/>
                    </w:rPr>
                    <w:t>t/a</w:t>
                  </w:r>
                  <w:r>
                    <w:rPr>
                      <w:rFonts w:hint="default" w:ascii="Times New Roman" w:hAnsi="Times New Roman" w:cs="Times New Roman"/>
                      <w:b/>
                      <w:bCs/>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57" w:type="dxa"/>
                  <w:vMerge w:val="restart"/>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1375</w:t>
                  </w:r>
                  <w:r>
                    <w:rPr>
                      <w:rFonts w:hint="default" w:ascii="Times New Roman" w:hAnsi="Times New Roman" w:cs="Times New Roman"/>
                      <w:color w:val="auto"/>
                      <w:kern w:val="0"/>
                      <w:sz w:val="21"/>
                      <w:szCs w:val="21"/>
                      <w:highlight w:val="none"/>
                      <w:lang w:val="en-US" w:eastAsia="zh-CN"/>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COD</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400</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500</w:t>
                  </w:r>
                </w:p>
              </w:tc>
              <w:tc>
                <w:tcPr>
                  <w:tcW w:w="1558" w:type="dxa"/>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7" w:hRule="atLeast"/>
                <w:jc w:val="center"/>
              </w:trPr>
              <w:tc>
                <w:tcPr>
                  <w:tcW w:w="1457" w:type="dxa"/>
                  <w:vMerge w:val="continue"/>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BOD</w:t>
                  </w:r>
                  <w:r>
                    <w:rPr>
                      <w:rFonts w:hint="default" w:ascii="Times New Roman" w:hAnsi="Times New Roman" w:cs="Times New Roman"/>
                      <w:color w:val="auto"/>
                      <w:kern w:val="0"/>
                      <w:sz w:val="21"/>
                      <w:szCs w:val="21"/>
                      <w:highlight w:val="none"/>
                      <w:vertAlign w:val="subscript"/>
                    </w:rPr>
                    <w:t>5</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300</w:t>
                  </w:r>
                </w:p>
              </w:tc>
              <w:tc>
                <w:tcPr>
                  <w:tcW w:w="1558" w:type="dxa"/>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57" w:type="dxa"/>
                  <w:vMerge w:val="continue"/>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SS</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400</w:t>
                  </w:r>
                </w:p>
              </w:tc>
              <w:tc>
                <w:tcPr>
                  <w:tcW w:w="1558" w:type="dxa"/>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57" w:type="dxa"/>
                  <w:vMerge w:val="continue"/>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NH</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-N</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1558" w:type="dxa"/>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0.04125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57" w:type="dxa"/>
                  <w:vMerge w:val="continue"/>
                  <w:vAlign w:val="center"/>
                </w:tcPr>
                <w:p>
                  <w:pPr>
                    <w:adjustRightInd w:val="0"/>
                    <w:snapToGrid w:val="0"/>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1426"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动植物油</w:t>
                  </w:r>
                </w:p>
              </w:tc>
              <w:tc>
                <w:tcPr>
                  <w:tcW w:w="2019"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60</w:t>
                  </w:r>
                </w:p>
              </w:tc>
              <w:tc>
                <w:tcPr>
                  <w:tcW w:w="1932" w:type="dxa"/>
                  <w:vAlign w:val="center"/>
                </w:tcPr>
                <w:p>
                  <w:pPr>
                    <w:adjustRightInd w:val="0"/>
                    <w:snapToGrid w:val="0"/>
                    <w:spacing w:line="240" w:lineRule="auto"/>
                    <w:ind w:left="-120" w:leftChars="-50" w:right="-120" w:rightChars="-5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100</w:t>
                  </w:r>
                </w:p>
              </w:tc>
              <w:tc>
                <w:tcPr>
                  <w:tcW w:w="1558" w:type="dxa"/>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0.0825</w:t>
                  </w:r>
                </w:p>
              </w:tc>
            </w:tr>
            <w:bookmarkEnd w:id="8"/>
          </w:tbl>
          <w:p>
            <w:pPr>
              <w:pStyle w:val="5"/>
              <w:adjustRightInd w:val="0"/>
              <w:snapToGrid w:val="0"/>
              <w:spacing w:before="0" w:after="0"/>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Hans"/>
              </w:rPr>
              <w:t>.2</w:t>
            </w:r>
            <w:r>
              <w:rPr>
                <w:rFonts w:hint="default" w:ascii="Times New Roman" w:hAnsi="Times New Roman" w:cs="Times New Roman"/>
                <w:color w:val="auto"/>
                <w:highlight w:val="none"/>
              </w:rPr>
              <w:t>依托园区污水处理厂可行性分析</w:t>
            </w:r>
          </w:p>
          <w:p>
            <w:pPr>
              <w:adjustRightInd w:val="0"/>
              <w:snapToGrid w:val="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排入</w:t>
            </w:r>
            <w:r>
              <w:rPr>
                <w:rFonts w:hint="default" w:ascii="Times New Roman" w:hAnsi="Times New Roman" w:cs="Times New Roman"/>
                <w:color w:val="auto"/>
                <w:spacing w:val="-1"/>
                <w:highlight w:val="none"/>
              </w:rPr>
              <w:t>园区</w:t>
            </w:r>
            <w:r>
              <w:rPr>
                <w:rFonts w:hint="default" w:ascii="Times New Roman" w:hAnsi="Times New Roman" w:cs="Times New Roman"/>
                <w:color w:val="auto"/>
                <w:spacing w:val="-1"/>
                <w:highlight w:val="none"/>
                <w:lang w:val="en-US" w:eastAsia="zh-CN"/>
              </w:rPr>
              <w:t>污水管网</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最终进入</w:t>
            </w:r>
            <w:r>
              <w:rPr>
                <w:rFonts w:hint="default" w:ascii="Times New Roman" w:hAnsi="Times New Roman" w:cs="Times New Roman"/>
                <w:bCs/>
                <w:color w:val="auto"/>
                <w:highlight w:val="none"/>
                <w:lang w:eastAsia="zh-CN"/>
              </w:rPr>
              <w:t>轮台县新城区污水处理厂</w:t>
            </w:r>
            <w:r>
              <w:rPr>
                <w:rFonts w:hint="default" w:ascii="Times New Roman" w:hAnsi="Times New Roman" w:cs="Times New Roman"/>
                <w:bCs/>
                <w:color w:val="auto"/>
                <w:highlight w:val="none"/>
              </w:rPr>
              <w:t>处理</w:t>
            </w:r>
            <w:r>
              <w:rPr>
                <w:rFonts w:hint="default" w:ascii="Times New Roman" w:hAnsi="Times New Roman" w:cs="Times New Roman"/>
                <w:color w:val="auto"/>
                <w:highlight w:val="none"/>
              </w:rPr>
              <w:t>。</w:t>
            </w:r>
          </w:p>
          <w:p>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轮台县新城区污水处理厂位于轮台县南环路以南5km处,中心地理坐标为东经84°19'47"，北纬41°4704"。污水处理厂设计处理规模为1万m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工艺采用改良型氧化沟+生物滤池工艺，出水满足《城镇污水处理厂污染物排放标准》(GB18918-2002)中一级A标准后排入污水处理厂南侧灌溉荒漠植被。轮台县新城区污水处理厂于2010年2月4日取得了新疆维吾尔自治区环境保护厅出具的《关于轮台县新城区南环路污水处理厂建设工程环境影响报告表的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新环评审函</w:t>
            </w:r>
            <w:r>
              <w:rPr>
                <w:rFonts w:hint="default" w:ascii="Times New Roman" w:hAnsi="Times New Roman" w:cs="Times New Roman"/>
                <w:color w:val="auto"/>
                <w:highlight w:val="none"/>
                <w:lang w:eastAsia="zh-CN"/>
              </w:rPr>
              <w:t>〔2010〕15号）</w:t>
            </w:r>
            <w:r>
              <w:rPr>
                <w:rFonts w:hint="default" w:ascii="Times New Roman" w:hAnsi="Times New Roman" w:cs="Times New Roman"/>
                <w:color w:val="auto"/>
                <w:highlight w:val="none"/>
              </w:rPr>
              <w:t>，2018年8月进行了自主竣工环境保护验收。2019年6月13日取得排污许可证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证书编号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91652822754587338B001Y</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污水处理厂设计处理能力为1万m/d，目前实际进水量为4000-5000m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/d。本项目</w:t>
            </w:r>
            <w:r>
              <w:rPr>
                <w:rFonts w:hint="default" w:ascii="Times New Roman" w:hAnsi="Times New Roman" w:cs="Times New Roman"/>
                <w:color w:val="auto"/>
                <w:highlight w:val="none"/>
                <w:lang w:val="en-US" w:eastAsia="zh-CN"/>
              </w:rPr>
              <w:t>生活污水</w:t>
            </w:r>
            <w:r>
              <w:rPr>
                <w:rFonts w:hint="default" w:ascii="Times New Roman" w:hAnsi="Times New Roman" w:cs="Times New Roman"/>
                <w:color w:val="auto"/>
                <w:highlight w:val="none"/>
              </w:rPr>
              <w:t>排放量为</w:t>
            </w:r>
            <w:r>
              <w:rPr>
                <w:rFonts w:hint="eastAsia" w:ascii="Times New Roman" w:hAnsi="Times New Roman" w:cs="Times New Roman"/>
                <w:color w:val="auto"/>
                <w:highlight w:val="none"/>
                <w:lang w:val="en-US" w:eastAsia="zh-CN"/>
              </w:rPr>
              <w:t>4.6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/d，能够容纳本项目的</w:t>
            </w:r>
            <w:r>
              <w:rPr>
                <w:rFonts w:hint="default" w:ascii="Times New Roman" w:hAnsi="Times New Roman" w:cs="Times New Roman"/>
                <w:color w:val="auto"/>
                <w:highlight w:val="none"/>
                <w:lang w:val="en-US" w:eastAsia="zh-CN"/>
              </w:rPr>
              <w:t>污水量，</w:t>
            </w:r>
            <w:r>
              <w:rPr>
                <w:rFonts w:hint="default" w:ascii="Times New Roman" w:hAnsi="Times New Roman" w:cs="Times New Roman"/>
                <w:color w:val="auto"/>
                <w:kern w:val="0"/>
                <w:highlight w:val="none"/>
                <w:lang w:bidi="ar"/>
              </w:rPr>
              <w:t>项目所排</w:t>
            </w:r>
            <w:r>
              <w:rPr>
                <w:rFonts w:hint="default" w:ascii="Times New Roman" w:hAnsi="Times New Roman" w:cs="Times New Roman"/>
                <w:color w:val="auto"/>
                <w:kern w:val="0"/>
                <w:highlight w:val="none"/>
                <w:lang w:val="en-US" w:eastAsia="zh-CN" w:bidi="ar"/>
              </w:rPr>
              <w:t>污水</w:t>
            </w:r>
            <w:r>
              <w:rPr>
                <w:rFonts w:hint="default" w:ascii="Times New Roman" w:hAnsi="Times New Roman" w:cs="Times New Roman"/>
                <w:color w:val="auto"/>
                <w:kern w:val="0"/>
                <w:highlight w:val="none"/>
                <w:lang w:bidi="ar"/>
              </w:rPr>
              <w:t>量较小，依托可行</w:t>
            </w:r>
            <w:r>
              <w:rPr>
                <w:rFonts w:hint="default" w:ascii="Times New Roman" w:hAnsi="Times New Roman" w:cs="Times New Roman"/>
                <w:color w:val="auto"/>
                <w:highlight w:val="none"/>
              </w:rPr>
              <w:t>。</w:t>
            </w:r>
          </w:p>
          <w:p>
            <w:pPr>
              <w:adjustRightInd w:val="0"/>
              <w:snapToGrid w:val="0"/>
              <w:ind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highlight w:val="none"/>
              </w:rPr>
              <w:t>综上所述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本项目在采取上述</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highlight w:val="none"/>
              </w:rPr>
              <w:t>处理措施后，满足相关环保要求，因此项目建设对水环境影响很小</w:t>
            </w:r>
            <w:r>
              <w:rPr>
                <w:rFonts w:hint="default" w:ascii="Times New Roman" w:hAnsi="Times New Roman" w:cs="Times New Roman"/>
                <w:color w:val="auto"/>
                <w:kern w:val="0"/>
                <w:highlight w:val="none"/>
                <w:lang w:bidi="ar"/>
              </w:rPr>
              <w:t>。</w:t>
            </w:r>
          </w:p>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w:t>
            </w:r>
            <w:r>
              <w:rPr>
                <w:rFonts w:hint="default" w:ascii="Times New Roman" w:hAnsi="Times New Roman" w:cs="Times New Roman"/>
                <w:color w:val="auto"/>
                <w:highlight w:val="none"/>
              </w:rPr>
              <w:t>噪声</w:t>
            </w:r>
            <w:r>
              <w:rPr>
                <w:rFonts w:hint="default" w:ascii="Times New Roman" w:hAnsi="Times New Roman" w:cs="Times New Roman"/>
                <w:color w:val="auto"/>
                <w:szCs w:val="21"/>
                <w:highlight w:val="none"/>
              </w:rPr>
              <w:t>环境影响及保护措施</w:t>
            </w:r>
          </w:p>
          <w:p>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3.1噪声源强情况</w:t>
            </w:r>
          </w:p>
          <w:p>
            <w:pPr>
              <w:pStyle w:val="48"/>
              <w:shd w:val="clear"/>
              <w:bidi w:val="0"/>
              <w:spacing w:line="360" w:lineRule="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根据建设单位提供的资料及声源调查，本项目营运期的噪声主要为设备噪声，生产所用的主要设备是开卷矫平线、</w:t>
            </w:r>
            <w:r>
              <w:rPr>
                <w:rFonts w:hint="eastAsia" w:ascii="Times New Roman" w:hAnsi="Times New Roman" w:cs="Times New Roman"/>
                <w:color w:val="auto"/>
                <w:sz w:val="24"/>
                <w:szCs w:val="24"/>
                <w:highlight w:val="none"/>
                <w:lang w:val="en-US" w:eastAsia="zh-CN"/>
              </w:rPr>
              <w:t>压瓦机</w:t>
            </w:r>
            <w:r>
              <w:rPr>
                <w:rFonts w:hint="default" w:ascii="Times New Roman" w:hAnsi="Times New Roman" w:cs="Times New Roman"/>
                <w:color w:val="auto"/>
                <w:sz w:val="24"/>
                <w:szCs w:val="24"/>
                <w:highlight w:val="none"/>
                <w:lang w:val="en-US" w:eastAsia="zh-CN"/>
              </w:rPr>
              <w:t>、光纤激光切割机、数控液压折弯机、激光焊接机、气保焊机、自动化喷涂流水线、喷砂机、电动单梁起重机、龙门式起重机、液压式剪板机</w:t>
            </w:r>
            <w:r>
              <w:rPr>
                <w:rFonts w:hint="eastAsia" w:ascii="Times New Roman" w:hAnsi="Times New Roman" w:cs="Times New Roman"/>
                <w:color w:val="auto"/>
                <w:sz w:val="24"/>
                <w:szCs w:val="24"/>
                <w:highlight w:val="none"/>
                <w:lang w:val="en-US" w:eastAsia="zh-CN"/>
              </w:rPr>
              <w:t>、环保设备风机</w:t>
            </w:r>
            <w:r>
              <w:rPr>
                <w:rFonts w:hint="default" w:ascii="Times New Roman" w:hAnsi="Times New Roman" w:cs="Times New Roman"/>
                <w:color w:val="auto"/>
                <w:sz w:val="24"/>
                <w:szCs w:val="24"/>
                <w:highlight w:val="none"/>
                <w:lang w:val="en-US" w:eastAsia="zh-CN"/>
              </w:rPr>
              <w:t>等，主要设备的噪声级70～90dB（A）左右。设备产生的噪声源强见表4-2</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p>
          <w:p>
            <w:pPr>
              <w:shd w:val="clear"/>
              <w:spacing w:line="240" w:lineRule="atLeast"/>
              <w:ind w:firstLine="482"/>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表4-</w:t>
            </w:r>
            <w:r>
              <w:rPr>
                <w:rFonts w:hint="default" w:ascii="Times New Roman" w:hAnsi="Times New Roman" w:cs="Times New Roman"/>
                <w:b/>
                <w:color w:val="auto"/>
                <w:kern w:val="0"/>
                <w:szCs w:val="21"/>
                <w:highlight w:val="none"/>
                <w:lang w:val="en-US" w:eastAsia="zh-CN"/>
              </w:rPr>
              <w:t>2</w:t>
            </w:r>
            <w:r>
              <w:rPr>
                <w:rFonts w:hint="eastAsia"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lang w:val="en-US" w:eastAsia="zh-CN"/>
              </w:rPr>
              <w:t xml:space="preserve">  </w:t>
            </w:r>
            <w:r>
              <w:rPr>
                <w:rFonts w:hint="default" w:ascii="Times New Roman" w:hAnsi="Times New Roman" w:cs="Times New Roman"/>
                <w:b/>
                <w:color w:val="auto"/>
                <w:kern w:val="0"/>
                <w:szCs w:val="21"/>
                <w:highlight w:val="none"/>
              </w:rPr>
              <w:t>设备噪声值表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432"/>
              <w:gridCol w:w="1819"/>
              <w:gridCol w:w="542"/>
              <w:gridCol w:w="929"/>
              <w:gridCol w:w="955"/>
              <w:gridCol w:w="660"/>
              <w:gridCol w:w="627"/>
              <w:gridCol w:w="550"/>
              <w:gridCol w:w="555"/>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266"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257"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建筑物名称</w:t>
                  </w:r>
                </w:p>
              </w:tc>
              <w:tc>
                <w:tcPr>
                  <w:tcW w:w="1085"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323"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554" w:type="pc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w:t>
                  </w:r>
                </w:p>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源强</w:t>
                  </w:r>
                </w:p>
              </w:tc>
              <w:tc>
                <w:tcPr>
                  <w:tcW w:w="569"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声源控制措施</w:t>
                  </w:r>
                </w:p>
              </w:tc>
              <w:tc>
                <w:tcPr>
                  <w:tcW w:w="1096" w:type="pct"/>
                  <w:gridSpan w:val="3"/>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331"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运行时段</w:t>
                  </w:r>
                </w:p>
              </w:tc>
              <w:tc>
                <w:tcPr>
                  <w:tcW w:w="515" w:type="pct"/>
                  <w:vMerge w:val="restart"/>
                  <w:shd w:val="clear" w:color="auto" w:fill="auto"/>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建筑物插入损失/dB</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23"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声功率级/dB</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328"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1</w:t>
                  </w:r>
                </w:p>
              </w:tc>
              <w:tc>
                <w:tcPr>
                  <w:tcW w:w="257" w:type="pct"/>
                  <w:vMerge w:val="restar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w:t>
                  </w:r>
                </w:p>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w:t>
                  </w: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开卷矫平线</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85</w:t>
                  </w:r>
                </w:p>
              </w:tc>
              <w:tc>
                <w:tcPr>
                  <w:tcW w:w="569" w:type="pct"/>
                  <w:vMerge w:val="restar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优先选用低噪声设备，基础减振，车间隔声，加强保养</w:t>
                  </w: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-48.13</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164.48</w:t>
                  </w:r>
                </w:p>
              </w:tc>
              <w:tc>
                <w:tcPr>
                  <w:tcW w:w="328"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restar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昼间</w:t>
                  </w: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压瓦机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-45.27</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159.33</w:t>
                  </w:r>
                </w:p>
              </w:tc>
              <w:tc>
                <w:tcPr>
                  <w:tcW w:w="328"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3</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光纤激光切割机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cs="Times New Roman"/>
                      <w:color w:val="auto"/>
                      <w:kern w:val="2"/>
                      <w:sz w:val="21"/>
                      <w:szCs w:val="21"/>
                      <w:highlight w:val="none"/>
                      <w:u w:val="none"/>
                      <w:lang w:val="en-US" w:eastAsia="zh-CN" w:bidi="ar"/>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80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-42.69</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155.10</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4</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数控液压折弯机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80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-40.82</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151.51</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激光焊接机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-41.40</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148.78</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气保焊机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-38.17</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148.85</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9"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自动化喷涂流水线</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36.86</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194.71</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cs="Times New Roman"/>
                      <w:color w:val="auto"/>
                      <w:kern w:val="2"/>
                      <w:sz w:val="21"/>
                      <w:szCs w:val="21"/>
                      <w:highlight w:val="none"/>
                      <w:u w:val="none"/>
                      <w:lang w:val="en-US" w:eastAsia="zh-CN" w:bidi="ar"/>
                    </w:rPr>
                    <w:t>喷砂机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-35.36</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143.43</w:t>
                  </w:r>
                </w:p>
              </w:tc>
              <w:tc>
                <w:tcPr>
                  <w:tcW w:w="328"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电动单梁起重机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-35.28</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131.27</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龙门式起重机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45.58</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175.45</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液压式剪板机</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-37.13</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161.28</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w:t>
                  </w:r>
                </w:p>
              </w:tc>
              <w:tc>
                <w:tcPr>
                  <w:tcW w:w="257" w:type="pct"/>
                  <w:vMerge w:val="restar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室外</w:t>
                  </w: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环保设备风机1</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w:t>
                  </w:r>
                </w:p>
              </w:tc>
              <w:tc>
                <w:tcPr>
                  <w:tcW w:w="569" w:type="pct"/>
                  <w:vMerge w:val="restar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优先选用低噪声设备，基础减振</w:t>
                  </w: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-74.68</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155.00</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13</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环保设备风机2</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-18.22</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24.66</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66"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14</w:t>
                  </w:r>
                </w:p>
              </w:tc>
              <w:tc>
                <w:tcPr>
                  <w:tcW w:w="257"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1085"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环保设备风机3</w:t>
                  </w:r>
                </w:p>
              </w:tc>
              <w:tc>
                <w:tcPr>
                  <w:tcW w:w="323" w:type="pct"/>
                  <w:shd w:val="clear" w:color="auto" w:fill="auto"/>
                  <w:tcMar>
                    <w:top w:w="0" w:type="dxa"/>
                    <w:left w:w="0" w:type="dxa"/>
                    <w:bottom w:w="0" w:type="dxa"/>
                    <w:right w:w="0" w:type="dxa"/>
                  </w:tcMar>
                  <w:vAlign w:val="center"/>
                </w:tcPr>
                <w:p>
                  <w:pPr>
                    <w:widowControl/>
                    <w:shd w:val="clear"/>
                    <w:adjustRightInd w:val="0"/>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4"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w:t>
                  </w:r>
                </w:p>
              </w:tc>
              <w:tc>
                <w:tcPr>
                  <w:tcW w:w="569"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93"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59.42</w:t>
                  </w:r>
                </w:p>
              </w:tc>
              <w:tc>
                <w:tcPr>
                  <w:tcW w:w="374" w:type="pct"/>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24.66</w:t>
                  </w:r>
                </w:p>
              </w:tc>
              <w:tc>
                <w:tcPr>
                  <w:tcW w:w="328" w:type="pct"/>
                  <w:shd w:val="clear" w:color="auto" w:fill="auto"/>
                  <w:tcMar>
                    <w:top w:w="0" w:type="dxa"/>
                    <w:left w:w="0" w:type="dxa"/>
                    <w:bottom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31" w:type="pct"/>
                  <w:vMerge w:val="continue"/>
                  <w:shd w:val="clear" w:color="auto" w:fill="auto"/>
                  <w:tcMar>
                    <w:top w:w="0" w:type="dxa"/>
                    <w:left w:w="0" w:type="dxa"/>
                    <w:bottom w:w="0" w:type="dxa"/>
                    <w:right w:w="0" w:type="dxa"/>
                  </w:tcMar>
                  <w:vAlign w:val="center"/>
                </w:tcPr>
                <w:p>
                  <w:pPr>
                    <w:pStyle w:val="38"/>
                    <w:keepNext w:val="0"/>
                    <w:keepLines w:val="0"/>
                    <w:pageBreakBefore w:val="0"/>
                    <w:widowControl w:val="0"/>
                    <w:suppressLineNumbers w:val="0"/>
                    <w:shd w:val="clear"/>
                    <w:tabs>
                      <w:tab w:val="left" w:pos="270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15" w:type="pct"/>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000" w:type="pct"/>
                  <w:gridSpan w:val="11"/>
                  <w:shd w:val="clear" w:color="auto" w:fill="auto"/>
                  <w:tcMar>
                    <w:top w:w="0" w:type="dxa"/>
                    <w:left w:w="0" w:type="dxa"/>
                    <w:bottom w:w="0" w:type="dxa"/>
                    <w:right w:w="0" w:type="dxa"/>
                  </w:tcMar>
                  <w:vAlign w:val="center"/>
                </w:tcPr>
                <w:p>
                  <w:pPr>
                    <w:pStyle w:val="38"/>
                    <w:shd w:val="clear"/>
                    <w:tabs>
                      <w:tab w:val="left" w:pos="2700"/>
                    </w:tabs>
                    <w:adjustRightInd w:val="0"/>
                    <w:snapToGrid w:val="0"/>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备注：本次原点位于厂界东南角，地理位置坐标：84.29999511</w:t>
                  </w:r>
                  <w:r>
                    <w:rPr>
                      <w:rFonts w:hint="default" w:ascii="Times New Roman" w:hAnsi="Times New Roman" w:cs="Times New Roman"/>
                      <w:b w:val="0"/>
                      <w:bCs/>
                      <w:color w:val="auto"/>
                      <w:sz w:val="21"/>
                      <w:szCs w:val="21"/>
                      <w:highlight w:val="none"/>
                    </w:rPr>
                    <w:t>°</w:t>
                  </w:r>
                  <w:r>
                    <w:rPr>
                      <w:rFonts w:hint="default" w:ascii="Times New Roman" w:hAnsi="Times New Roman" w:cs="Times New Roman"/>
                      <w:color w:val="auto"/>
                      <w:highlight w:val="none"/>
                      <w:lang w:val="en-US" w:eastAsia="zh-CN"/>
                    </w:rPr>
                    <w:t>，41.7801472</w:t>
                  </w:r>
                  <w:r>
                    <w:rPr>
                      <w:rFonts w:hint="default" w:ascii="Times New Roman" w:hAnsi="Times New Roman" w:cs="Times New Roman"/>
                      <w:b w:val="0"/>
                      <w:bCs/>
                      <w:color w:val="auto"/>
                      <w:sz w:val="21"/>
                      <w:szCs w:val="21"/>
                      <w:highlight w:val="none"/>
                    </w:rPr>
                    <w:t>°</w:t>
                  </w:r>
                </w:p>
              </w:tc>
            </w:tr>
          </w:tbl>
          <w:p>
            <w:pPr>
              <w:autoSpaceDE w:val="0"/>
              <w:autoSpaceDN w:val="0"/>
              <w:ind w:left="0" w:leftChars="0"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3.2</w:t>
            </w:r>
            <w:r>
              <w:rPr>
                <w:rFonts w:hint="default" w:ascii="Times New Roman" w:hAnsi="Times New Roman" w:cs="Times New Roman"/>
                <w:b/>
                <w:color w:val="auto"/>
                <w:spacing w:val="-10"/>
                <w:highlight w:val="none"/>
              </w:rPr>
              <w:t>影响分析及防治措施</w:t>
            </w:r>
          </w:p>
          <w:p>
            <w:pPr>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（1）评价执行标准</w:t>
            </w:r>
          </w:p>
          <w:p>
            <w:pPr>
              <w:ind w:firstLine="48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本项目四周</w:t>
            </w:r>
            <w:r>
              <w:rPr>
                <w:rFonts w:hint="default" w:ascii="Times New Roman" w:hAnsi="Times New Roman" w:cs="Times New Roman"/>
                <w:color w:val="auto"/>
                <w:szCs w:val="21"/>
                <w:highlight w:val="none"/>
              </w:rPr>
              <w:t>厂界噪声排放执行《工业企业厂界环境噪声排放标准》（GB12348-2008）中的3类标准。</w:t>
            </w:r>
          </w:p>
          <w:p>
            <w:pPr>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（2）预测结果</w:t>
            </w:r>
          </w:p>
          <w:p>
            <w:pPr>
              <w:pStyle w:val="49"/>
              <w:adjustRightInd w:val="0"/>
              <w:snapToGrid w:val="0"/>
              <w:spacing w:line="24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本项目厂界噪声贡献值</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单位dB（A）</w:t>
            </w:r>
          </w:p>
          <w:tbl>
            <w:tblPr>
              <w:tblStyle w:val="22"/>
              <w:tblW w:w="496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429"/>
              <w:gridCol w:w="1397"/>
              <w:gridCol w:w="1315"/>
              <w:gridCol w:w="1200"/>
              <w:gridCol w:w="1060"/>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序号</w:t>
                  </w:r>
                </w:p>
              </w:tc>
              <w:tc>
                <w:tcPr>
                  <w:tcW w:w="85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预测点位置</w:t>
                  </w:r>
                </w:p>
              </w:tc>
              <w:tc>
                <w:tcPr>
                  <w:tcW w:w="837"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昼间贡献值</w:t>
                  </w:r>
                </w:p>
              </w:tc>
              <w:tc>
                <w:tcPr>
                  <w:tcW w:w="788"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夜间贡献值</w:t>
                  </w:r>
                </w:p>
              </w:tc>
              <w:tc>
                <w:tcPr>
                  <w:tcW w:w="71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标准值</w:t>
                  </w: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昼间</w:t>
                  </w:r>
                </w:p>
              </w:tc>
              <w:tc>
                <w:tcPr>
                  <w:tcW w:w="635"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标准值</w:t>
                  </w: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夜间</w:t>
                  </w:r>
                </w:p>
              </w:tc>
              <w:tc>
                <w:tcPr>
                  <w:tcW w:w="77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5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东厂界</w:t>
                  </w:r>
                </w:p>
              </w:tc>
              <w:tc>
                <w:tcPr>
                  <w:tcW w:w="837" w:type="pct"/>
                  <w:tcBorders>
                    <w:tl2br w:val="nil"/>
                    <w:tr2bl w:val="nil"/>
                  </w:tcBorders>
                  <w:noWrap w:val="0"/>
                  <w:vAlign w:val="center"/>
                </w:tcPr>
                <w:p>
                  <w:pPr>
                    <w:pStyle w:val="50"/>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57.4</w:t>
                  </w:r>
                </w:p>
              </w:tc>
              <w:tc>
                <w:tcPr>
                  <w:tcW w:w="788" w:type="pct"/>
                  <w:tcBorders>
                    <w:tl2br w:val="nil"/>
                    <w:tr2bl w:val="nil"/>
                  </w:tcBorders>
                  <w:noWrap w:val="0"/>
                  <w:vAlign w:val="center"/>
                </w:tcPr>
                <w:p>
                  <w:pPr>
                    <w:pStyle w:val="50"/>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9" w:type="pct"/>
                  <w:vMerge w:val="restar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635" w:type="pct"/>
                  <w:vMerge w:val="restar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7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5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南厂界</w:t>
                  </w:r>
                </w:p>
              </w:tc>
              <w:tc>
                <w:tcPr>
                  <w:tcW w:w="837" w:type="pct"/>
                  <w:tcBorders>
                    <w:tl2br w:val="nil"/>
                    <w:tr2bl w:val="nil"/>
                  </w:tcBorders>
                  <w:noWrap w:val="0"/>
                  <w:vAlign w:val="center"/>
                </w:tcPr>
                <w:p>
                  <w:pPr>
                    <w:pStyle w:val="50"/>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59.6</w:t>
                  </w:r>
                </w:p>
              </w:tc>
              <w:tc>
                <w:tcPr>
                  <w:tcW w:w="788" w:type="pct"/>
                  <w:tcBorders>
                    <w:tl2br w:val="nil"/>
                    <w:tr2bl w:val="nil"/>
                  </w:tcBorders>
                  <w:noWrap w:val="0"/>
                  <w:vAlign w:val="center"/>
                </w:tcPr>
                <w:p>
                  <w:pPr>
                    <w:pStyle w:val="50"/>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9"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635"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77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85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西厂界</w:t>
                  </w:r>
                </w:p>
              </w:tc>
              <w:tc>
                <w:tcPr>
                  <w:tcW w:w="837" w:type="pct"/>
                  <w:tcBorders>
                    <w:tl2br w:val="nil"/>
                    <w:tr2bl w:val="nil"/>
                  </w:tcBorders>
                  <w:noWrap w:val="0"/>
                  <w:vAlign w:val="center"/>
                </w:tcPr>
                <w:p>
                  <w:pPr>
                    <w:pStyle w:val="5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52.9</w:t>
                  </w:r>
                </w:p>
              </w:tc>
              <w:tc>
                <w:tcPr>
                  <w:tcW w:w="788" w:type="pct"/>
                  <w:tcBorders>
                    <w:tl2br w:val="nil"/>
                    <w:tr2bl w:val="nil"/>
                  </w:tcBorders>
                  <w:noWrap w:val="0"/>
                  <w:vAlign w:val="center"/>
                </w:tcPr>
                <w:p>
                  <w:pPr>
                    <w:pStyle w:val="50"/>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9"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635"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77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5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北厂界</w:t>
                  </w:r>
                </w:p>
              </w:tc>
              <w:tc>
                <w:tcPr>
                  <w:tcW w:w="837" w:type="pct"/>
                  <w:tcBorders>
                    <w:tl2br w:val="nil"/>
                    <w:tr2bl w:val="nil"/>
                  </w:tcBorders>
                  <w:noWrap w:val="0"/>
                  <w:vAlign w:val="center"/>
                </w:tcPr>
                <w:p>
                  <w:pPr>
                    <w:pStyle w:val="5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49.5</w:t>
                  </w:r>
                </w:p>
              </w:tc>
              <w:tc>
                <w:tcPr>
                  <w:tcW w:w="788" w:type="pct"/>
                  <w:tcBorders>
                    <w:tl2br w:val="nil"/>
                    <w:tr2bl w:val="nil"/>
                  </w:tcBorders>
                  <w:noWrap w:val="0"/>
                  <w:vAlign w:val="center"/>
                </w:tcPr>
                <w:p>
                  <w:pPr>
                    <w:pStyle w:val="50"/>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9"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635" w:type="pct"/>
                  <w:vMerge w:val="continue"/>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776"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Hans"/>
              </w:rPr>
              <w:t>.</w:t>
            </w:r>
            <w:r>
              <w:rPr>
                <w:rFonts w:hint="default" w:ascii="Times New Roman" w:hAnsi="Times New Roman" w:cs="Times New Roman"/>
                <w:color w:val="auto"/>
                <w:highlight w:val="none"/>
              </w:rPr>
              <w:t>3噪声达标分析</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本项目设备均位于室内，采取车间密闭、基础减振、隔声、消声等措施处理后，降噪效果显著。经过预测分析，昼</w:t>
            </w:r>
            <w:r>
              <w:rPr>
                <w:rFonts w:hint="default" w:ascii="Times New Roman" w:hAnsi="Times New Roman" w:cs="Times New Roman"/>
                <w:color w:val="auto"/>
                <w:highlight w:val="none"/>
                <w:lang w:val="en-US" w:eastAsia="zh-CN"/>
              </w:rPr>
              <w:t>间厂界噪声贡献值</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9.5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eastAsia" w:cs="Times New Roman"/>
                <w:color w:val="auto"/>
                <w:highlight w:val="none"/>
                <w:lang w:val="en-US" w:eastAsia="zh-CN"/>
              </w:rPr>
              <w:t>9.6</w:t>
            </w:r>
            <w:r>
              <w:rPr>
                <w:rFonts w:hint="default" w:ascii="Times New Roman" w:hAnsi="Times New Roman" w:cs="Times New Roman"/>
                <w:color w:val="auto"/>
                <w:highlight w:val="none"/>
              </w:rPr>
              <w:t>dB（A），昼间厂界噪声贡献值满足《工业企业厂界环境噪声排放标准》（GB12348-2008）中3类区排放限值的要求（昼间≤65dB（A），夜间≤55dB（A）），本项目运营期产生的噪声对周围环境影响不大，且项目厂界50</w:t>
            </w:r>
            <w:r>
              <w:rPr>
                <w:rFonts w:hint="default" w:ascii="Times New Roman" w:hAnsi="Times New Roman" w:cs="Times New Roman"/>
                <w:color w:val="auto"/>
                <w:highlight w:val="none"/>
                <w:lang w:eastAsia="zh-Hans"/>
              </w:rPr>
              <w:t>m</w:t>
            </w:r>
            <w:r>
              <w:rPr>
                <w:rFonts w:hint="default" w:ascii="Times New Roman" w:hAnsi="Times New Roman" w:cs="Times New Roman"/>
                <w:color w:val="auto"/>
                <w:highlight w:val="none"/>
              </w:rPr>
              <w:t>范围内均为工业企业，也无声环境保护目标。</w:t>
            </w:r>
          </w:p>
          <w:p>
            <w:pPr>
              <w:pStyle w:val="5"/>
              <w:adjustRightInd w:val="0"/>
              <w:snapToGrid w:val="0"/>
              <w:spacing w:before="0" w:after="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Hans"/>
              </w:rPr>
              <w:t>.</w:t>
            </w:r>
            <w:r>
              <w:rPr>
                <w:rFonts w:hint="default" w:ascii="Times New Roman" w:hAnsi="Times New Roman" w:cs="Times New Roman"/>
                <w:color w:val="auto"/>
                <w:highlight w:val="none"/>
              </w:rPr>
              <w:t>4监测要求</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Hans"/>
              </w:rPr>
              <w:t>《排污单位自行监测技术指南总则》（</w:t>
            </w:r>
            <w:r>
              <w:rPr>
                <w:rFonts w:hint="default" w:ascii="Times New Roman" w:hAnsi="Times New Roman" w:cs="Times New Roman"/>
                <w:color w:val="auto"/>
                <w:highlight w:val="none"/>
              </w:rPr>
              <w:t>HJ819-2017</w:t>
            </w:r>
            <w:r>
              <w:rPr>
                <w:rFonts w:hint="default" w:ascii="Times New Roman" w:hAnsi="Times New Roman" w:cs="Times New Roman"/>
                <w:color w:val="auto"/>
                <w:highlight w:val="none"/>
                <w:lang w:eastAsia="zh-Hans"/>
              </w:rPr>
              <w:t>）</w:t>
            </w:r>
            <w:r>
              <w:rPr>
                <w:rFonts w:hint="default" w:ascii="Times New Roman" w:hAnsi="Times New Roman" w:cs="Times New Roman"/>
                <w:color w:val="auto"/>
                <w:highlight w:val="none"/>
              </w:rPr>
              <w:t>，确定本项目噪声的日常监测要求，如表4-</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rPr>
              <w:t>所示。</w:t>
            </w:r>
          </w:p>
          <w:p>
            <w:pPr>
              <w:pStyle w:val="9"/>
              <w:spacing w:line="24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噪声监测要求一览表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026"/>
              <w:gridCol w:w="1165"/>
              <w:gridCol w:w="3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207"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监测指标</w:t>
                  </w:r>
                </w:p>
              </w:tc>
              <w:tc>
                <w:tcPr>
                  <w:tcW w:w="694"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c>
                <w:tcPr>
                  <w:tcW w:w="2082"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1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厂界外1m设4个监测点位</w:t>
                  </w:r>
                </w:p>
              </w:tc>
              <w:tc>
                <w:tcPr>
                  <w:tcW w:w="120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昼、夜间等效连续A声级</w:t>
                  </w:r>
                </w:p>
              </w:tc>
              <w:tc>
                <w:tcPr>
                  <w:tcW w:w="69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1次/季度</w:t>
                  </w:r>
                </w:p>
              </w:tc>
              <w:tc>
                <w:tcPr>
                  <w:tcW w:w="208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《工业企业厂界环境噪声排放标准》（GB12348-2008）3类</w:t>
                  </w:r>
                </w:p>
              </w:tc>
            </w:tr>
          </w:tbl>
          <w:p>
            <w:pPr>
              <w:pStyle w:val="4"/>
              <w:adjustRightInd w:val="0"/>
              <w:spacing w:beforeLines="5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4</w:t>
            </w:r>
            <w:r>
              <w:rPr>
                <w:rFonts w:hint="default" w:ascii="Times New Roman" w:hAnsi="Times New Roman" w:cs="Times New Roman"/>
                <w:color w:val="auto"/>
                <w:sz w:val="24"/>
                <w:szCs w:val="24"/>
                <w:highlight w:val="none"/>
              </w:rPr>
              <w:t>固体废物环境影响及保护措施</w:t>
            </w:r>
          </w:p>
          <w:p>
            <w:pPr>
              <w:pStyle w:val="5"/>
              <w:adjustRightInd w:val="0"/>
              <w:snapToGrid w:val="0"/>
              <w:spacing w:before="0" w:after="0"/>
              <w:ind w:firstLine="482"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w:t>
            </w:r>
            <w:r>
              <w:rPr>
                <w:rFonts w:hint="default" w:ascii="Times New Roman" w:hAnsi="Times New Roman" w:cs="Times New Roman"/>
                <w:color w:val="auto"/>
                <w:szCs w:val="24"/>
                <w:highlight w:val="none"/>
                <w:lang w:eastAsia="zh-Hans"/>
              </w:rPr>
              <w:t>.1</w:t>
            </w:r>
            <w:r>
              <w:rPr>
                <w:rFonts w:hint="default" w:ascii="Times New Roman" w:hAnsi="Times New Roman" w:cs="Times New Roman"/>
                <w:color w:val="auto"/>
                <w:szCs w:val="24"/>
                <w:highlight w:val="none"/>
              </w:rPr>
              <w:t>固体废物产生环节、产生量及处置方式</w:t>
            </w:r>
          </w:p>
          <w:p>
            <w:pPr>
              <w:adjustRightInd w:val="0"/>
              <w:snapToGrid w:val="0"/>
              <w:ind w:firstLine="480"/>
              <w:rPr>
                <w:rFonts w:hint="default" w:ascii="Times New Roman" w:hAnsi="Times New Roman" w:eastAsia="宋体" w:cs="Times New Roman"/>
                <w:color w:val="auto"/>
                <w:kern w:val="0"/>
                <w:sz w:val="24"/>
                <w:szCs w:val="21"/>
                <w:highlight w:val="none"/>
                <w:lang w:eastAsia="zh-CN"/>
              </w:rPr>
            </w:pPr>
            <w:r>
              <w:rPr>
                <w:rFonts w:hint="default" w:ascii="Times New Roman" w:hAnsi="Times New Roman" w:cs="Times New Roman"/>
                <w:color w:val="auto"/>
                <w:highlight w:val="none"/>
              </w:rPr>
              <w:t>本项目固体废弃物主要为一般工业固体废物</w:t>
            </w:r>
            <w:r>
              <w:rPr>
                <w:rFonts w:hint="default" w:ascii="Times New Roman" w:hAnsi="Times New Roman" w:cs="Times New Roman"/>
                <w:color w:val="auto"/>
                <w:highlight w:val="none"/>
                <w:lang w:eastAsia="zh-Hans"/>
              </w:rPr>
              <w:t>、危险废物</w:t>
            </w:r>
            <w:r>
              <w:rPr>
                <w:rFonts w:hint="default" w:ascii="Times New Roman" w:hAnsi="Times New Roman" w:cs="Times New Roman"/>
                <w:color w:val="auto"/>
                <w:highlight w:val="none"/>
              </w:rPr>
              <w:t>和生活垃</w:t>
            </w:r>
            <w:r>
              <w:rPr>
                <w:rFonts w:hint="default" w:ascii="Times New Roman" w:hAnsi="Times New Roman" w:cs="Times New Roman"/>
                <w:color w:val="auto"/>
                <w:kern w:val="2"/>
                <w:sz w:val="24"/>
                <w:szCs w:val="24"/>
                <w:highlight w:val="none"/>
                <w:lang w:val="en-US" w:eastAsia="zh-CN"/>
              </w:rPr>
              <w:t>圾</w:t>
            </w:r>
            <w:r>
              <w:rPr>
                <w:rFonts w:hint="default" w:ascii="Times New Roman" w:hAnsi="Times New Roman" w:eastAsia="宋体" w:cs="Times New Roman"/>
                <w:color w:val="auto"/>
                <w:kern w:val="2"/>
                <w:sz w:val="24"/>
                <w:szCs w:val="24"/>
                <w:highlight w:val="none"/>
              </w:rPr>
              <w:t>。</w:t>
            </w:r>
          </w:p>
          <w:p>
            <w:pPr>
              <w:numPr>
                <w:ilvl w:val="0"/>
                <w:numId w:val="0"/>
              </w:numPr>
              <w:adjustRightInd w:val="0"/>
              <w:snapToGrid w:val="0"/>
              <w:spacing w:line="360" w:lineRule="auto"/>
              <w:ind w:leftChars="0" w:firstLine="480" w:firstLineChars="200"/>
              <w:jc w:val="left"/>
              <w:rPr>
                <w:rFonts w:hint="default" w:ascii="Times New Roman" w:hAnsi="Times New Roman" w:cs="Times New Roman"/>
                <w:color w:val="auto"/>
                <w:kern w:val="0"/>
                <w:sz w:val="24"/>
                <w:szCs w:val="21"/>
                <w:highlight w:val="none"/>
                <w:lang w:val="en-US" w:eastAsia="zh-CN"/>
              </w:rPr>
            </w:pPr>
            <w:r>
              <w:rPr>
                <w:rFonts w:hint="default" w:ascii="Times New Roman" w:hAnsi="Times New Roman" w:eastAsia="宋体" w:cs="Times New Roman"/>
                <w:color w:val="auto"/>
                <w:kern w:val="0"/>
                <w:sz w:val="24"/>
                <w:szCs w:val="21"/>
                <w:highlight w:val="none"/>
                <w:lang w:eastAsia="zh-CN"/>
              </w:rPr>
              <w:t>（</w:t>
            </w:r>
            <w:r>
              <w:rPr>
                <w:rFonts w:hint="default" w:ascii="Times New Roman" w:hAnsi="Times New Roman" w:eastAsia="宋体" w:cs="Times New Roman"/>
                <w:color w:val="auto"/>
                <w:kern w:val="0"/>
                <w:sz w:val="24"/>
                <w:szCs w:val="21"/>
                <w:highlight w:val="none"/>
                <w:lang w:val="en-US" w:eastAsia="zh-CN"/>
              </w:rPr>
              <w:t>1</w:t>
            </w:r>
            <w:r>
              <w:rPr>
                <w:rFonts w:hint="default" w:ascii="Times New Roman" w:hAnsi="Times New Roman" w:eastAsia="宋体" w:cs="Times New Roman"/>
                <w:color w:val="auto"/>
                <w:kern w:val="0"/>
                <w:sz w:val="24"/>
                <w:szCs w:val="21"/>
                <w:highlight w:val="none"/>
                <w:lang w:eastAsia="zh-CN"/>
              </w:rPr>
              <w:t>）</w:t>
            </w:r>
            <w:r>
              <w:rPr>
                <w:rFonts w:hint="default" w:ascii="Times New Roman" w:hAnsi="Times New Roman" w:cs="Times New Roman"/>
                <w:color w:val="auto"/>
                <w:highlight w:val="none"/>
              </w:rPr>
              <w:t>一般工业固体废物</w:t>
            </w:r>
          </w:p>
          <w:p>
            <w:pPr>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①金属碎屑及边角料</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本项目年产</w:t>
            </w:r>
            <w:r>
              <w:rPr>
                <w:rFonts w:hint="default" w:ascii="Times New Roman" w:hAnsi="Times New Roman" w:cs="Times New Roman"/>
                <w:color w:val="auto"/>
                <w:highlight w:val="none"/>
                <w:lang w:val="en-US" w:eastAsia="zh-CN"/>
              </w:rPr>
              <w:t>1000套/a预制舱</w:t>
            </w:r>
            <w:r>
              <w:rPr>
                <w:rFonts w:hint="default" w:ascii="Times New Roman" w:hAnsi="Times New Roman" w:cs="Times New Roman"/>
                <w:color w:val="auto"/>
                <w:kern w:val="0"/>
                <w:szCs w:val="21"/>
                <w:highlight w:val="none"/>
              </w:rPr>
              <w:t>，根据建设单位提供的资料，</w:t>
            </w:r>
            <w:r>
              <w:rPr>
                <w:rFonts w:hint="default" w:ascii="Times New Roman" w:hAnsi="Times New Roman" w:cs="Times New Roman"/>
                <w:color w:val="auto"/>
                <w:kern w:val="0"/>
                <w:szCs w:val="21"/>
                <w:highlight w:val="none"/>
                <w:lang w:eastAsia="zh-CN"/>
              </w:rPr>
              <w:t>切割</w:t>
            </w:r>
            <w:r>
              <w:rPr>
                <w:rFonts w:hint="default" w:ascii="Times New Roman" w:hAnsi="Times New Roman" w:cs="Times New Roman"/>
                <w:color w:val="auto"/>
                <w:kern w:val="0"/>
                <w:szCs w:val="21"/>
                <w:highlight w:val="none"/>
              </w:rPr>
              <w:t>工序产生的金属碎屑及边角料量约为原料量的</w:t>
            </w:r>
            <w:r>
              <w:rPr>
                <w:rFonts w:hint="default" w:ascii="Times New Roman" w:hAnsi="Times New Roman" w:cs="Times New Roman"/>
                <w:color w:val="auto"/>
                <w:kern w:val="0"/>
                <w:szCs w:val="21"/>
                <w:highlight w:val="none"/>
                <w:lang w:val="en-US" w:eastAsia="zh-CN"/>
              </w:rPr>
              <w:t>0.5</w:t>
            </w:r>
            <w:r>
              <w:rPr>
                <w:rFonts w:hint="default" w:ascii="Times New Roman" w:hAnsi="Times New Roman" w:cs="Times New Roman"/>
                <w:color w:val="auto"/>
                <w:kern w:val="0"/>
                <w:szCs w:val="21"/>
                <w:highlight w:val="none"/>
              </w:rPr>
              <w:t>%，本项目钢材使用量为2200t/a，则</w:t>
            </w:r>
            <w:r>
              <w:rPr>
                <w:rFonts w:hint="default" w:ascii="Times New Roman" w:hAnsi="Times New Roman" w:cs="Times New Roman"/>
                <w:color w:val="auto"/>
                <w:highlight w:val="none"/>
              </w:rPr>
              <w:t>金属碎屑及边角料</w:t>
            </w:r>
            <w:r>
              <w:rPr>
                <w:rFonts w:hint="default" w:ascii="Times New Roman" w:hAnsi="Times New Roman" w:cs="Times New Roman"/>
                <w:color w:val="auto"/>
                <w:sz w:val="24"/>
                <w:highlight w:val="none"/>
              </w:rPr>
              <w:t>产生量为</w:t>
            </w:r>
            <w:r>
              <w:rPr>
                <w:rFonts w:hint="default"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根据《固体废物分类与代码目录》（公告2024年第4号），类别属于SW17可再生类废物，代码为900-001-S17。废钢铁。工业生产活动中产生的以钢铁为主要成分的边角料、残次品，以及报废机动车、报废机械设备拆解产生的以钢铁为主要成分的零部件等</w:t>
            </w:r>
            <w:r>
              <w:rPr>
                <w:rFonts w:hint="default" w:ascii="Times New Roman" w:hAnsi="Times New Roman" w:cs="Times New Roman"/>
                <w:color w:val="auto"/>
                <w:highlight w:val="none"/>
              </w:rPr>
              <w:t>。</w:t>
            </w:r>
            <w:r>
              <w:rPr>
                <w:rFonts w:hint="default" w:ascii="Times New Roman" w:hAnsi="Times New Roman" w:cs="Times New Roman"/>
                <w:color w:val="auto"/>
                <w:sz w:val="24"/>
                <w:highlight w:val="none"/>
              </w:rPr>
              <w:t>统一收集后外售综合再利用</w:t>
            </w:r>
            <w:r>
              <w:rPr>
                <w:rFonts w:hint="default" w:ascii="Times New Roman" w:hAnsi="Times New Roman" w:cs="Times New Roman"/>
                <w:color w:val="auto"/>
                <w:highlight w:val="none"/>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②焊渣</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焊接工序会少量产生焊渣，属于Ⅰ类一</w:t>
            </w:r>
            <w:bookmarkStart w:id="10" w:name="_GoBack"/>
            <w:bookmarkEnd w:id="10"/>
            <w:r>
              <w:rPr>
                <w:rFonts w:hint="default" w:ascii="Times New Roman" w:hAnsi="Times New Roman" w:cs="Times New Roman"/>
                <w:color w:val="auto"/>
                <w:sz w:val="24"/>
                <w:highlight w:val="none"/>
              </w:rPr>
              <w:t>般固废。根据建设单位提供的资料，焊接工序焊渣产生量约为焊料量的8%，本项目焊丝使用量为60t/a，则焊渣产生量约4.80t/a，</w:t>
            </w:r>
            <w:r>
              <w:rPr>
                <w:rFonts w:hint="default" w:ascii="Times New Roman" w:hAnsi="Times New Roman" w:eastAsia="宋体" w:cs="Times New Roman"/>
                <w:color w:val="auto"/>
                <w:sz w:val="24"/>
                <w:highlight w:val="none"/>
                <w:lang w:val="en-US" w:eastAsia="zh-CN"/>
              </w:rPr>
              <w:t>根据《固体废物分类与代码目录》（公告2024年第4号），类别属于SW59其他工业固体废物，代码为900-099-S59。其他工业生产过程中产生的固体废物</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统一收集后外售综合再利用</w:t>
            </w:r>
            <w:r>
              <w:rPr>
                <w:rFonts w:hint="default" w:ascii="Times New Roman" w:hAnsi="Times New Roman" w:cs="Times New Roman"/>
                <w:color w:val="auto"/>
                <w:highlight w:val="none"/>
              </w:rPr>
              <w:t>。</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微软雅黑" w:cs="Times New Roman"/>
                <w:color w:val="auto"/>
                <w:sz w:val="24"/>
                <w:highlight w:val="none"/>
                <w:lang w:val="en-US" w:eastAsia="zh-CN"/>
              </w:rPr>
              <w:t>③</w:t>
            </w:r>
            <w:r>
              <w:rPr>
                <w:rFonts w:hint="default" w:ascii="Times New Roman" w:hAnsi="Times New Roman" w:cs="Times New Roman"/>
                <w:color w:val="auto"/>
                <w:sz w:val="24"/>
                <w:highlight w:val="none"/>
                <w:lang w:val="en-US" w:eastAsia="zh-CN"/>
              </w:rPr>
              <w:t>除尘灰</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根据废气污染物核算数据，除去的灰尘量共计为</w:t>
            </w:r>
            <w:r>
              <w:rPr>
                <w:rFonts w:hint="eastAsia" w:cs="Times New Roman"/>
                <w:color w:val="auto"/>
                <w:sz w:val="24"/>
                <w:highlight w:val="none"/>
                <w:lang w:val="en-US" w:eastAsia="zh-CN"/>
              </w:rPr>
              <w:t>5.94</w:t>
            </w:r>
            <w:r>
              <w:rPr>
                <w:rFonts w:hint="default" w:ascii="Times New Roman" w:hAnsi="Times New Roman" w:cs="Times New Roman"/>
                <w:color w:val="auto"/>
                <w:sz w:val="24"/>
                <w:highlight w:val="none"/>
                <w:lang w:val="en-US" w:eastAsia="zh-CN"/>
              </w:rPr>
              <w:t>t/a。</w:t>
            </w:r>
            <w:r>
              <w:rPr>
                <w:rFonts w:hint="default" w:ascii="Times New Roman" w:hAnsi="Times New Roman" w:eastAsia="宋体" w:cs="Times New Roman"/>
                <w:color w:val="auto"/>
                <w:sz w:val="24"/>
                <w:highlight w:val="none"/>
                <w:lang w:val="en-US" w:eastAsia="zh-CN"/>
              </w:rPr>
              <w:t>根据《固体废物分类与代码目录》（公告2024年第4号），类别属于SW59其他工业固体废物，代码为900-099-S59。</w:t>
            </w:r>
            <w:r>
              <w:rPr>
                <w:rFonts w:hint="default" w:ascii="Times New Roman" w:hAnsi="Times New Roman" w:cs="Times New Roman"/>
                <w:color w:val="auto"/>
                <w:sz w:val="24"/>
                <w:highlight w:val="none"/>
              </w:rPr>
              <w:t>统一收集后外售综合再利用</w:t>
            </w:r>
            <w:r>
              <w:rPr>
                <w:rFonts w:hint="default" w:ascii="Times New Roman" w:hAnsi="Times New Roman" w:cs="Times New Roman"/>
                <w:color w:val="auto"/>
                <w:highlight w:val="none"/>
              </w:rPr>
              <w:t>。</w:t>
            </w:r>
          </w:p>
          <w:p>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微软雅黑" w:cs="Times New Roman"/>
                <w:color w:val="auto"/>
                <w:highlight w:val="none"/>
              </w:rPr>
              <w:t>④</w:t>
            </w:r>
            <w:r>
              <w:rPr>
                <w:rFonts w:hint="default" w:ascii="Times New Roman" w:hAnsi="Times New Roman" w:cs="Times New Roman"/>
                <w:color w:val="auto"/>
                <w:highlight w:val="none"/>
                <w:lang w:val="en-US" w:eastAsia="zh-CN"/>
              </w:rPr>
              <w:t>废布袋</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本项目设置2台袋式除尘器，使用过程中会产生废弃的布袋，废布袋产生量约为0.1t/a</w:t>
            </w:r>
            <w:r>
              <w:rPr>
                <w:rFonts w:hint="default" w:ascii="Times New Roman" w:hAnsi="Times New Roman" w:cs="Times New Roman"/>
                <w:color w:val="auto"/>
                <w:highlight w:val="none"/>
              </w:rPr>
              <w:t>，</w:t>
            </w:r>
            <w:r>
              <w:rPr>
                <w:rFonts w:hint="default" w:ascii="Times New Roman" w:hAnsi="Times New Roman" w:eastAsia="宋体" w:cs="Times New Roman"/>
                <w:color w:val="auto"/>
                <w:sz w:val="24"/>
                <w:highlight w:val="none"/>
                <w:lang w:val="en-US" w:eastAsia="zh-CN"/>
              </w:rPr>
              <w:t>根据《固体废物分类与代码目录》（公告2024年第4号），类别属于SW59其他工业固体废物，代码为900-099-S59。其他工业生产过程中产生的固体废物。</w:t>
            </w:r>
            <w:r>
              <w:rPr>
                <w:rFonts w:hint="default" w:ascii="Times New Roman" w:hAnsi="Times New Roman" w:cs="Times New Roman"/>
                <w:color w:val="auto"/>
                <w:highlight w:val="none"/>
                <w:lang w:val="en-US" w:eastAsia="zh-CN"/>
              </w:rPr>
              <w:t>全部由生产厂家回收处置</w:t>
            </w:r>
            <w:r>
              <w:rPr>
                <w:rFonts w:hint="default" w:ascii="Times New Roman" w:hAnsi="Times New Roman" w:cs="Times New Roman"/>
                <w:color w:val="auto"/>
                <w:highlight w:val="none"/>
              </w:rPr>
              <w:t>。</w:t>
            </w:r>
          </w:p>
          <w:p>
            <w:pP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⑤</w:t>
            </w:r>
            <w:r>
              <w:rPr>
                <w:rFonts w:hint="default" w:ascii="Times New Roman" w:hAnsi="Times New Roman" w:cs="Times New Roman"/>
                <w:color w:val="auto"/>
                <w:highlight w:val="none"/>
                <w:lang w:val="en-US" w:eastAsia="zh-CN"/>
              </w:rPr>
              <w:t>废钢砂</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w:t>
            </w:r>
            <w:r>
              <w:rPr>
                <w:rFonts w:hint="default" w:ascii="Times New Roman" w:hAnsi="Times New Roman" w:cs="Times New Roman"/>
                <w:color w:val="auto"/>
                <w:highlight w:val="none"/>
                <w:lang w:val="en-US" w:eastAsia="zh-CN"/>
              </w:rPr>
              <w:t>喷砂</w:t>
            </w:r>
            <w:r>
              <w:rPr>
                <w:rFonts w:hint="default" w:ascii="Times New Roman" w:hAnsi="Times New Roman" w:cs="Times New Roman"/>
                <w:color w:val="auto"/>
                <w:highlight w:val="none"/>
              </w:rPr>
              <w:t>过程中钢砂粒径会逐渐减小，当达不到工艺要求时需对钢砂进行定期更换，</w:t>
            </w:r>
            <w:r>
              <w:rPr>
                <w:rFonts w:hint="default" w:ascii="Times New Roman" w:hAnsi="Times New Roman" w:cs="Times New Roman"/>
                <w:color w:val="auto"/>
                <w:highlight w:val="none"/>
                <w:lang w:val="en-US" w:eastAsia="zh-CN"/>
              </w:rPr>
              <w:t>根据建设单位提供的资料，喷砂工序废钢砂产生量约为钢砂量的10%，</w:t>
            </w:r>
            <w:r>
              <w:rPr>
                <w:rFonts w:hint="default" w:ascii="Times New Roman" w:hAnsi="Times New Roman" w:cs="Times New Roman"/>
                <w:color w:val="auto"/>
                <w:highlight w:val="none"/>
              </w:rPr>
              <w:t>废钢砂产生量</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1t/a</w:t>
            </w:r>
            <w:r>
              <w:rPr>
                <w:rFonts w:hint="default" w:ascii="Times New Roman" w:hAnsi="Times New Roman" w:cs="Times New Roman"/>
                <w:color w:val="auto"/>
                <w:highlight w:val="none"/>
              </w:rPr>
              <w:t>，</w:t>
            </w:r>
            <w:r>
              <w:rPr>
                <w:rFonts w:hint="default" w:ascii="Times New Roman" w:hAnsi="Times New Roman" w:eastAsia="宋体" w:cs="Times New Roman"/>
                <w:color w:val="auto"/>
                <w:sz w:val="24"/>
                <w:highlight w:val="none"/>
                <w:lang w:val="en-US" w:eastAsia="zh-CN"/>
              </w:rPr>
              <w:t>根据《固体废物分类与代码目录》（公告2024年第4号），类别属于SW59其他工业固体废物，代码为900-099-S59。其他工业生产过程中产生的固体废物。</w:t>
            </w:r>
            <w:r>
              <w:rPr>
                <w:rFonts w:hint="default" w:ascii="Times New Roman" w:hAnsi="Times New Roman" w:cs="Times New Roman"/>
                <w:color w:val="auto"/>
                <w:sz w:val="24"/>
                <w:highlight w:val="none"/>
              </w:rPr>
              <w:t>统一收集后外售综合再利用</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宋体" w:hAnsi="宋体" w:eastAsia="宋体" w:cs="宋体"/>
                <w:color w:val="auto"/>
                <w:sz w:val="24"/>
                <w:highlight w:val="none"/>
                <w:lang w:val="en-US" w:eastAsia="zh-CN"/>
              </w:rPr>
              <w:t>⑥废油脂</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olor w:val="auto"/>
                <w:highlight w:val="none"/>
                <w:lang w:eastAsia="zh-CN"/>
              </w:rPr>
            </w:pPr>
            <w:r>
              <w:rPr>
                <w:rFonts w:hint="default" w:ascii="Times New Roman" w:hAnsi="Times New Roman" w:eastAsia="宋体" w:cs="Times New Roman"/>
                <w:color w:val="auto"/>
                <w:sz w:val="24"/>
                <w:highlight w:val="none"/>
                <w:lang w:val="en-US" w:eastAsia="zh-CN"/>
              </w:rPr>
              <w:t>食堂废水在经过</w:t>
            </w:r>
            <w:r>
              <w:rPr>
                <w:rFonts w:hint="eastAsia" w:ascii="Times New Roman" w:hAnsi="Times New Roman" w:eastAsia="宋体" w:cs="Times New Roman"/>
                <w:color w:val="auto"/>
                <w:sz w:val="24"/>
                <w:highlight w:val="none"/>
                <w:lang w:val="en-US" w:eastAsia="zh-CN"/>
              </w:rPr>
              <w:t>隔油池</w:t>
            </w:r>
            <w:r>
              <w:rPr>
                <w:rFonts w:hint="default" w:ascii="Times New Roman" w:hAnsi="Times New Roman" w:eastAsia="宋体" w:cs="Times New Roman"/>
                <w:color w:val="auto"/>
                <w:sz w:val="24"/>
                <w:highlight w:val="none"/>
                <w:lang w:val="en-US" w:eastAsia="zh-CN"/>
              </w:rPr>
              <w:t>处理时，会产生一定量油污。</w:t>
            </w:r>
            <w:r>
              <w:rPr>
                <w:rFonts w:hint="default" w:ascii="Times New Roman" w:hAnsi="Times New Roman" w:eastAsia="宋体" w:cs="Times New Roman"/>
                <w:i w:val="0"/>
                <w:iCs w:val="0"/>
                <w:caps w:val="0"/>
                <w:color w:val="auto"/>
                <w:spacing w:val="0"/>
                <w:sz w:val="24"/>
                <w:szCs w:val="24"/>
                <w:highlight w:val="none"/>
              </w:rPr>
              <w:t>项目食堂每天有</w:t>
            </w:r>
            <w:r>
              <w:rPr>
                <w:rFonts w:hint="eastAsia" w:ascii="Times New Roman" w:hAnsi="Times New Roman" w:eastAsia="宋体" w:cs="Times New Roman"/>
                <w:i w:val="0"/>
                <w:iCs w:val="0"/>
                <w:caps w:val="0"/>
                <w:color w:val="auto"/>
                <w:spacing w:val="0"/>
                <w:sz w:val="24"/>
                <w:szCs w:val="24"/>
                <w:highlight w:val="none"/>
                <w:lang w:val="en-US" w:eastAsia="zh-CN"/>
              </w:rPr>
              <w:t>50</w:t>
            </w:r>
            <w:r>
              <w:rPr>
                <w:rFonts w:hint="default" w:ascii="Times New Roman" w:hAnsi="Times New Roman" w:eastAsia="宋体" w:cs="Times New Roman"/>
                <w:i w:val="0"/>
                <w:iCs w:val="0"/>
                <w:caps w:val="0"/>
                <w:color w:val="auto"/>
                <w:spacing w:val="0"/>
                <w:sz w:val="24"/>
                <w:szCs w:val="24"/>
                <w:highlight w:val="none"/>
              </w:rPr>
              <w:t>人就餐，目前居民人均食用油日用量约30g/人·d，</w:t>
            </w:r>
            <w:r>
              <w:rPr>
                <w:rFonts w:hint="default" w:ascii="Times New Roman" w:hAnsi="Times New Roman" w:eastAsia="宋体" w:cs="Times New Roman"/>
                <w:color w:val="auto"/>
                <w:sz w:val="24"/>
                <w:highlight w:val="none"/>
                <w:lang w:val="en-US" w:eastAsia="zh-CN"/>
              </w:rPr>
              <w:t>本项目食用油耗</w:t>
            </w:r>
            <w:r>
              <w:rPr>
                <w:rFonts w:hint="eastAsia" w:ascii="Times New Roman" w:hAnsi="Times New Roman" w:eastAsia="宋体" w:cs="Times New Roman"/>
                <w:color w:val="auto"/>
                <w:sz w:val="24"/>
                <w:highlight w:val="none"/>
                <w:lang w:val="en-US" w:eastAsia="zh-CN"/>
              </w:rPr>
              <w:t>油量为1.5kg/d，450kg/a（0.45t/a）。</w:t>
            </w:r>
            <w:r>
              <w:rPr>
                <w:rFonts w:hint="default" w:ascii="Times New Roman" w:hAnsi="Times New Roman" w:eastAsia="宋体" w:cs="Times New Roman"/>
                <w:color w:val="auto"/>
                <w:sz w:val="24"/>
                <w:highlight w:val="none"/>
                <w:lang w:val="en-US" w:eastAsia="zh-CN"/>
              </w:rPr>
              <w:t>根据《固体废物分类与代码目录》（公告2024年第4号），类别属于SW</w:t>
            </w:r>
            <w:r>
              <w:rPr>
                <w:rFonts w:hint="eastAsia" w:ascii="Times New Roman" w:hAnsi="Times New Roman" w:eastAsia="宋体" w:cs="Times New Roman"/>
                <w:color w:val="auto"/>
                <w:sz w:val="24"/>
                <w:highlight w:val="none"/>
                <w:lang w:val="en-US" w:eastAsia="zh-CN"/>
              </w:rPr>
              <w:t>61</w:t>
            </w:r>
            <w:r>
              <w:rPr>
                <w:rFonts w:hint="default" w:ascii="Times New Roman" w:hAnsi="Times New Roman" w:eastAsia="宋体" w:cs="Times New Roman"/>
                <w:color w:val="auto"/>
                <w:sz w:val="24"/>
                <w:highlight w:val="none"/>
                <w:lang w:val="en-US" w:eastAsia="zh-CN"/>
              </w:rPr>
              <w:t>厨余垃圾，代码为900-002-S61。餐厨垃圾。相关企业和公共机构在食品加工、饮食服务、单位供餐等活动中，产生的食物残渣、食品加工废料和废弃食用油脂等。</w:t>
            </w:r>
            <w:r>
              <w:rPr>
                <w:rFonts w:hint="default" w:ascii="Times New Roman" w:hAnsi="Times New Roman" w:cs="Times New Roman"/>
                <w:color w:val="auto"/>
                <w:sz w:val="24"/>
                <w:highlight w:val="none"/>
              </w:rPr>
              <w:t>隔油池产生的废油脂，定期由油脂回收单位回收</w:t>
            </w:r>
            <w:r>
              <w:rPr>
                <w:rFonts w:hint="eastAsia"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（2）危险废物</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lang w:val="en-US" w:eastAsia="zh-CN"/>
              </w:rPr>
              <w:t>漆渣</w:t>
            </w:r>
          </w:p>
          <w:p>
            <w:pPr>
              <w:ind w:left="0" w:leftChars="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本项目喷漆工序设置</w:t>
            </w:r>
            <w:r>
              <w:rPr>
                <w:rFonts w:hint="default" w:ascii="Times New Roman" w:hAnsi="Times New Roman" w:cs="Times New Roman"/>
                <w:color w:val="auto"/>
                <w:sz w:val="24"/>
                <w:highlight w:val="none"/>
                <w:lang w:val="en-US" w:eastAsia="zh-CN"/>
              </w:rPr>
              <w:t>在全封闭</w:t>
            </w:r>
            <w:r>
              <w:rPr>
                <w:rFonts w:hint="default" w:ascii="Times New Roman" w:hAnsi="Times New Roman" w:cs="Times New Roman"/>
                <w:color w:val="auto"/>
                <w:sz w:val="24"/>
                <w:highlight w:val="none"/>
              </w:rPr>
              <w:t>喷漆房</w:t>
            </w:r>
            <w:r>
              <w:rPr>
                <w:rFonts w:hint="default" w:ascii="Times New Roman" w:hAnsi="Times New Roman" w:cs="Times New Roman"/>
                <w:color w:val="auto"/>
                <w:sz w:val="24"/>
                <w:highlight w:val="none"/>
                <w:lang w:val="en-US" w:eastAsia="zh-CN"/>
              </w:rPr>
              <w:t>内</w:t>
            </w:r>
            <w:r>
              <w:rPr>
                <w:rFonts w:hint="default" w:ascii="Times New Roman" w:hAnsi="Times New Roman" w:cs="Times New Roman"/>
                <w:color w:val="auto"/>
                <w:sz w:val="24"/>
                <w:highlight w:val="none"/>
              </w:rPr>
              <w:t>，经</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拦截的漆雾颗粒，形成</w:t>
            </w:r>
            <w:r>
              <w:rPr>
                <w:rFonts w:hint="default" w:ascii="Times New Roman" w:hAnsi="Times New Roman" w:cs="Times New Roman"/>
                <w:color w:val="auto"/>
                <w:sz w:val="24"/>
                <w:highlight w:val="none"/>
                <w:lang w:val="en-US" w:eastAsia="zh-CN"/>
              </w:rPr>
              <w:t>漆渣</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根据上文核算，</w:t>
            </w:r>
            <w:r>
              <w:rPr>
                <w:rFonts w:hint="default" w:ascii="Times New Roman" w:hAnsi="Times New Roman" w:cs="Times New Roman"/>
                <w:color w:val="auto"/>
                <w:sz w:val="24"/>
                <w:highlight w:val="none"/>
              </w:rPr>
              <w:t>漆雾颗粒</w:t>
            </w:r>
            <w:r>
              <w:rPr>
                <w:rFonts w:hint="default" w:ascii="Times New Roman" w:hAnsi="Times New Roman" w:cs="Times New Roman"/>
                <w:color w:val="auto"/>
                <w:sz w:val="24"/>
                <w:highlight w:val="none"/>
                <w:lang w:val="en-US" w:eastAsia="zh-CN"/>
              </w:rPr>
              <w:t>产生量为</w:t>
            </w:r>
            <w:r>
              <w:rPr>
                <w:rFonts w:hint="eastAsia" w:cs="Times New Roman"/>
                <w:color w:val="auto"/>
                <w:sz w:val="24"/>
                <w:highlight w:val="none"/>
                <w:lang w:val="en-US" w:eastAsia="zh-CN"/>
              </w:rPr>
              <w:t>1.143</w:t>
            </w:r>
            <w:r>
              <w:rPr>
                <w:rFonts w:hint="default" w:ascii="Times New Roman" w:hAnsi="Times New Roman" w:cs="Times New Roman"/>
                <w:color w:val="auto"/>
                <w:sz w:val="24"/>
                <w:highlight w:val="none"/>
                <w:lang w:val="en-US" w:eastAsia="zh-CN"/>
              </w:rPr>
              <w:t>t/a，</w:t>
            </w:r>
            <w:r>
              <w:rPr>
                <w:rFonts w:hint="default" w:ascii="Times New Roman" w:hAnsi="Times New Roman" w:cs="Times New Roman"/>
                <w:color w:val="auto"/>
                <w:sz w:val="24"/>
                <w:highlight w:val="none"/>
              </w:rPr>
              <w:t>集气罩、</w:t>
            </w:r>
            <w:r>
              <w:rPr>
                <w:rFonts w:hint="default" w:ascii="Times New Roman" w:hAnsi="Times New Roman" w:cs="Times New Roman"/>
                <w:color w:val="auto"/>
                <w:sz w:val="24"/>
                <w:highlight w:val="none"/>
                <w:lang w:eastAsia="zh-CN"/>
              </w:rPr>
              <w:t>纸盒过滤</w:t>
            </w:r>
            <w:r>
              <w:rPr>
                <w:rFonts w:hint="default" w:ascii="Times New Roman" w:hAnsi="Times New Roman" w:cs="Times New Roman"/>
                <w:color w:val="auto"/>
                <w:sz w:val="24"/>
                <w:highlight w:val="none"/>
              </w:rPr>
              <w:t>对漆雾的收集效率为90%，</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color w:val="auto"/>
                <w:sz w:val="24"/>
                <w:highlight w:val="none"/>
              </w:rPr>
              <w:t>效率不低于95%，漆渣产生量</w:t>
            </w:r>
            <w:r>
              <w:rPr>
                <w:rFonts w:hint="default" w:ascii="Times New Roman" w:hAnsi="Times New Roman" w:cs="Times New Roman"/>
                <w:color w:val="auto"/>
                <w:sz w:val="24"/>
                <w:highlight w:val="none"/>
                <w:lang w:val="en-US" w:eastAsia="zh-CN"/>
              </w:rPr>
              <w:t>约</w:t>
            </w:r>
            <w:r>
              <w:rPr>
                <w:rFonts w:hint="default" w:ascii="Times New Roman" w:hAnsi="Times New Roman" w:cs="Times New Roman"/>
                <w:color w:val="auto"/>
                <w:sz w:val="24"/>
                <w:highlight w:val="none"/>
              </w:rPr>
              <w:t>为</w:t>
            </w:r>
            <w:r>
              <w:rPr>
                <w:rFonts w:hint="eastAsia" w:cs="Times New Roman"/>
                <w:color w:val="auto"/>
                <w:sz w:val="24"/>
                <w:highlight w:val="none"/>
                <w:lang w:val="en-US" w:eastAsia="zh-CN"/>
              </w:rPr>
              <w:t>1.086</w:t>
            </w:r>
            <w:r>
              <w:rPr>
                <w:rFonts w:hint="default" w:ascii="Times New Roman" w:hAnsi="Times New Roman" w:cs="Times New Roman"/>
                <w:color w:val="auto"/>
                <w:sz w:val="24"/>
                <w:highlight w:val="none"/>
              </w:rPr>
              <w:t>t/a。</w:t>
            </w:r>
          </w:p>
          <w:p>
            <w:pPr>
              <w:adjustRightInd w:val="0"/>
              <w:snapToGrid w:val="0"/>
              <w:ind w:left="0" w:leftChars="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rPr>
              <w: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w:t>
            </w:r>
            <w:r>
              <w:rPr>
                <w:rFonts w:hint="default" w:ascii="Times New Roman" w:hAnsi="Times New Roman" w:cs="Times New Roman"/>
                <w:color w:val="auto"/>
                <w:sz w:val="24"/>
                <w:highlight w:val="none"/>
              </w:rPr>
              <w:t>漆渣</w:t>
            </w:r>
            <w:r>
              <w:rPr>
                <w:rFonts w:hint="default" w:ascii="Times New Roman" w:hAnsi="Times New Roman" w:cs="Times New Roman"/>
                <w:color w:val="auto"/>
                <w:highlight w:val="none"/>
              </w:rPr>
              <w:t>类别为HW12染料、涂料废物，废物代码为900-041-49，使用油漆（不包括水性漆）、有机溶剂进行喷漆、上漆过程中过喷漆雾湿法捕集产生的漆渣以及喷涂工位和管道清理过程产生的落地漆渣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漆渣</w:t>
            </w:r>
            <w:r>
              <w:rPr>
                <w:rFonts w:hint="default" w:ascii="Times New Roman" w:hAnsi="Times New Roman" w:cs="Times New Roman"/>
                <w:color w:val="auto"/>
                <w:highlight w:val="none"/>
              </w:rPr>
              <w:t>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eastAsia" w:cs="Times New Roman"/>
                <w:color w:val="auto"/>
                <w:highlight w:val="none"/>
                <w:lang w:eastAsia="zh-CN"/>
              </w:rPr>
              <w:t>。</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②</w:t>
            </w:r>
            <w:r>
              <w:rPr>
                <w:rFonts w:hint="default" w:ascii="Times New Roman" w:hAnsi="Times New Roman" w:cs="Times New Roman"/>
                <w:color w:val="auto"/>
                <w:highlight w:val="none"/>
              </w:rPr>
              <w:t>废纸盒滤芯</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漆雾颗粒</w:t>
            </w:r>
            <w:r>
              <w:rPr>
                <w:rFonts w:hint="default" w:ascii="Times New Roman" w:hAnsi="Times New Roman" w:cs="Times New Roman"/>
                <w:color w:val="auto"/>
                <w:sz w:val="24"/>
                <w:highlight w:val="none"/>
                <w:lang w:val="en-US" w:eastAsia="zh-CN"/>
              </w:rPr>
              <w:t>由</w:t>
            </w:r>
            <w:r>
              <w:rPr>
                <w:rFonts w:hint="default" w:ascii="Times New Roman" w:hAnsi="Times New Roman" w:cs="Times New Roman"/>
                <w:color w:val="auto"/>
                <w:highlight w:val="none"/>
                <w:lang w:val="en-US" w:eastAsia="zh-CN"/>
              </w:rPr>
              <w:t>纸盒过滤后</w:t>
            </w:r>
            <w:r>
              <w:rPr>
                <w:rFonts w:hint="default" w:ascii="Times New Roman" w:hAnsi="Times New Roman" w:cs="Times New Roman"/>
                <w:color w:val="auto"/>
                <w:highlight w:val="none"/>
                <w:lang w:eastAsia="zh-CN"/>
              </w:rPr>
              <w:t>，滤芯需定期更换，蜂窝纸式漆雾过滤纸盒采用9层开孔大小不一的蜂窝纸通过错层叠放做为预过滤层，漆雾过滤纸盒的最后一层用无纺布控制精度。当喷漆房排风穿过蜂窝漆雾过滤纸盒时，漆渣会和预过滤作用的蜂窝纸全面接触，此时，足够大的颗粒就会被拦截下来。同时，在一部分开孔处，也会出现过滤架桥现象，一些更小的颗粒在自由运动时，也可能被随机的被拦截下来。最后一层无纺布过滤层的精度多为初效级别，纸盒长期使用后需进行更换，更换周期一般为</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月/次，</w:t>
            </w:r>
            <w:r>
              <w:rPr>
                <w:rFonts w:hint="default" w:ascii="Times New Roman" w:hAnsi="Times New Roman" w:cs="Times New Roman"/>
                <w:color w:val="auto"/>
                <w:highlight w:val="none"/>
                <w:lang w:val="en-US" w:eastAsia="zh-CN"/>
              </w:rPr>
              <w:t>更换的每层</w:t>
            </w:r>
            <w:r>
              <w:rPr>
                <w:rFonts w:hint="default" w:ascii="Times New Roman" w:hAnsi="Times New Roman" w:cs="Times New Roman"/>
                <w:color w:val="auto"/>
                <w:highlight w:val="none"/>
              </w:rPr>
              <w:t>废纸盒滤芯</w:t>
            </w:r>
            <w:r>
              <w:rPr>
                <w:rFonts w:hint="default" w:ascii="Times New Roman" w:hAnsi="Times New Roman" w:cs="Times New Roman"/>
                <w:color w:val="auto"/>
                <w:highlight w:val="none"/>
                <w:lang w:val="en-US" w:eastAsia="zh-CN"/>
              </w:rPr>
              <w:t>约为2kg，</w:t>
            </w:r>
            <w:r>
              <w:rPr>
                <w:rFonts w:hint="default" w:ascii="Times New Roman" w:hAnsi="Times New Roman" w:cs="Times New Roman"/>
                <w:color w:val="auto"/>
                <w:sz w:val="24"/>
                <w:highlight w:val="none"/>
              </w:rPr>
              <w:t>则</w:t>
            </w:r>
            <w:r>
              <w:rPr>
                <w:rFonts w:hint="default" w:ascii="Times New Roman" w:hAnsi="Times New Roman" w:cs="Times New Roman"/>
                <w:color w:val="auto"/>
                <w:highlight w:val="none"/>
              </w:rPr>
              <w:t>废纸盒滤芯</w:t>
            </w:r>
            <w:r>
              <w:rPr>
                <w:rFonts w:hint="default" w:ascii="Times New Roman" w:hAnsi="Times New Roman" w:cs="Times New Roman"/>
                <w:color w:val="auto"/>
                <w:sz w:val="24"/>
                <w:highlight w:val="none"/>
              </w:rPr>
              <w:t>产生量</w:t>
            </w:r>
            <w:r>
              <w:rPr>
                <w:rFonts w:hint="default" w:ascii="Times New Roman" w:hAnsi="Times New Roman" w:cs="Times New Roman"/>
                <w:color w:val="auto"/>
                <w:sz w:val="24"/>
                <w:highlight w:val="none"/>
                <w:lang w:val="en-US" w:eastAsia="zh-CN"/>
              </w:rPr>
              <w:t>约为0.072</w:t>
            </w:r>
            <w:r>
              <w:rPr>
                <w:rFonts w:hint="default" w:ascii="Times New Roman" w:hAnsi="Times New Roman" w:cs="Times New Roman"/>
                <w:color w:val="auto"/>
                <w:sz w:val="24"/>
                <w:highlight w:val="none"/>
              </w:rPr>
              <w:t>t/a。</w:t>
            </w:r>
          </w:p>
          <w:p>
            <w:pPr>
              <w:adjustRightInd w:val="0"/>
              <w:snapToGrid w:val="0"/>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w:t>
            </w:r>
            <w:r>
              <w:rPr>
                <w:rFonts w:hint="default" w:ascii="Times New Roman" w:hAnsi="Times New Roman" w:cs="Times New Roman"/>
                <w:color w:val="auto"/>
                <w:sz w:val="24"/>
                <w:highlight w:val="none"/>
              </w:rPr>
              <w:t>废纸盒滤芯</w:t>
            </w:r>
            <w:r>
              <w:rPr>
                <w:rFonts w:hint="default" w:ascii="Times New Roman" w:hAnsi="Times New Roman" w:cs="Times New Roman"/>
                <w:color w:val="auto"/>
                <w:highlight w:val="none"/>
              </w:rPr>
              <w:t>废物类别为HW49其他废物，废物代码为900-041-49，含有或者沾染毒性、感染性危险废物的废弃的包装物、容器、过滤吸附介质</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废纸盒滤芯统一收集</w:t>
            </w:r>
            <w:r>
              <w:rPr>
                <w:rFonts w:hint="eastAsia" w:cs="Times New Roman"/>
                <w:color w:val="auto"/>
                <w:sz w:val="24"/>
                <w:highlight w:val="none"/>
                <w:lang w:eastAsia="zh-CN"/>
              </w:rPr>
              <w:t>，</w:t>
            </w:r>
            <w:r>
              <w:rPr>
                <w:rFonts w:hint="default" w:ascii="Times New Roman" w:hAnsi="Times New Roman" w:cs="Times New Roman"/>
                <w:color w:val="auto"/>
                <w:highlight w:val="none"/>
              </w:rPr>
              <w:t>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③废油漆桶</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本项目油漆采用桶装，</w:t>
            </w:r>
            <w:r>
              <w:rPr>
                <w:rFonts w:hint="default" w:ascii="Times New Roman" w:hAnsi="Times New Roman" w:cs="Times New Roman"/>
                <w:color w:val="auto"/>
                <w:sz w:val="24"/>
                <w:highlight w:val="none"/>
                <w:lang w:val="en-US" w:eastAsia="zh-CN"/>
              </w:rPr>
              <w:t>规格为20L/桶，本项目使用水性漆用量为10t，油性漆用量为2.7t/a（其中耐磨环氧铝粉漆EXAII组份A（油漆）用量1t/a、耐磨环氧铝粉漆EXAII组份B（固化剂）用量0.5t/a、丙烯酸聚氨酯面漆用量1t/a、稀释剂用量0.2t/a），水性漆密度为1.25g/c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耐磨环氧铝粉漆EXAII组份A和组分B</w:t>
            </w:r>
            <w:r>
              <w:rPr>
                <w:rFonts w:hint="default" w:ascii="Times New Roman" w:hAnsi="Times New Roman" w:eastAsia="宋体" w:cs="Times New Roman"/>
                <w:color w:val="auto"/>
                <w:sz w:val="24"/>
                <w:highlight w:val="none"/>
                <w:lang w:val="en-US" w:eastAsia="zh-CN"/>
              </w:rPr>
              <w:t>，取中间密度1.528g/m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，丙烯酸聚氨酯面漆取中间密度1.39g/m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，稀释剂</w:t>
            </w:r>
            <w:r>
              <w:rPr>
                <w:rFonts w:hint="default" w:ascii="Times New Roman" w:hAnsi="Times New Roman" w:eastAsia="宋体" w:cs="Times New Roman"/>
                <w:i w:val="0"/>
                <w:iCs w:val="0"/>
                <w:caps w:val="0"/>
                <w:color w:val="auto"/>
                <w:spacing w:val="0"/>
                <w:sz w:val="24"/>
                <w:szCs w:val="24"/>
                <w:highlight w:val="none"/>
              </w:rPr>
              <w:t>密度取中间值0.85</w:t>
            </w:r>
            <w:r>
              <w:rPr>
                <w:rFonts w:hint="default" w:ascii="Times New Roman" w:hAnsi="Times New Roman" w:eastAsia="宋体" w:cs="Times New Roman"/>
                <w:color w:val="auto"/>
                <w:sz w:val="24"/>
                <w:highlight w:val="none"/>
                <w:lang w:val="en-US" w:eastAsia="zh-CN"/>
              </w:rPr>
              <w:t>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，单只空桶重量按1.0kg计，则共计</w:t>
            </w:r>
            <w:r>
              <w:rPr>
                <w:rFonts w:hint="default" w:ascii="Times New Roman" w:hAnsi="Times New Roman" w:cs="Times New Roman"/>
                <w:color w:val="auto"/>
                <w:sz w:val="24"/>
                <w:highlight w:val="none"/>
              </w:rPr>
              <w:t>废</w:t>
            </w:r>
            <w:r>
              <w:rPr>
                <w:rFonts w:hint="default" w:ascii="Times New Roman" w:hAnsi="Times New Roman" w:cs="Times New Roman"/>
                <w:color w:val="auto"/>
                <w:sz w:val="24"/>
                <w:highlight w:val="none"/>
                <w:lang w:val="en-US" w:eastAsia="zh-CN"/>
              </w:rPr>
              <w:t>油</w:t>
            </w:r>
            <w:r>
              <w:rPr>
                <w:rFonts w:hint="default" w:ascii="Times New Roman" w:hAnsi="Times New Roman" w:cs="Times New Roman"/>
                <w:color w:val="auto"/>
                <w:sz w:val="24"/>
                <w:highlight w:val="none"/>
              </w:rPr>
              <w:t>漆桶</w:t>
            </w:r>
            <w:r>
              <w:rPr>
                <w:rFonts w:hint="default" w:ascii="Times New Roman" w:hAnsi="Times New Roman" w:cs="Times New Roman"/>
                <w:color w:val="auto"/>
                <w:sz w:val="24"/>
                <w:highlight w:val="none"/>
                <w:lang w:val="en-US" w:eastAsia="zh-CN"/>
              </w:rPr>
              <w:t>为497桶，</w:t>
            </w:r>
            <w:r>
              <w:rPr>
                <w:rFonts w:hint="default" w:ascii="Times New Roman" w:hAnsi="Times New Roman" w:cs="Times New Roman"/>
                <w:color w:val="auto"/>
                <w:sz w:val="24"/>
                <w:highlight w:val="none"/>
              </w:rPr>
              <w:t>产生量约为</w:t>
            </w:r>
            <w:r>
              <w:rPr>
                <w:rFonts w:hint="default"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w:t>
            </w:r>
            <w:r>
              <w:rPr>
                <w:rFonts w:hint="default" w:ascii="Times New Roman" w:hAnsi="Times New Roman" w:cs="Times New Roman"/>
                <w:color w:val="auto"/>
                <w:sz w:val="24"/>
                <w:highlight w:val="none"/>
              </w:rPr>
              <w:t>废</w:t>
            </w:r>
            <w:r>
              <w:rPr>
                <w:rFonts w:hint="default" w:ascii="Times New Roman" w:hAnsi="Times New Roman" w:cs="Times New Roman"/>
                <w:color w:val="auto"/>
                <w:sz w:val="24"/>
                <w:highlight w:val="none"/>
                <w:lang w:val="en-US" w:eastAsia="zh-CN"/>
              </w:rPr>
              <w:t>油</w:t>
            </w:r>
            <w:r>
              <w:rPr>
                <w:rFonts w:hint="default" w:ascii="Times New Roman" w:hAnsi="Times New Roman" w:cs="Times New Roman"/>
                <w:color w:val="auto"/>
                <w:sz w:val="24"/>
                <w:highlight w:val="none"/>
              </w:rPr>
              <w:t>漆桶</w:t>
            </w:r>
            <w:r>
              <w:rPr>
                <w:rFonts w:hint="default" w:ascii="Times New Roman" w:hAnsi="Times New Roman" w:cs="Times New Roman"/>
                <w:color w:val="auto"/>
                <w:highlight w:val="none"/>
              </w:rPr>
              <w:t>废物类别为HW49其他废物，废物代码为900-041-49，含有或者沾染毒性、感染性危险废物的废弃的包装物、容器、过滤吸附介质</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废油漆桶</w:t>
            </w:r>
            <w:r>
              <w:rPr>
                <w:rFonts w:hint="eastAsia" w:cs="Times New Roman"/>
                <w:bCs/>
                <w:color w:val="auto"/>
                <w:highlight w:val="none"/>
                <w:lang w:val="en-US" w:eastAsia="zh-CN"/>
              </w:rPr>
              <w:t>进行密闭封装，</w:t>
            </w:r>
            <w:r>
              <w:rPr>
                <w:rFonts w:hint="default" w:ascii="Times New Roman" w:hAnsi="Times New Roman" w:cs="Times New Roman"/>
                <w:color w:val="auto"/>
                <w:sz w:val="24"/>
                <w:highlight w:val="none"/>
              </w:rPr>
              <w:t>统一收集</w:t>
            </w:r>
            <w:r>
              <w:rPr>
                <w:rFonts w:hint="eastAsia" w:cs="Times New Roman"/>
                <w:color w:val="auto"/>
                <w:sz w:val="24"/>
                <w:highlight w:val="none"/>
                <w:lang w:val="en-US" w:eastAsia="zh-CN"/>
              </w:rPr>
              <w:t>后</w:t>
            </w:r>
            <w:r>
              <w:rPr>
                <w:rFonts w:hint="eastAsia" w:cs="Times New Roman"/>
                <w:color w:val="auto"/>
                <w:sz w:val="24"/>
                <w:highlight w:val="none"/>
                <w:lang w:eastAsia="zh-CN"/>
              </w:rPr>
              <w:t>，</w:t>
            </w:r>
            <w:r>
              <w:rPr>
                <w:rFonts w:hint="default" w:ascii="Times New Roman" w:hAnsi="Times New Roman" w:cs="Times New Roman"/>
                <w:color w:val="auto"/>
                <w:highlight w:val="none"/>
              </w:rPr>
              <w:t>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内，定期委托有资质的单位安全处置</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④废活性炭</w:t>
            </w:r>
          </w:p>
          <w:p>
            <w:pPr>
              <w:adjustRightInd w:val="0"/>
              <w:snapToGrid w:val="0"/>
              <w:spacing w:line="360" w:lineRule="auto"/>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活性炭吸附箱</w:t>
            </w:r>
            <w:r>
              <w:rPr>
                <w:rFonts w:hint="default" w:ascii="Times New Roman" w:hAnsi="Times New Roman" w:cs="Times New Roman"/>
                <w:color w:val="auto"/>
                <w:highlight w:val="none"/>
                <w:lang w:eastAsia="zh-CN"/>
              </w:rPr>
              <w:t>内</w:t>
            </w:r>
            <w:r>
              <w:rPr>
                <w:rFonts w:hint="default" w:ascii="Times New Roman" w:hAnsi="Times New Roman" w:cs="Times New Roman"/>
                <w:color w:val="auto"/>
                <w:highlight w:val="none"/>
              </w:rPr>
              <w:t>的活性炭吸附饱和后需要及时更换，由此产生的废饱和活性炭，因其表面、内部附着的污染物可能具有毒性，废活性炭</w:t>
            </w:r>
            <w:r>
              <w:rPr>
                <w:rFonts w:hint="default" w:ascii="Times New Roman" w:hAnsi="Times New Roman" w:cs="Times New Roman"/>
                <w:color w:val="auto"/>
                <w:highlight w:val="none"/>
                <w:lang w:eastAsia="zh-CN"/>
              </w:rPr>
              <w:t>属于</w:t>
            </w:r>
            <w:r>
              <w:rPr>
                <w:rFonts w:hint="default" w:ascii="Times New Roman" w:hAnsi="Times New Roman" w:cs="Times New Roman"/>
                <w:color w:val="auto"/>
                <w:highlight w:val="none"/>
              </w:rPr>
              <w:t>《国家危险废物名录》（2025年版）中HW49其他废物，废物代码900-039-49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烟气、VOCs治理过程（不包括餐饮行业油烟治理过程）产生的废活性炭，化学原料和化学制品脱色（不包括有机合成食品添加剂脱色）、除杂、净化过程产生的废活性炭（不包括900-405-06、772-005-18、261-053-29、265-002-29、384-003-29、387-001-29类危险废物）</w:t>
            </w:r>
            <w:r>
              <w:rPr>
                <w:rFonts w:hint="default" w:ascii="Times New Roman" w:hAnsi="Times New Roman" w:cs="Times New Roman"/>
                <w:color w:val="auto"/>
                <w:highlight w:val="none"/>
                <w:lang w:eastAsia="zh-CN"/>
              </w:rPr>
              <w:t>。</w:t>
            </w:r>
          </w:p>
          <w:p>
            <w:pPr>
              <w:spacing w:line="360" w:lineRule="auto"/>
              <w:ind w:firstLine="480" w:firstLineChars="200"/>
              <w:rPr>
                <w:rFonts w:hint="eastAsia"/>
                <w:bCs/>
                <w:color w:val="auto"/>
                <w:kern w:val="24"/>
                <w:highlight w:val="none"/>
                <w:lang w:val="en-US" w:eastAsia="zh-CN"/>
              </w:rPr>
            </w:pPr>
            <w:r>
              <w:rPr>
                <w:rFonts w:hint="eastAsia"/>
                <w:bCs/>
                <w:color w:val="auto"/>
                <w:kern w:val="24"/>
                <w:highlight w:val="none"/>
                <w:lang w:val="en-US" w:eastAsia="zh-CN"/>
              </w:rPr>
              <w:t>根据《关于规范挥发性有机物治理过程中活性炭使用管理的通知》附件1废气收集参数和最少活性炭装填量参考表，本项目设计风量为3000m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/h，废气产生浓度为393.067mg/m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，属于Q&lt;5000Nm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/h，VOCs初始浓度范围300-400Nmg/m</w:t>
            </w:r>
            <w:r>
              <w:rPr>
                <w:rFonts w:hint="eastAsia"/>
                <w:bCs/>
                <w:color w:val="auto"/>
                <w:kern w:val="24"/>
                <w:highlight w:val="none"/>
                <w:vertAlign w:val="superscript"/>
                <w:lang w:val="en-US" w:eastAsia="zh-CN"/>
              </w:rPr>
              <w:t>3</w:t>
            </w:r>
            <w:r>
              <w:rPr>
                <w:rFonts w:hint="eastAsia"/>
                <w:bCs/>
                <w:color w:val="auto"/>
                <w:kern w:val="24"/>
                <w:highlight w:val="none"/>
                <w:lang w:val="en-US" w:eastAsia="zh-CN"/>
              </w:rPr>
              <w:t>，活性炭最少装填量/吨（按500小时使用时间计）为3t。</w:t>
            </w:r>
          </w:p>
          <w:p>
            <w:pPr>
              <w:adjustRightInd w:val="0"/>
              <w:snapToGrid w:val="0"/>
              <w:ind w:left="0" w:leftChars="0" w:firstLine="480" w:firstLineChars="200"/>
              <w:rPr>
                <w:rFonts w:hint="default" w:ascii="Times New Roman" w:hAnsi="Times New Roman" w:cs="Times New Roman"/>
                <w:color w:val="auto"/>
                <w:sz w:val="24"/>
                <w:highlight w:val="none"/>
              </w:rPr>
            </w:pPr>
            <w:r>
              <w:rPr>
                <w:rFonts w:hint="eastAsia"/>
                <w:bCs/>
                <w:color w:val="auto"/>
                <w:kern w:val="24"/>
                <w:highlight w:val="none"/>
                <w:lang w:val="en-US" w:eastAsia="zh-CN"/>
              </w:rPr>
              <w:t>综上所述，</w:t>
            </w:r>
            <w:r>
              <w:rPr>
                <w:rFonts w:hint="default" w:ascii="Times New Roman" w:hAnsi="Times New Roman" w:eastAsia="宋体" w:cs="Times New Roman"/>
                <w:caps w:val="0"/>
                <w:snapToGrid/>
                <w:color w:val="auto"/>
                <w:spacing w:val="0"/>
                <w:w w:val="100"/>
                <w:kern w:val="0"/>
                <w:position w:val="0"/>
                <w:szCs w:val="24"/>
                <w:highlight w:val="none"/>
                <w:lang w:val="en-US" w:eastAsia="zh-CN"/>
              </w:rPr>
              <w:t>本项目选用的</w:t>
            </w:r>
            <w:r>
              <w:rPr>
                <w:rFonts w:hint="eastAsia" w:cs="Times New Roman"/>
                <w:caps w:val="0"/>
                <w:snapToGrid/>
                <w:color w:val="auto"/>
                <w:spacing w:val="0"/>
                <w:w w:val="100"/>
                <w:kern w:val="0"/>
                <w:position w:val="0"/>
                <w:szCs w:val="24"/>
                <w:highlight w:val="none"/>
                <w:lang w:val="en-US" w:eastAsia="zh-CN"/>
              </w:rPr>
              <w:t>活性炭吸附</w:t>
            </w:r>
            <w:r>
              <w:rPr>
                <w:rFonts w:hint="eastAsia" w:ascii="Times New Roman" w:hAnsi="Times New Roman" w:eastAsia="宋体" w:cs="Times New Roman"/>
                <w:caps w:val="0"/>
                <w:snapToGrid/>
                <w:color w:val="auto"/>
                <w:spacing w:val="0"/>
                <w:w w:val="100"/>
                <w:kern w:val="0"/>
                <w:position w:val="0"/>
                <w:szCs w:val="24"/>
                <w:highlight w:val="none"/>
                <w:lang w:val="en-US" w:eastAsia="zh-CN"/>
              </w:rPr>
              <w:t>处理</w:t>
            </w:r>
            <w:r>
              <w:rPr>
                <w:rFonts w:hint="eastAsia" w:cs="Times New Roman"/>
                <w:caps w:val="0"/>
                <w:snapToGrid/>
                <w:color w:val="auto"/>
                <w:spacing w:val="0"/>
                <w:w w:val="100"/>
                <w:kern w:val="0"/>
                <w:position w:val="0"/>
                <w:szCs w:val="24"/>
                <w:highlight w:val="none"/>
                <w:lang w:val="en-US" w:eastAsia="zh-CN"/>
              </w:rPr>
              <w:t>后</w:t>
            </w:r>
            <w:r>
              <w:rPr>
                <w:rFonts w:hint="eastAsia" w:ascii="Times New Roman" w:hAnsi="Times New Roman" w:eastAsia="宋体" w:cs="Times New Roman"/>
                <w:caps w:val="0"/>
                <w:snapToGrid/>
                <w:color w:val="auto"/>
                <w:spacing w:val="0"/>
                <w:w w:val="100"/>
                <w:kern w:val="0"/>
                <w:position w:val="0"/>
                <w:szCs w:val="24"/>
                <w:highlight w:val="none"/>
                <w:lang w:val="en-US" w:eastAsia="zh-CN"/>
              </w:rPr>
              <w:t>，年工作300天，每天8小时，每次更换时间为62.5天，每次更换活性炭最大量为3t（14.4t/a）。</w:t>
            </w:r>
            <w:r>
              <w:rPr>
                <w:rFonts w:hint="default" w:ascii="Times New Roman" w:hAnsi="Times New Roman" w:cs="Times New Roman"/>
                <w:color w:val="auto"/>
                <w:highlight w:val="none"/>
              </w:rPr>
              <w:t>更换后的废活性炭采用桶装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⑤废催化剂</w:t>
            </w:r>
          </w:p>
          <w:p>
            <w:pPr>
              <w:adjustRightInd w:val="0"/>
              <w:snapToGrid w:val="0"/>
              <w:ind w:left="0" w:leftChars="0" w:firstLine="480" w:firstLineChars="200"/>
              <w:rPr>
                <w:rFonts w:hint="default" w:ascii="Times New Roman" w:hAnsi="Times New Roman" w:eastAsia="宋体" w:cs="Times New Roman"/>
                <w:caps w:val="0"/>
                <w:snapToGrid/>
                <w:color w:val="auto"/>
                <w:spacing w:val="0"/>
                <w:w w:val="100"/>
                <w:kern w:val="0"/>
                <w:position w:val="0"/>
                <w:sz w:val="24"/>
                <w:szCs w:val="24"/>
                <w:highlight w:val="none"/>
                <w:lang w:val="en-US" w:eastAsia="zh-CN"/>
              </w:rPr>
            </w:pPr>
            <w:r>
              <w:rPr>
                <w:rFonts w:hint="default" w:ascii="Times New Roman" w:hAnsi="Times New Roman" w:cs="Times New Roman"/>
                <w:color w:val="auto"/>
                <w:sz w:val="24"/>
                <w:highlight w:val="none"/>
              </w:rPr>
              <w:t>本项目喷漆工序</w:t>
            </w:r>
            <w:r>
              <w:rPr>
                <w:rFonts w:hint="default" w:ascii="Times New Roman" w:hAnsi="Times New Roman" w:cs="Times New Roman"/>
                <w:color w:val="auto"/>
                <w:sz w:val="24"/>
                <w:highlight w:val="none"/>
                <w:lang w:val="en-US" w:eastAsia="zh-CN"/>
              </w:rPr>
              <w:t>对非甲烷总烃</w:t>
            </w:r>
            <w:r>
              <w:rPr>
                <w:rFonts w:hint="default" w:ascii="Times New Roman" w:hAnsi="Times New Roman" w:cs="Times New Roman"/>
                <w:color w:val="auto"/>
                <w:sz w:val="24"/>
                <w:highlight w:val="none"/>
              </w:rPr>
              <w:t>吸附净化过程产生废催化剂，</w:t>
            </w:r>
            <w:r>
              <w:rPr>
                <w:rFonts w:hint="eastAsia" w:cs="Times New Roman"/>
                <w:caps w:val="0"/>
                <w:snapToGrid/>
                <w:color w:val="auto"/>
                <w:spacing w:val="0"/>
                <w:w w:val="100"/>
                <w:kern w:val="0"/>
                <w:position w:val="0"/>
                <w:sz w:val="24"/>
                <w:szCs w:val="24"/>
                <w:highlight w:val="none"/>
                <w:lang w:eastAsia="zh-CN"/>
              </w:rPr>
              <w:t>催化燃烧</w:t>
            </w:r>
            <w:r>
              <w:rPr>
                <w:rFonts w:hint="default" w:ascii="Times New Roman" w:hAnsi="Times New Roman" w:eastAsia="宋体" w:cs="Times New Roman"/>
                <w:caps w:val="0"/>
                <w:snapToGrid/>
                <w:color w:val="auto"/>
                <w:spacing w:val="0"/>
                <w:w w:val="100"/>
                <w:kern w:val="0"/>
                <w:position w:val="0"/>
                <w:sz w:val="24"/>
                <w:szCs w:val="24"/>
                <w:highlight w:val="none"/>
                <w:lang w:eastAsia="zh-CN"/>
              </w:rPr>
              <w:t>装置</w:t>
            </w:r>
            <w:r>
              <w:rPr>
                <w:rFonts w:hint="default" w:ascii="Times New Roman" w:hAnsi="Times New Roman" w:eastAsia="宋体" w:cs="Times New Roman"/>
                <w:caps w:val="0"/>
                <w:snapToGrid/>
                <w:color w:val="auto"/>
                <w:spacing w:val="0"/>
                <w:w w:val="100"/>
                <w:kern w:val="0"/>
                <w:position w:val="0"/>
                <w:sz w:val="24"/>
                <w:szCs w:val="24"/>
                <w:highlight w:val="none"/>
              </w:rPr>
              <w:t>需使用贵金属作为催化剂，</w:t>
            </w:r>
            <w:r>
              <w:rPr>
                <w:rFonts w:hint="default" w:ascii="Times New Roman" w:hAnsi="Times New Roman" w:eastAsia="宋体" w:cs="Times New Roman"/>
                <w:caps w:val="0"/>
                <w:snapToGrid/>
                <w:color w:val="auto"/>
                <w:spacing w:val="0"/>
                <w:w w:val="100"/>
                <w:kern w:val="0"/>
                <w:position w:val="0"/>
                <w:sz w:val="24"/>
                <w:szCs w:val="24"/>
                <w:highlight w:val="none"/>
                <w:lang w:val="en-US" w:eastAsia="zh-CN"/>
              </w:rPr>
              <w:t>该种类催化剂寿命长，更换频次约5年/次，一次填充量</w:t>
            </w:r>
            <w:r>
              <w:rPr>
                <w:rFonts w:hint="eastAsia" w:ascii="Times New Roman" w:hAnsi="Times New Roman" w:eastAsia="宋体" w:cs="Times New Roman"/>
                <w:caps w:val="0"/>
                <w:snapToGrid/>
                <w:color w:val="auto"/>
                <w:spacing w:val="0"/>
                <w:w w:val="100"/>
                <w:kern w:val="0"/>
                <w:position w:val="0"/>
                <w:sz w:val="24"/>
                <w:szCs w:val="24"/>
                <w:highlight w:val="none"/>
                <w:lang w:val="en-US" w:eastAsia="zh-CN"/>
              </w:rPr>
              <w:t>0.3</w:t>
            </w:r>
            <w:r>
              <w:rPr>
                <w:rFonts w:hint="default" w:ascii="Times New Roman" w:hAnsi="Times New Roman" w:eastAsia="宋体" w:cs="Times New Roman"/>
                <w:caps w:val="0"/>
                <w:snapToGrid/>
                <w:color w:val="auto"/>
                <w:spacing w:val="0"/>
                <w:w w:val="100"/>
                <w:kern w:val="0"/>
                <w:position w:val="0"/>
                <w:sz w:val="24"/>
                <w:szCs w:val="24"/>
                <w:highlight w:val="none"/>
                <w:lang w:val="en-US" w:eastAsia="zh-CN"/>
              </w:rPr>
              <w:t>t，产生量</w:t>
            </w:r>
            <w:r>
              <w:rPr>
                <w:rFonts w:hint="eastAsia" w:ascii="Times New Roman" w:hAnsi="Times New Roman" w:eastAsia="宋体" w:cs="Times New Roman"/>
                <w:caps w:val="0"/>
                <w:snapToGrid/>
                <w:color w:val="auto"/>
                <w:spacing w:val="0"/>
                <w:w w:val="100"/>
                <w:kern w:val="0"/>
                <w:position w:val="0"/>
                <w:sz w:val="24"/>
                <w:szCs w:val="24"/>
                <w:highlight w:val="none"/>
                <w:lang w:val="en-US" w:eastAsia="zh-CN"/>
              </w:rPr>
              <w:t>0.3</w:t>
            </w:r>
            <w:r>
              <w:rPr>
                <w:rFonts w:hint="default" w:ascii="Times New Roman" w:hAnsi="Times New Roman" w:eastAsia="宋体" w:cs="Times New Roman"/>
                <w:caps w:val="0"/>
                <w:snapToGrid/>
                <w:color w:val="auto"/>
                <w:spacing w:val="0"/>
                <w:w w:val="100"/>
                <w:kern w:val="0"/>
                <w:position w:val="0"/>
                <w:sz w:val="24"/>
                <w:szCs w:val="24"/>
                <w:highlight w:val="none"/>
                <w:lang w:val="en-US" w:eastAsia="zh-CN"/>
              </w:rPr>
              <w:t>t/5a。</w:t>
            </w:r>
          </w:p>
          <w:p>
            <w:pPr>
              <w:adjustRightInd w:val="0"/>
              <w:snapToGrid w:val="0"/>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w:t>
            </w:r>
            <w:r>
              <w:rPr>
                <w:rFonts w:hint="default" w:ascii="Times New Roman" w:hAnsi="Times New Roman" w:cs="Times New Roman"/>
                <w:color w:val="auto"/>
                <w:sz w:val="24"/>
                <w:highlight w:val="none"/>
              </w:rPr>
              <w:t>废催化剂</w:t>
            </w:r>
            <w:r>
              <w:rPr>
                <w:rFonts w:hint="default" w:ascii="Times New Roman" w:hAnsi="Times New Roman" w:cs="Times New Roman"/>
                <w:color w:val="auto"/>
                <w:highlight w:val="none"/>
              </w:rPr>
              <w:t>废物类别为HW50废催化剂，废物代码为900-048-50，废液体催化剂</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废催化剂</w:t>
            </w:r>
            <w:r>
              <w:rPr>
                <w:rFonts w:hint="default" w:ascii="Times New Roman" w:hAnsi="Times New Roman" w:cs="Times New Roman"/>
                <w:color w:val="auto"/>
                <w:highlight w:val="none"/>
              </w:rPr>
              <w:t>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kern w:val="0"/>
                <w:sz w:val="24"/>
                <w:szCs w:val="21"/>
                <w:highlight w:val="none"/>
                <w:lang w:val="en-US" w:eastAsia="zh-CN"/>
              </w:rPr>
            </w:pPr>
            <w:r>
              <w:rPr>
                <w:rFonts w:hint="default" w:ascii="Times New Roman" w:hAnsi="Times New Roman" w:eastAsia="宋体" w:cs="Times New Roman"/>
                <w:color w:val="auto"/>
                <w:sz w:val="24"/>
                <w:highlight w:val="none"/>
                <w:lang w:val="en-US" w:eastAsia="zh-CN"/>
              </w:rPr>
              <w:t>⑥</w:t>
            </w:r>
            <w:r>
              <w:rPr>
                <w:rFonts w:hint="default" w:ascii="Times New Roman" w:hAnsi="Times New Roman" w:cs="Times New Roman"/>
                <w:color w:val="auto"/>
                <w:sz w:val="24"/>
                <w:highlight w:val="none"/>
              </w:rPr>
              <w:t>废</w:t>
            </w:r>
            <w:r>
              <w:rPr>
                <w:rFonts w:hint="default" w:ascii="Times New Roman" w:hAnsi="Times New Roman" w:cs="Times New Roman"/>
                <w:color w:val="auto"/>
                <w:sz w:val="24"/>
                <w:highlight w:val="none"/>
                <w:lang w:val="en-US" w:eastAsia="zh-CN"/>
              </w:rPr>
              <w:t>机</w:t>
            </w:r>
            <w:r>
              <w:rPr>
                <w:rFonts w:hint="default" w:ascii="Times New Roman" w:hAnsi="Times New Roman" w:cs="Times New Roman"/>
                <w:color w:val="auto"/>
                <w:sz w:val="24"/>
                <w:highlight w:val="none"/>
              </w:rPr>
              <w:t>油</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项目进行设备检修维护时，会产生少量废机油，预计每年需更换机油0.2t。根据《国家危险废物名录》（202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版），废机油废物类别为HW08废机油与含矿物油废物，废物代码为900-217-08，车辆、轮船及其它机械维修过程中产生的废</w:t>
            </w:r>
          </w:p>
          <w:p>
            <w:pPr>
              <w:adjustRightInd w:val="0"/>
              <w:snapToGrid w:val="0"/>
              <w:ind w:left="0" w:leftChars="0" w:firstLine="0" w:firstLineChars="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rPr>
              <w:t>发动机油、制动器油、自动变速器油、齿轮油等废润滑油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产生的废机油采用桶装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default" w:ascii="Times New Roman" w:hAnsi="Times New Roman" w:eastAsia="宋体" w:cs="Times New Roman"/>
                <w:color w:val="auto"/>
                <w:sz w:val="24"/>
                <w:highlight w:val="none"/>
                <w:lang w:val="en-US" w:eastAsia="zh-CN"/>
              </w:rPr>
              <w:t>。</w:t>
            </w:r>
          </w:p>
          <w:p>
            <w:pPr>
              <w:bidi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⑦</w:t>
            </w:r>
            <w:r>
              <w:rPr>
                <w:rFonts w:hint="eastAsia" w:cs="Times New Roman"/>
                <w:color w:val="auto"/>
                <w:sz w:val="24"/>
                <w:highlight w:val="none"/>
                <w:lang w:val="en-US" w:eastAsia="zh-CN"/>
              </w:rPr>
              <w:t>废油桶及含油抹布、手套</w:t>
            </w:r>
          </w:p>
          <w:p>
            <w:pPr>
              <w:adjustRightInd w:val="0"/>
              <w:snapToGrid w:val="0"/>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本项目运行期间产生</w:t>
            </w:r>
            <w:r>
              <w:rPr>
                <w:rFonts w:hint="eastAsia" w:cs="Times New Roman"/>
                <w:color w:val="auto"/>
                <w:highlight w:val="none"/>
                <w:lang w:eastAsia="zh-CN"/>
              </w:rPr>
              <w:t>废油桶及含油抹布、手套</w:t>
            </w:r>
            <w:r>
              <w:rPr>
                <w:rFonts w:hint="default" w:ascii="Times New Roman" w:hAnsi="Times New Roman" w:cs="Times New Roman"/>
                <w:color w:val="auto"/>
                <w:highlight w:val="none"/>
              </w:rPr>
              <w:t>，年最大产生量为0.</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t。根据《国家危险废物名录》（202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版），</w:t>
            </w:r>
            <w:r>
              <w:rPr>
                <w:rFonts w:hint="eastAsia"/>
                <w:color w:val="auto"/>
                <w:sz w:val="24"/>
                <w:highlight w:val="none"/>
                <w:lang w:eastAsia="zh-CN"/>
              </w:rPr>
              <w:t>废油桶及含油抹布、手套</w:t>
            </w:r>
            <w:r>
              <w:rPr>
                <w:rFonts w:hint="eastAsia"/>
                <w:color w:val="auto"/>
                <w:sz w:val="24"/>
                <w:highlight w:val="none"/>
                <w:lang w:val="en-US" w:eastAsia="zh-CN"/>
              </w:rPr>
              <w:t>及含油抹布、手套</w:t>
            </w:r>
            <w:r>
              <w:rPr>
                <w:rFonts w:hint="eastAsia"/>
                <w:color w:val="auto"/>
                <w:highlight w:val="none"/>
              </w:rPr>
              <w:t>废物类别为HW</w:t>
            </w:r>
            <w:r>
              <w:rPr>
                <w:rFonts w:hint="eastAsia"/>
                <w:color w:val="auto"/>
                <w:highlight w:val="none"/>
                <w:lang w:val="en-US" w:eastAsia="zh-CN"/>
              </w:rPr>
              <w:t>08</w:t>
            </w:r>
            <w:r>
              <w:rPr>
                <w:rFonts w:hint="eastAsia"/>
                <w:color w:val="auto"/>
                <w:highlight w:val="none"/>
              </w:rPr>
              <w:t>废矿物油与含矿物油废物，废物代码为900-249-08，含其他生产、销售、使用过程中产生的废矿物油及沾染矿物油的废弃包装物</w:t>
            </w:r>
            <w:r>
              <w:rPr>
                <w:rFonts w:hint="default" w:ascii="Times New Roman" w:hAnsi="Times New Roman" w:cs="Times New Roman"/>
                <w:color w:val="auto"/>
                <w:highlight w:val="none"/>
                <w:lang w:eastAsia="zh-CN"/>
              </w:rPr>
              <w:t>。</w:t>
            </w:r>
            <w:r>
              <w:rPr>
                <w:rFonts w:hint="eastAsia" w:cs="Times New Roman"/>
                <w:color w:val="auto"/>
                <w:sz w:val="24"/>
                <w:highlight w:val="none"/>
                <w:lang w:val="en-US" w:eastAsia="zh-CN"/>
              </w:rPr>
              <w:t>废油桶及含油抹布、手套</w:t>
            </w:r>
            <w:r>
              <w:rPr>
                <w:rFonts w:hint="default" w:ascii="Times New Roman" w:hAnsi="Times New Roman" w:cs="Times New Roman"/>
                <w:color w:val="auto"/>
                <w:highlight w:val="none"/>
              </w:rPr>
              <w:t>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）生活垃圾</w:t>
            </w:r>
          </w:p>
          <w:p>
            <w:pPr>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highlight w:val="none"/>
              </w:rPr>
              <w:t>项目职工共</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人，按每人每天产生1kg生活垃圾计，则产生量约为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t/a，生活垃圾集中收集后由环卫部门统一处理。</w:t>
            </w:r>
          </w:p>
          <w:p>
            <w:pPr>
              <w:pStyle w:val="9"/>
              <w:spacing w:line="24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本项目固体废物产生环节、产生量核算一览表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84"/>
              <w:gridCol w:w="1293"/>
              <w:gridCol w:w="942"/>
              <w:gridCol w:w="782"/>
              <w:gridCol w:w="840"/>
              <w:gridCol w:w="938"/>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6"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w:t>
                  </w:r>
                </w:p>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705"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w:t>
                  </w:r>
                </w:p>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代码</w:t>
                  </w:r>
                </w:p>
              </w:tc>
              <w:tc>
                <w:tcPr>
                  <w:tcW w:w="770"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1027" w:type="pct"/>
                  <w:gridSpan w:val="2"/>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产生情况</w:t>
                  </w:r>
                </w:p>
              </w:tc>
              <w:tc>
                <w:tcPr>
                  <w:tcW w:w="1059" w:type="pct"/>
                  <w:gridSpan w:val="2"/>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772"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66"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p>
              </w:tc>
              <w:tc>
                <w:tcPr>
                  <w:tcW w:w="705"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p>
              </w:tc>
              <w:tc>
                <w:tcPr>
                  <w:tcW w:w="561"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w:t>
                  </w:r>
                </w:p>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方法</w:t>
                  </w:r>
                </w:p>
              </w:tc>
              <w:tc>
                <w:tcPr>
                  <w:tcW w:w="46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500"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处置量（t/a）</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金属碎屑及边角料</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SW17</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900-001-S17</w:t>
                  </w:r>
                </w:p>
              </w:tc>
              <w:tc>
                <w:tcPr>
                  <w:tcW w:w="770" w:type="pct"/>
                  <w:vMerge w:val="restar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一般工业固体废物</w:t>
                  </w: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500"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w:t>
                  </w:r>
                </w:p>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工序</w:t>
                  </w: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772"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统一收集后外售综合再利用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焊渣</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SW59</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900-099-S59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500" w:type="pct"/>
                  <w:vMerge w:val="continue"/>
                  <w:tcBorders>
                    <w:tl2br w:val="nil"/>
                    <w:tr2bl w:val="nil"/>
                  </w:tcBorders>
                  <w:vAlign w:val="center"/>
                </w:tcPr>
                <w:p>
                  <w:pPr>
                    <w:spacing w:line="240" w:lineRule="auto"/>
                    <w:ind w:left="-120" w:leftChars="-50" w:right="-120" w:rightChars="-50" w:firstLine="0" w:firstLineChars="0"/>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除尘灰</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SW59</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900-099-S59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5.94</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5.94</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废布袋</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SW59</w:t>
                  </w:r>
                </w:p>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900-099-S59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经验法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772"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全部由生产厂家回收处置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废钢砂</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SW59</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900-099-S59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772"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rPr>
                    <w:t>统一收集后外售综合再利用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废油脂</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SW61</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900-002-S61</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w:t>
                  </w:r>
                </w:p>
              </w:tc>
              <w:tc>
                <w:tcPr>
                  <w:tcW w:w="772"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定期由油脂回收单位回收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漆渣</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lang w:val="en-US" w:eastAsia="zh-CN"/>
                    </w:rPr>
                    <w:t>W</w:t>
                  </w:r>
                  <w:r>
                    <w:rPr>
                      <w:rFonts w:hint="default" w:ascii="Times New Roman" w:hAnsi="Times New Roman" w:cs="Times New Roman"/>
                      <w:color w:val="auto"/>
                      <w:sz w:val="21"/>
                      <w:szCs w:val="21"/>
                      <w:highlight w:val="none"/>
                    </w:rPr>
                    <w:t>12</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900-252-12</w:t>
                  </w:r>
                </w:p>
              </w:tc>
              <w:tc>
                <w:tcPr>
                  <w:tcW w:w="770"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1.086</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1.086</w:t>
                  </w:r>
                </w:p>
              </w:tc>
              <w:tc>
                <w:tcPr>
                  <w:tcW w:w="772"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统一收集后暂存于</w:t>
                  </w:r>
                  <w:r>
                    <w:rPr>
                      <w:rFonts w:hint="default" w:ascii="Times New Roman" w:hAnsi="Times New Roman" w:cs="Times New Roman"/>
                      <w:color w:val="auto"/>
                      <w:sz w:val="21"/>
                      <w:szCs w:val="21"/>
                      <w:highlight w:val="none"/>
                      <w:lang w:eastAsia="zh-CN"/>
                    </w:rPr>
                    <w:t>危险废物贮存库</w:t>
                  </w:r>
                  <w:r>
                    <w:rPr>
                      <w:rFonts w:hint="default" w:ascii="Times New Roman" w:hAnsi="Times New Roman" w:cs="Times New Roman"/>
                      <w:color w:val="auto"/>
                      <w:sz w:val="21"/>
                      <w:szCs w:val="21"/>
                      <w:highlight w:val="none"/>
                      <w:lang w:eastAsia="zh-Hans"/>
                    </w:rPr>
                    <w:t>，定期委托有资质的单位进行处置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废纸盒滤芯</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lang w:val="en-US" w:eastAsia="zh-CN"/>
                    </w:rPr>
                    <w:t>W</w:t>
                  </w:r>
                  <w:r>
                    <w:rPr>
                      <w:rFonts w:hint="default" w:ascii="Times New Roman" w:hAnsi="Times New Roman" w:cs="Times New Roman"/>
                      <w:color w:val="auto"/>
                      <w:sz w:val="21"/>
                      <w:szCs w:val="21"/>
                      <w:highlight w:val="none"/>
                    </w:rPr>
                    <w:t>12</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900-252-12</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物料衡算</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0.072</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0.072</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废油漆桶</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HW49</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900-041-49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废活性炭</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HW49</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900-039-49</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14.4</w:t>
                  </w:r>
                </w:p>
              </w:tc>
              <w:tc>
                <w:tcPr>
                  <w:tcW w:w="500"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设施</w:t>
                  </w: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14.4</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废催化剂</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w:t>
                  </w:r>
                  <w:r>
                    <w:rPr>
                      <w:rFonts w:hint="eastAsia" w:cs="Times New Roman"/>
                      <w:color w:val="auto"/>
                      <w:sz w:val="21"/>
                      <w:szCs w:val="21"/>
                      <w:highlight w:val="none"/>
                      <w:lang w:val="en-US" w:eastAsia="zh-CN"/>
                    </w:rPr>
                    <w:t>50</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900-048-50</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经验法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3t/5a</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t/5a</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w:t>
                  </w:r>
                  <w:r>
                    <w:rPr>
                      <w:rFonts w:hint="default" w:ascii="Times New Roman" w:hAnsi="Times New Roman" w:cs="Times New Roman"/>
                      <w:color w:val="auto"/>
                      <w:sz w:val="21"/>
                      <w:szCs w:val="21"/>
                      <w:highlight w:val="none"/>
                      <w:lang w:val="en-US" w:eastAsia="zh-CN"/>
                    </w:rPr>
                    <w:t>机</w:t>
                  </w:r>
                  <w:r>
                    <w:rPr>
                      <w:rFonts w:hint="default" w:ascii="Times New Roman" w:hAnsi="Times New Roman" w:cs="Times New Roman"/>
                      <w:color w:val="auto"/>
                      <w:sz w:val="21"/>
                      <w:szCs w:val="21"/>
                      <w:highlight w:val="none"/>
                    </w:rPr>
                    <w:t>油</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HW08</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900-217-08</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经验法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500" w:type="pct"/>
                  <w:vMerge w:val="restar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设备</w:t>
                  </w:r>
                </w:p>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维修</w:t>
                  </w: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废油桶及含油抹布、手套</w:t>
                  </w:r>
                </w:p>
              </w:tc>
              <w:tc>
                <w:tcPr>
                  <w:tcW w:w="705" w:type="pct"/>
                  <w:tcBorders>
                    <w:tl2br w:val="nil"/>
                    <w:tr2bl w:val="nil"/>
                  </w:tcBorders>
                  <w:vAlign w:val="center"/>
                </w:tcPr>
                <w:p>
                  <w:pPr>
                    <w:spacing w:line="240" w:lineRule="auto"/>
                    <w:ind w:left="-120" w:leftChars="-50" w:right="-120" w:rightChars="-5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HW08</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900-249-08</w:t>
                  </w:r>
                </w:p>
              </w:tc>
              <w:tc>
                <w:tcPr>
                  <w:tcW w:w="77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经验法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500"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772" w:type="pct"/>
                  <w:vMerge w:val="continue"/>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66"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705"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70"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生活垃圾</w:t>
                  </w:r>
                </w:p>
              </w:tc>
              <w:tc>
                <w:tcPr>
                  <w:tcW w:w="561"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系数法</w:t>
                  </w:r>
                </w:p>
              </w:tc>
              <w:tc>
                <w:tcPr>
                  <w:tcW w:w="465" w:type="pct"/>
                  <w:tcBorders>
                    <w:tl2br w:val="nil"/>
                    <w:tr2bl w:val="nil"/>
                  </w:tcBorders>
                  <w:shd w:val="clear" w:color="auto" w:fill="auto"/>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00"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日常</w:t>
                  </w:r>
                </w:p>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w:t>
                  </w:r>
                </w:p>
              </w:tc>
              <w:tc>
                <w:tcPr>
                  <w:tcW w:w="558"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772" w:type="pct"/>
                  <w:tcBorders>
                    <w:tl2br w:val="nil"/>
                    <w:tr2bl w:val="nil"/>
                  </w:tcBorders>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none"/>
                      <w:lang w:eastAsia="zh-Hans"/>
                    </w:rPr>
                  </w:pPr>
                  <w:r>
                    <w:rPr>
                      <w:rFonts w:hint="default" w:ascii="Times New Roman" w:hAnsi="Times New Roman" w:cs="Times New Roman"/>
                      <w:color w:val="auto"/>
                      <w:sz w:val="21"/>
                      <w:szCs w:val="21"/>
                      <w:highlight w:val="none"/>
                      <w:lang w:eastAsia="zh-Hans"/>
                    </w:rPr>
                    <w:t>交由环卫部门处理</w:t>
                  </w:r>
                </w:p>
              </w:tc>
            </w:tr>
          </w:tbl>
          <w:p>
            <w:pPr>
              <w:pStyle w:val="5"/>
              <w:adjustRightInd w:val="0"/>
              <w:snapToGrid w:val="0"/>
              <w:spacing w:beforeLines="50" w:after="0"/>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4.2固体废物防治措施及环境管理要求</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项目运营期主要产生的固体废物包括一般工业</w:t>
            </w:r>
            <w:r>
              <w:rPr>
                <w:rFonts w:hint="default" w:ascii="Times New Roman" w:hAnsi="Times New Roman" w:cs="Times New Roman"/>
                <w:color w:val="auto"/>
                <w:highlight w:val="none"/>
                <w:lang w:eastAsia="zh-Hans"/>
              </w:rPr>
              <w:t>固体废物、危险废物和</w:t>
            </w:r>
            <w:r>
              <w:rPr>
                <w:rFonts w:hint="default" w:ascii="Times New Roman" w:hAnsi="Times New Roman" w:cs="Times New Roman"/>
                <w:color w:val="auto"/>
                <w:highlight w:val="none"/>
              </w:rPr>
              <w:t>生活垃圾。</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（一）生活垃圾</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本项目生活垃圾产生量为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t/a，生活垃圾收集后交由环卫</w:t>
            </w:r>
            <w:r>
              <w:rPr>
                <w:rFonts w:hint="eastAsia" w:cs="Times New Roman"/>
                <w:color w:val="auto"/>
                <w:highlight w:val="none"/>
                <w:lang w:eastAsia="zh-CN"/>
              </w:rPr>
              <w:t>部门</w:t>
            </w:r>
            <w:r>
              <w:rPr>
                <w:rFonts w:hint="default" w:ascii="Times New Roman" w:hAnsi="Times New Roman" w:cs="Times New Roman"/>
                <w:color w:val="auto"/>
                <w:highlight w:val="none"/>
              </w:rPr>
              <w:t>统一处理。生活垃圾收集后，应做到垃圾袋装化、存放封闭化，做到日产日清；垃圾收集点应做好隔离措施，及时清运、消毒。</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（二）一般工业固体废物</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本项目在生产</w:t>
            </w:r>
            <w:r>
              <w:rPr>
                <w:rFonts w:hint="default" w:ascii="Times New Roman" w:hAnsi="Times New Roman" w:cs="Times New Roman"/>
                <w:color w:val="auto"/>
                <w:highlight w:val="none"/>
                <w:lang w:eastAsia="zh-Hans"/>
              </w:rPr>
              <w:t>车间内</w:t>
            </w:r>
            <w:r>
              <w:rPr>
                <w:rFonts w:hint="default" w:ascii="Times New Roman" w:hAnsi="Times New Roman" w:cs="Times New Roman"/>
                <w:color w:val="auto"/>
                <w:highlight w:val="none"/>
                <w:lang w:eastAsia="zh-CN"/>
              </w:rPr>
              <w:t>设置</w:t>
            </w:r>
            <w:r>
              <w:rPr>
                <w:rFonts w:hint="default" w:ascii="Times New Roman" w:hAnsi="Times New Roman" w:cs="Times New Roman"/>
                <w:color w:val="auto"/>
                <w:highlight w:val="none"/>
              </w:rPr>
              <w:t>一般工业固体废物暂存</w:t>
            </w:r>
            <w:r>
              <w:rPr>
                <w:rFonts w:hint="default" w:ascii="Times New Roman" w:hAnsi="Times New Roman" w:cs="Times New Roman"/>
                <w:color w:val="auto"/>
                <w:highlight w:val="none"/>
                <w:lang w:eastAsia="zh-Hans"/>
              </w:rPr>
              <w:t>处（面积为</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Hans"/>
              </w:rPr>
              <w:t>m</w:t>
            </w:r>
            <w:r>
              <w:rPr>
                <w:rFonts w:hint="default" w:ascii="Times New Roman" w:hAnsi="Times New Roman" w:cs="Times New Roman"/>
                <w:color w:val="auto"/>
                <w:highlight w:val="none"/>
                <w:vertAlign w:val="superscript"/>
                <w:lang w:eastAsia="zh-Hans"/>
              </w:rPr>
              <w:t>2</w:t>
            </w:r>
            <w:r>
              <w:rPr>
                <w:rFonts w:hint="default" w:ascii="Times New Roman" w:hAnsi="Times New Roman" w:cs="Times New Roman"/>
                <w:color w:val="auto"/>
                <w:highlight w:val="none"/>
                <w:lang w:eastAsia="zh-Hans"/>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Hans"/>
              </w:rPr>
              <w:t>项目产生的固体废物</w:t>
            </w:r>
            <w:r>
              <w:rPr>
                <w:rFonts w:hint="default" w:ascii="Times New Roman" w:hAnsi="Times New Roman" w:cs="Times New Roman"/>
                <w:color w:val="auto"/>
                <w:highlight w:val="none"/>
              </w:rPr>
              <w:t>分类收集于一般固废暂存处后再定期</w:t>
            </w:r>
            <w:r>
              <w:rPr>
                <w:rFonts w:hint="default" w:ascii="Times New Roman" w:hAnsi="Times New Roman" w:cs="Times New Roman"/>
                <w:color w:val="auto"/>
                <w:highlight w:val="none"/>
                <w:lang w:eastAsia="zh-Hans"/>
              </w:rPr>
              <w:t>处置</w:t>
            </w:r>
            <w:r>
              <w:rPr>
                <w:rFonts w:hint="default" w:ascii="Times New Roman" w:hAnsi="Times New Roman" w:cs="Times New Roman"/>
                <w:color w:val="auto"/>
                <w:highlight w:val="none"/>
              </w:rPr>
              <w:t>，对环境影响较小。</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要求一般固废</w:t>
            </w:r>
            <w:r>
              <w:rPr>
                <w:rFonts w:hint="default" w:ascii="Times New Roman" w:hAnsi="Times New Roman" w:cs="Times New Roman"/>
                <w:color w:val="auto"/>
                <w:highlight w:val="none"/>
                <w:lang w:eastAsia="zh-Hans"/>
              </w:rPr>
              <w:t>暂存处</w:t>
            </w:r>
            <w:r>
              <w:rPr>
                <w:rFonts w:hint="default" w:ascii="Times New Roman" w:hAnsi="Times New Roman" w:cs="Times New Roman"/>
                <w:color w:val="auto"/>
                <w:highlight w:val="none"/>
              </w:rPr>
              <w:t>应参照《一般工业固体废物贮存和填埋污染控制标准》（GB18599-2020）相关要求规范化建设，应满足如下要求：</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地面应采取硬化措施并满足承载力要求，必要时采取相应措施防止地基下沉；</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要求设置必要的防风、防雨、防晒措施；</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按《环境保护图形标志—固体废物贮存（处置）场》（GB 15562.2-1995）修改单要求设置环境保护图形标志。</w:t>
            </w:r>
          </w:p>
          <w:p>
            <w:pPr>
              <w:numPr>
                <w:ilvl w:val="0"/>
                <w:numId w:val="0"/>
              </w:numPr>
              <w:adjustRightInd w:val="0"/>
              <w:snapToGrid w:val="0"/>
              <w:ind w:firstLine="480" w:firstLineChars="200"/>
              <w:rPr>
                <w:rFonts w:hint="default" w:ascii="Times New Roman" w:hAnsi="Times New Roman" w:cs="Times New Roman"/>
                <w:color w:val="auto"/>
                <w:highlight w:val="none"/>
                <w:lang w:eastAsia="zh-Hans"/>
              </w:rPr>
            </w:pPr>
            <w:r>
              <w:rPr>
                <w:rFonts w:hint="eastAsia" w:cs="Times New Roman"/>
                <w:color w:val="auto"/>
                <w:highlight w:val="none"/>
                <w:lang w:eastAsia="zh-CN"/>
              </w:rPr>
              <w:t>（</w:t>
            </w:r>
            <w:r>
              <w:rPr>
                <w:rFonts w:hint="eastAsia" w:cs="Times New Roman"/>
                <w:color w:val="auto"/>
                <w:highlight w:val="none"/>
                <w:lang w:val="en-US" w:eastAsia="zh-CN"/>
              </w:rPr>
              <w:t>三）</w:t>
            </w:r>
            <w:r>
              <w:rPr>
                <w:rFonts w:hint="default" w:ascii="Times New Roman" w:hAnsi="Times New Roman" w:cs="Times New Roman"/>
                <w:color w:val="auto"/>
                <w:highlight w:val="none"/>
                <w:lang w:eastAsia="zh-Hans"/>
              </w:rPr>
              <w:t>危险废物</w:t>
            </w:r>
          </w:p>
          <w:p>
            <w:pPr>
              <w:spacing w:line="360" w:lineRule="auto"/>
              <w:ind w:firstLine="482"/>
              <w:rPr>
                <w:rFonts w:hint="default" w:ascii="Times New Roman" w:hAnsi="Times New Roman" w:cs="Times New Roman"/>
                <w:color w:val="auto"/>
                <w:highlight w:val="none"/>
              </w:rPr>
            </w:pPr>
            <w:r>
              <w:rPr>
                <w:rFonts w:hint="default" w:ascii="Times New Roman" w:hAnsi="Times New Roman" w:cs="Times New Roman"/>
                <w:b/>
                <w:bCs/>
                <w:color w:val="auto"/>
                <w:kern w:val="0"/>
                <w:highlight w:val="none"/>
                <w:lang w:val="en-US" w:eastAsia="zh-CN"/>
              </w:rPr>
              <w:t>危险废物最大储存量</w:t>
            </w:r>
            <w:r>
              <w:rPr>
                <w:rFonts w:hint="default" w:ascii="Times New Roman" w:hAnsi="Times New Roman" w:cs="Times New Roman"/>
                <w:b/>
                <w:bCs/>
                <w:color w:val="auto"/>
                <w:kern w:val="0"/>
                <w:highlight w:val="none"/>
              </w:rPr>
              <w:t>：</w:t>
            </w:r>
          </w:p>
          <w:p>
            <w:pPr>
              <w:adjustRightInd w:val="0"/>
              <w:snapToGrid w:val="0"/>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本项目生产过程中产生的危险废物主要为漆渣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废纸盒滤芯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废油漆桶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废活性炭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废催化剂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设备维护保养过程中产生的废机油</w:t>
            </w:r>
            <w:r>
              <w:rPr>
                <w:rFonts w:hint="default" w:ascii="Times New Roman" w:hAnsi="Times New Roman" w:cs="Times New Roman"/>
                <w:color w:val="auto"/>
                <w:highlight w:val="none"/>
                <w:lang w:val="en-US" w:eastAsia="zh-CN"/>
              </w:rPr>
              <w:t>和</w:t>
            </w:r>
            <w:r>
              <w:rPr>
                <w:rFonts w:hint="eastAsia" w:cs="Times New Roman"/>
                <w:color w:val="auto"/>
                <w:highlight w:val="none"/>
                <w:lang w:val="en-US" w:eastAsia="zh-CN"/>
              </w:rPr>
              <w:t>废油桶及含油抹布、手套</w:t>
            </w:r>
            <w:r>
              <w:rPr>
                <w:rFonts w:hint="default" w:ascii="Times New Roman" w:hAnsi="Times New Roman" w:cs="Times New Roman"/>
                <w:color w:val="auto"/>
                <w:highlight w:val="none"/>
              </w:rPr>
              <w:t>，采用桶装</w:t>
            </w:r>
            <w:r>
              <w:rPr>
                <w:rFonts w:hint="eastAsia" w:cs="Times New Roman"/>
                <w:color w:val="auto"/>
                <w:highlight w:val="none"/>
                <w:lang w:val="en-US" w:eastAsia="zh-CN"/>
              </w:rPr>
              <w:t>密闭</w:t>
            </w:r>
            <w:r>
              <w:rPr>
                <w:rFonts w:hint="default" w:ascii="Times New Roman" w:hAnsi="Times New Roman" w:cs="Times New Roman"/>
                <w:color w:val="auto"/>
                <w:highlight w:val="none"/>
              </w:rPr>
              <w:t>收集</w:t>
            </w:r>
            <w:r>
              <w:rPr>
                <w:rFonts w:hint="eastAsia" w:cs="Times New Roman"/>
                <w:color w:val="auto"/>
                <w:highlight w:val="none"/>
                <w:lang w:val="en-US" w:eastAsia="zh-CN"/>
              </w:rPr>
              <w:t>后</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统一收集后暂存于</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，定期委托有资质的单位进行处置</w:t>
            </w:r>
            <w:r>
              <w:rPr>
                <w:rFonts w:hint="eastAsia" w:cs="Times New Roman"/>
                <w:color w:val="auto"/>
                <w:highlight w:val="none"/>
                <w:lang w:eastAsia="zh-CN"/>
              </w:rPr>
              <w:t>，</w:t>
            </w:r>
            <w:r>
              <w:rPr>
                <w:rFonts w:hint="eastAsia" w:cs="Times New Roman"/>
                <w:color w:val="auto"/>
                <w:highlight w:val="none"/>
                <w:lang w:val="en-US" w:eastAsia="zh-CN"/>
              </w:rPr>
              <w:t>可有效减少有毒有害大气污染物和刺激性气味气体产生，可无需增添设置环保净化设备。危险废物</w:t>
            </w:r>
            <w:r>
              <w:rPr>
                <w:rFonts w:hint="default" w:ascii="Times New Roman" w:hAnsi="Times New Roman" w:cs="Times New Roman"/>
                <w:color w:val="auto"/>
                <w:highlight w:val="none"/>
                <w:lang w:val="en-US" w:eastAsia="zh-CN"/>
              </w:rPr>
              <w:t>共计</w:t>
            </w:r>
            <w:r>
              <w:rPr>
                <w:rFonts w:hint="default" w:ascii="Times New Roman" w:hAnsi="Times New Roman" w:cs="Times New Roman"/>
                <w:color w:val="auto"/>
                <w:highlight w:val="none"/>
              </w:rPr>
              <w:t>产生量</w:t>
            </w:r>
            <w:r>
              <w:rPr>
                <w:rFonts w:hint="default" w:ascii="Times New Roman" w:hAnsi="Times New Roman" w:cs="Times New Roman"/>
                <w:color w:val="auto"/>
                <w:highlight w:val="none"/>
                <w:lang w:val="en-US" w:eastAsia="zh-CN"/>
              </w:rPr>
              <w:t>约为</w:t>
            </w:r>
            <w:r>
              <w:rPr>
                <w:rFonts w:hint="eastAsia" w:cs="Times New Roman"/>
                <w:color w:val="auto"/>
                <w:highlight w:val="none"/>
                <w:lang w:val="en-US" w:eastAsia="zh-CN"/>
              </w:rPr>
              <w:t>15.5</w:t>
            </w:r>
            <w:r>
              <w:rPr>
                <w:rFonts w:hint="default" w:ascii="Times New Roman" w:hAnsi="Times New Roman" w:cs="Times New Roman"/>
                <w:color w:val="auto"/>
                <w:highlight w:val="none"/>
                <w:lang w:val="en-US" w:eastAsia="zh-CN"/>
              </w:rPr>
              <w:t>t/a。</w:t>
            </w:r>
          </w:p>
          <w:p>
            <w:pPr>
              <w:spacing w:line="360" w:lineRule="auto"/>
              <w:ind w:firstLine="482"/>
              <w:rPr>
                <w:rFonts w:hint="default" w:ascii="Times New Roman" w:hAnsi="Times New Roman" w:cs="Times New Roman"/>
                <w:color w:val="auto"/>
                <w:kern w:val="0"/>
                <w:highlight w:val="none"/>
              </w:rPr>
            </w:pPr>
            <w:r>
              <w:rPr>
                <w:rFonts w:hint="default" w:ascii="Times New Roman" w:hAnsi="Times New Roman" w:cs="Times New Roman"/>
                <w:b/>
                <w:bCs/>
                <w:color w:val="auto"/>
                <w:kern w:val="0"/>
                <w:highlight w:val="none"/>
                <w:lang w:val="en-US" w:eastAsia="zh-CN"/>
              </w:rPr>
              <w:t>危险废物贮存库</w:t>
            </w:r>
            <w:r>
              <w:rPr>
                <w:rFonts w:hint="default" w:ascii="Times New Roman" w:hAnsi="Times New Roman" w:cs="Times New Roman"/>
                <w:b/>
                <w:bCs/>
                <w:color w:val="auto"/>
                <w:kern w:val="0"/>
                <w:highlight w:val="none"/>
              </w:rPr>
              <w:t>建设要求：</w:t>
            </w:r>
          </w:p>
          <w:p>
            <w:pPr>
              <w:adjustRightInd w:val="0"/>
              <w:snapToGrid w:val="0"/>
              <w:spacing w:line="360" w:lineRule="auto"/>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本项目在生产</w:t>
            </w:r>
            <w:r>
              <w:rPr>
                <w:rFonts w:hint="default" w:ascii="Times New Roman" w:hAnsi="Times New Roman" w:cs="Times New Roman"/>
                <w:color w:val="auto"/>
                <w:highlight w:val="none"/>
                <w:lang w:eastAsia="zh-Hans"/>
              </w:rPr>
              <w:t>车间内</w:t>
            </w:r>
            <w:r>
              <w:rPr>
                <w:rFonts w:hint="default" w:ascii="Times New Roman" w:hAnsi="Times New Roman" w:cs="Times New Roman"/>
                <w:color w:val="auto"/>
                <w:highlight w:val="none"/>
                <w:lang w:eastAsia="zh-CN"/>
              </w:rPr>
              <w:t>设置</w:t>
            </w:r>
            <w:r>
              <w:rPr>
                <w:rFonts w:hint="default" w:ascii="Times New Roman" w:hAnsi="Times New Roman" w:cs="Times New Roman"/>
                <w:color w:val="auto"/>
                <w:highlight w:val="none"/>
                <w:lang w:val="en-US" w:eastAsia="zh-CN"/>
              </w:rPr>
              <w:t>-危险废物贮存库</w:t>
            </w:r>
            <w:r>
              <w:rPr>
                <w:rFonts w:hint="default" w:ascii="Times New Roman" w:hAnsi="Times New Roman" w:cs="Times New Roman"/>
                <w:color w:val="auto"/>
                <w:highlight w:val="none"/>
                <w:lang w:eastAsia="zh-Hans"/>
              </w:rPr>
              <w:t>（面积为</w:t>
            </w:r>
            <w:r>
              <w:rPr>
                <w:rFonts w:hint="eastAsia" w:cs="Times New Roman"/>
                <w:color w:val="auto"/>
                <w:highlight w:val="none"/>
                <w:lang w:val="en-US" w:eastAsia="zh-CN"/>
              </w:rPr>
              <w:t>20</w:t>
            </w:r>
            <w:r>
              <w:rPr>
                <w:rFonts w:hint="default" w:ascii="Times New Roman" w:hAnsi="Times New Roman" w:cs="Times New Roman"/>
                <w:color w:val="auto"/>
                <w:highlight w:val="none"/>
                <w:lang w:eastAsia="zh-Hans"/>
              </w:rPr>
              <w:t>m</w:t>
            </w:r>
            <w:r>
              <w:rPr>
                <w:rFonts w:hint="default" w:ascii="Times New Roman" w:hAnsi="Times New Roman" w:cs="Times New Roman"/>
                <w:color w:val="auto"/>
                <w:highlight w:val="none"/>
                <w:vertAlign w:val="superscript"/>
                <w:lang w:eastAsia="zh-Hans"/>
              </w:rPr>
              <w:t>2</w:t>
            </w:r>
            <w:r>
              <w:rPr>
                <w:rFonts w:hint="default" w:ascii="Times New Roman" w:hAnsi="Times New Roman" w:cs="Times New Roman"/>
                <w:color w:val="auto"/>
                <w:highlight w:val="none"/>
                <w:lang w:eastAsia="zh-Hans"/>
              </w:rPr>
              <w:t>）</w:t>
            </w:r>
            <w:r>
              <w:rPr>
                <w:rFonts w:hint="eastAsia" w:ascii="Times New Roman" w:hAnsi="Times New Roman" w:eastAsia="宋体"/>
                <w:color w:val="auto"/>
                <w:sz w:val="24"/>
                <w:szCs w:val="24"/>
                <w:highlight w:val="none"/>
                <w:lang w:val="en-US" w:eastAsia="zh-CN"/>
              </w:rPr>
              <w:t>。</w:t>
            </w:r>
            <w:r>
              <w:rPr>
                <w:rFonts w:hint="default" w:ascii="Times New Roman" w:hAnsi="Times New Roman" w:cs="Times New Roman"/>
                <w:color w:val="auto"/>
                <w:highlight w:val="none"/>
                <w:lang w:eastAsia="zh-Hans"/>
              </w:rPr>
              <w:t>项目产生的</w:t>
            </w:r>
            <w:r>
              <w:rPr>
                <w:rFonts w:hint="default" w:ascii="Times New Roman" w:hAnsi="Times New Roman" w:cs="Times New Roman"/>
                <w:color w:val="auto"/>
                <w:highlight w:val="none"/>
                <w:lang w:val="en-US" w:eastAsia="zh-CN"/>
              </w:rPr>
              <w:t>危险废物分类，</w:t>
            </w:r>
            <w:r>
              <w:rPr>
                <w:rFonts w:hint="default" w:ascii="Times New Roman" w:hAnsi="Times New Roman" w:cs="Times New Roman"/>
                <w:color w:val="auto"/>
                <w:highlight w:val="none"/>
              </w:rPr>
              <w:t>统一收集后暂存于危险废物贮存库，定期委托有资质的单位进行处置。</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①贮存设施应根据危险废物的形态、物理化学性质、包装形式和污染物迁移途径，采取必要的防风、防晒、防雨、防漏、防渗、防腐以及其他环境污染防治措施，不应露天堆放危险废物。</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②贮存设施应根据危险废物的类别、数量、形态、物理化学性质和污染防治等要求设置必要的贮存分区，避免不相容的危险废物接触、混合。</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③贮存设施或贮存分区内地面、墙面</w:t>
            </w:r>
            <w:r>
              <w:rPr>
                <w:rFonts w:hint="default" w:ascii="Times New Roman" w:hAnsi="Times New Roman" w:cs="Times New Roman"/>
                <w:color w:val="auto"/>
                <w:kern w:val="0"/>
                <w:highlight w:val="none"/>
                <w:lang w:eastAsia="zh-CN"/>
              </w:rPr>
              <w:t>裙角</w:t>
            </w:r>
            <w:r>
              <w:rPr>
                <w:rFonts w:hint="default" w:ascii="Times New Roman" w:hAnsi="Times New Roman" w:cs="Times New Roman"/>
                <w:color w:val="auto"/>
                <w:kern w:val="0"/>
                <w:highlight w:val="none"/>
              </w:rPr>
              <w:t>、堵截泄漏的围堰、接触危险废物的隔板和墙体等应采用坚固的材料建造，表面无裂缝。</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kern w:val="0"/>
                <w:highlight w:val="none"/>
                <w:vertAlign w:val="superscript"/>
                <w:lang w:val="en-US" w:eastAsia="zh-CN"/>
              </w:rPr>
              <w:t>-</w:t>
            </w:r>
            <w:r>
              <w:rPr>
                <w:rFonts w:hint="default" w:ascii="Times New Roman" w:hAnsi="Times New Roman" w:cs="Times New Roman"/>
                <w:color w:val="auto"/>
                <w:kern w:val="0"/>
                <w:highlight w:val="none"/>
                <w:vertAlign w:val="superscript"/>
              </w:rPr>
              <w:t>7</w:t>
            </w:r>
            <w:r>
              <w:rPr>
                <w:rFonts w:hint="default" w:ascii="Times New Roman" w:hAnsi="Times New Roman" w:cs="Times New Roman"/>
                <w:color w:val="auto"/>
                <w:kern w:val="0"/>
                <w:highlight w:val="none"/>
              </w:rPr>
              <w:t>cm/s），或至少2mm厚高密度聚乙烯膜等人工防渗材料（渗透系数不大于10</w:t>
            </w:r>
            <w:r>
              <w:rPr>
                <w:rFonts w:hint="default" w:ascii="Times New Roman" w:hAnsi="Times New Roman" w:cs="Times New Roman"/>
                <w:color w:val="auto"/>
                <w:kern w:val="0"/>
                <w:highlight w:val="none"/>
                <w:vertAlign w:val="superscript"/>
                <w:lang w:val="en-US" w:eastAsia="zh-CN"/>
              </w:rPr>
              <w:t>-</w:t>
            </w:r>
            <w:r>
              <w:rPr>
                <w:rFonts w:hint="default" w:ascii="Times New Roman" w:hAnsi="Times New Roman" w:cs="Times New Roman"/>
                <w:color w:val="auto"/>
                <w:kern w:val="0"/>
                <w:highlight w:val="none"/>
                <w:vertAlign w:val="superscript"/>
              </w:rPr>
              <w:t>10</w:t>
            </w:r>
            <w:r>
              <w:rPr>
                <w:rFonts w:hint="default" w:ascii="Times New Roman" w:hAnsi="Times New Roman" w:cs="Times New Roman"/>
                <w:color w:val="auto"/>
                <w:kern w:val="0"/>
                <w:highlight w:val="none"/>
              </w:rPr>
              <w:t>cm/s），或其他防渗性能等效的材料。</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⑥贮存设施应采取技术和管理措施防止无关人员进入。</w:t>
            </w:r>
          </w:p>
          <w:p>
            <w:pPr>
              <w:spacing w:line="360" w:lineRule="auto"/>
              <w:ind w:firstLine="482"/>
              <w:rPr>
                <w:rFonts w:hint="default" w:ascii="Times New Roman" w:hAnsi="Times New Roman" w:eastAsia="宋体" w:cs="Times New Roman"/>
                <w:b/>
                <w:bCs/>
                <w:color w:val="auto"/>
                <w:kern w:val="0"/>
                <w:highlight w:val="none"/>
                <w:lang w:eastAsia="zh-CN" w:bidi="ar"/>
              </w:rPr>
            </w:pPr>
            <w:r>
              <w:rPr>
                <w:rFonts w:hint="default" w:ascii="Times New Roman" w:hAnsi="Times New Roman" w:cs="Times New Roman"/>
                <w:b/>
                <w:bCs/>
                <w:color w:val="auto"/>
                <w:kern w:val="0"/>
                <w:highlight w:val="none"/>
                <w:lang w:bidi="ar"/>
              </w:rPr>
              <w:t>贮存设施污染控制要求</w:t>
            </w:r>
            <w:r>
              <w:rPr>
                <w:rFonts w:hint="default" w:ascii="Times New Roman" w:hAnsi="Times New Roman" w:cs="Times New Roman"/>
                <w:b/>
                <w:bCs/>
                <w:color w:val="auto"/>
                <w:kern w:val="0"/>
                <w:highlight w:val="none"/>
                <w:lang w:eastAsia="zh-CN" w:bidi="ar"/>
              </w:rPr>
              <w:t>：</w:t>
            </w:r>
          </w:p>
          <w:p>
            <w:pPr>
              <w:pStyle w:val="26"/>
              <w:spacing w:line="360" w:lineRule="auto"/>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rPr>
              <w:t>①</w:t>
            </w:r>
            <w:r>
              <w:rPr>
                <w:rFonts w:hint="default" w:ascii="Times New Roman" w:hAnsi="Times New Roman" w:cs="Times New Roman"/>
                <w:color w:val="auto"/>
                <w:highlight w:val="none"/>
              </w:rPr>
              <w:t>贮存库内不同贮存分区之间应采取隔离措施。隔离措施可根据危险废物特性采用过道、隔板或隔墙等方式。</w:t>
            </w:r>
          </w:p>
          <w:p>
            <w:pPr>
              <w:pStyle w:val="26"/>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kern w:val="0"/>
                <w:highlight w:val="none"/>
              </w:rPr>
              <w:t>②</w:t>
            </w:r>
            <w:r>
              <w:rPr>
                <w:rFonts w:hint="default" w:ascii="Times New Roman" w:hAnsi="Times New Roman" w:cs="Times New Roman"/>
                <w:color w:val="auto"/>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pStyle w:val="26"/>
              <w:spacing w:line="36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③</w:t>
            </w:r>
            <w:r>
              <w:rPr>
                <w:rFonts w:hint="default" w:ascii="Times New Roman" w:hAnsi="Times New Roman" w:cs="Times New Roman"/>
                <w:color w:val="auto"/>
                <w:highlight w:val="none"/>
              </w:rPr>
              <w:t>贮存易产生粉尘、VOCs、酸雾、有毒有害大气污染物和刺激性气味气体的危险废物贮存库，应设置气体收集装置和气体净化设施；气体净化设施的排气筒高度应符合GB16297要求。</w:t>
            </w:r>
          </w:p>
          <w:p>
            <w:pPr>
              <w:ind w:firstLine="482"/>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容器和包装物污染控制要求：</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①容器和包装物材质、内衬应与盛装的危险废物相容。</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②针对不同类别、形态、物理化学性质的危险废物，其容器和包装物应满足相应的防渗、防漏、防腐和强度等要求。</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③硬质容器和包装物及其支护结构堆叠码放时不应有明显变形，无破损泄漏。</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④柔性容器和包装物堆叠码放时应封口严密，无破损泄漏。</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⑤使用容器盛装液态、半固态危险废物时，容器内部应留有适当的空间，以适应因温度变化等可能引发的收缩和膨胀，防止其导致容器渗漏或永久变形。</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⑥容器和包装物外表面应保持清洁。</w:t>
            </w:r>
          </w:p>
          <w:p>
            <w:pPr>
              <w:ind w:firstLine="482"/>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危险废物贮存设施的运行与管理要求：</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①危险废物存入贮存设施前应对危险废物类别和特性与危险废物标签等危险废物识别标志的一致性进行核验，不一致的或类别、特性不明的不应存入。</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②应定期检查危险废物的贮存状况，及时清理贮存设施地面，更换破损泄漏的危险废物贮存容器和包装物，保证堆存危险废物的防雨、防风、防扬尘等设施功能完好。</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③作业设备及车辆等结束作业离开贮存设施时，应对其残留的危险废物进行清理，清理的废物或清洗废水应收集处理。</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④贮存设施运行期间，应按国家有关标准和规定建立危险废物管理台账并保存。</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⑤贮存设施所有者或运营者应建立贮存设施环境管理制度、管理人员岗位职责制度、设施运行操作制度、人员岗位培训制度等。</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⑦贮存设施所有者或运营者应建立贮存设施全部档案，包括设计、施工、验收、运行、监测和环境应急等，应按国家有关档案管理的法律法规进行整理和归档。</w:t>
            </w:r>
          </w:p>
          <w:p>
            <w:pPr>
              <w:ind w:firstLine="482"/>
              <w:rPr>
                <w:rFonts w:hint="default" w:ascii="Times New Roman" w:hAnsi="Times New Roman" w:cs="Times New Roman"/>
                <w:b/>
                <w:bCs/>
                <w:color w:val="auto"/>
                <w:kern w:val="0"/>
                <w:highlight w:val="none"/>
                <w:lang w:bidi="ar"/>
              </w:rPr>
            </w:pPr>
            <w:r>
              <w:rPr>
                <w:rFonts w:hint="default" w:ascii="Times New Roman" w:hAnsi="Times New Roman" w:cs="Times New Roman"/>
                <w:b/>
                <w:bCs/>
                <w:color w:val="auto"/>
                <w:kern w:val="0"/>
                <w:highlight w:val="none"/>
                <w:lang w:bidi="ar"/>
              </w:rPr>
              <w:t>危险废物贮存设施的安全防护要求：</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①危险废物贮存设施都必须按GB15562.2的规定设置警示标志。</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②危险废物贮存设施周围应设置围墙或其他防护栅栏。</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③危险废物贮存设施应配备通讯设备、照明设施、安全防护服装及工具，并设有应急防护设施。</w:t>
            </w:r>
          </w:p>
          <w:p>
            <w:pPr>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④危险废物贮存设施内清理出来的泄漏物，一律按危险废物处理。</w:t>
            </w:r>
          </w:p>
          <w:p>
            <w:pPr>
              <w:ind w:firstLine="482"/>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危险废物的转运要求：</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危险废物应按照国家有关规定向当地环境保护行政主管部门申报登记，接受当地环境保护行政主管部门监督管理。同时，根据国务院令第344号《危险化学品安全管理条例》《危险废物收集贮存运输技术规范》（HJ2025-2012）和《危险废物转移管理办法》（2022年1月1日起施行）的有关规定，在危险废物外运至处置单位时必须严格遵守以下要求：</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①做好每次外运处置废弃物的运输登记，做好危险废物电子转移联单工作。</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③处置单位在运输危险废物时必须配备押运人员，并随时处于押运人员的监管之下，不得超装、超载，严格按照所在城市规定的行车时间和行车路线行驶，不得进入危险化学品运输车辆禁止通行的区域。</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④危险废物在运输途中若发生被盗、丢失、流散、泄漏等情况时，公司及押运人员必须立即向当地公安部门报告，并采取一切可能的警示措施。</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Style w:val="4"/>
              <w:adjustRightInd w:val="0"/>
              <w:spacing w:before="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5地下水、土壤</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对厂区可能泄漏污染物的地面进行防渗处理，可有效防止污染物渗入地下及土壤，并及时将渗漏、泄漏的污染物收集并进行集中处理。依据地下水导则中相关分区防控措施，结合项目的性质、包气带岩性结构、污染控制难易程度及地下水环境风险，按照重点防渗区、简单防渗区和一般污染防渗区进行分区防渗，防渗层结构依据不同防渗区要求单独使用一种材料或者多种材料结合使用。根据本项目特点，环评要求项目采取的防渗措施包括：</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（1）重点防渗：危</w:t>
            </w:r>
            <w:r>
              <w:rPr>
                <w:rFonts w:hint="default" w:ascii="Times New Roman" w:hAnsi="Times New Roman" w:cs="Times New Roman"/>
                <w:color w:val="auto"/>
                <w:highlight w:val="none"/>
                <w:lang w:eastAsia="zh-CN"/>
              </w:rPr>
              <w:t>废</w:t>
            </w:r>
            <w:r>
              <w:rPr>
                <w:rFonts w:hint="default" w:ascii="Times New Roman" w:hAnsi="Times New Roman" w:cs="Times New Roman"/>
                <w:color w:val="auto"/>
                <w:highlight w:val="none"/>
                <w:lang w:val="en-US" w:eastAsia="zh-CN"/>
              </w:rPr>
              <w:t>贮存库</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危废贮存库</w:t>
            </w:r>
            <w:r>
              <w:rPr>
                <w:rFonts w:hint="default" w:ascii="Times New Roman" w:hAnsi="Times New Roman" w:cs="Times New Roman"/>
                <w:color w:val="auto"/>
                <w:highlight w:val="none"/>
              </w:rPr>
              <w:t>防渗根据《危险废物贮存污染控制标准》（GB18597-2023）进行设计，</w:t>
            </w:r>
            <w:r>
              <w:rPr>
                <w:rFonts w:hint="default" w:ascii="Times New Roman" w:hAnsi="Times New Roman" w:cs="Times New Roman"/>
                <w:color w:val="auto"/>
                <w:kern w:val="0"/>
                <w:highlight w:val="none"/>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kern w:val="0"/>
                <w:highlight w:val="none"/>
              </w:rPr>
              <w:t>cm/s），或至少2mm厚高密度聚乙烯膜等人工防渗材料（渗透系数不大于</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kern w:val="0"/>
                <w:highlight w:val="none"/>
                <w:vertAlign w:val="superscript"/>
              </w:rPr>
              <w:t>10</w:t>
            </w:r>
            <w:r>
              <w:rPr>
                <w:rFonts w:hint="default" w:ascii="Times New Roman" w:hAnsi="Times New Roman" w:cs="Times New Roman"/>
                <w:color w:val="auto"/>
                <w:kern w:val="0"/>
                <w:highlight w:val="none"/>
              </w:rPr>
              <w:t>cm/s），或其他防渗性能等效的材料。</w:t>
            </w:r>
            <w:r>
              <w:rPr>
                <w:rFonts w:hint="default" w:ascii="Times New Roman" w:hAnsi="Times New Roman" w:cs="Times New Roman"/>
                <w:color w:val="auto"/>
                <w:highlight w:val="none"/>
              </w:rPr>
              <w:t>并应满足《环境影响评价技术导则地下水环境》（HJ610-2016）中重点防渗区防渗要求，防渗结构层渗透系数等效黏土防渗层Mb≥6.0m，K≤1×10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（2）一般防渗区：生产车间，等效黏土防渗层Mb≥1.5m，K≤1×10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（3）简单防渗区：办公生活区、厂区道路等，</w:t>
            </w:r>
            <w:r>
              <w:rPr>
                <w:rFonts w:hint="default" w:ascii="Times New Roman" w:hAnsi="Times New Roman" w:cs="Times New Roman"/>
                <w:color w:val="auto"/>
                <w:highlight w:val="none"/>
                <w:lang w:eastAsia="zh-CN"/>
              </w:rPr>
              <w:t>以地面水泥硬化为主</w:t>
            </w:r>
            <w:r>
              <w:rPr>
                <w:rFonts w:hint="default" w:ascii="Times New Roman" w:hAnsi="Times New Roman" w:cs="Times New Roman"/>
                <w:color w:val="auto"/>
                <w:highlight w:val="none"/>
              </w:rPr>
              <w:t>。</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在认真采取以上措施的基础上，一旦发生溢出与渗漏事故，渗漏物质将由于防渗层的保护作用，积聚在地面上，不会对地下水及土壤造成影响。</w:t>
            </w:r>
          </w:p>
          <w:p>
            <w:pPr>
              <w:pStyle w:val="15"/>
              <w:adjustRightInd w:val="0"/>
              <w:snapToGrid w:val="0"/>
              <w:ind w:left="482" w:hanging="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6环境风险分析</w:t>
            </w:r>
          </w:p>
          <w:p>
            <w:pPr>
              <w:ind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环境风险是指突发性灾难事故造成重大污染的事件，它具有危害性大、影响范围广等特点，同时风险发生的概率又有很大的不确定性，一旦发生，其破坏性极强，对生态环境会产生严重破坏。</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ind w:firstLine="482" w:firstLineChars="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6.1风险调查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val="en-US" w:eastAsia="zh-CN"/>
              </w:rPr>
              <w:t>预制舱生产</w:t>
            </w:r>
            <w:r>
              <w:rPr>
                <w:rFonts w:hint="default" w:ascii="Times New Roman" w:hAnsi="Times New Roman" w:cs="Times New Roman"/>
                <w:color w:val="auto"/>
                <w:highlight w:val="none"/>
              </w:rPr>
              <w:t>项目，设备维修及更换过程中产生的废机油（储存量0.2t）。根据《建设项目环境风险评价技术导则》（HJ169-2018）附录B及《危险化学品重大危险源辨识》（GB18218-2018）对项目进行危险源辨识，本项目不存在重大危险源，涉及的风险物质为润滑油，危险特性见表4-</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7</w:t>
            </w: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8</w:t>
            </w:r>
            <w:r>
              <w:rPr>
                <w:rFonts w:hint="default" w:ascii="Times New Roman" w:hAnsi="Times New Roman" w:cs="Times New Roman"/>
                <w:color w:val="auto"/>
                <w:highlight w:val="none"/>
              </w:rPr>
              <w:t>。</w:t>
            </w:r>
          </w:p>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w:t>
            </w:r>
            <w:r>
              <w:rPr>
                <w:rFonts w:hint="default" w:ascii="Times New Roman" w:hAnsi="Times New Roman" w:cs="Times New Roman"/>
                <w:b/>
                <w:bCs/>
                <w:color w:val="auto"/>
                <w:highlight w:val="none"/>
                <w:lang w:val="en-US" w:eastAsia="zh-CN"/>
              </w:rPr>
              <w:t>2</w:t>
            </w:r>
            <w:r>
              <w:rPr>
                <w:rFonts w:hint="eastAsia" w:cs="Times New Roman"/>
                <w:b/>
                <w:bCs/>
                <w:color w:val="auto"/>
                <w:highlight w:val="none"/>
                <w:lang w:val="en-US" w:eastAsia="zh-CN"/>
              </w:rPr>
              <w:t>7</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机油理化特性和危险性</w:t>
            </w:r>
          </w:p>
          <w:tbl>
            <w:tblPr>
              <w:tblStyle w:val="21"/>
              <w:tblW w:w="4999" w:type="pct"/>
              <w:jc w:val="center"/>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7"/>
              <w:gridCol w:w="1397"/>
              <w:gridCol w:w="1998"/>
              <w:gridCol w:w="17"/>
              <w:gridCol w:w="2264"/>
              <w:gridCol w:w="2069"/>
            </w:tblGrid>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bottom w:val="single" w:color="auto" w:sz="4" w:space="0"/>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标识</w:t>
                  </w:r>
                </w:p>
              </w:tc>
              <w:tc>
                <w:tcPr>
                  <w:tcW w:w="2032" w:type="pct"/>
                  <w:gridSpan w:val="3"/>
                  <w:tcBorders>
                    <w:left w:val="nil"/>
                    <w:bottom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中文名：机油</w:t>
                  </w:r>
                </w:p>
              </w:tc>
              <w:tc>
                <w:tcPr>
                  <w:tcW w:w="2582" w:type="pct"/>
                  <w:gridSpan w:val="2"/>
                  <w:tcBorders>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英文名：/</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restart"/>
                  <w:tcBorders>
                    <w:top w:val="nil"/>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理化</w:t>
                  </w:r>
                </w:p>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性质</w:t>
                  </w: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外观与性状</w:t>
                  </w:r>
                </w:p>
              </w:tc>
              <w:tc>
                <w:tcPr>
                  <w:tcW w:w="1200" w:type="pct"/>
                  <w:gridSpan w:val="2"/>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淡黄色粘稠液体</w:t>
                  </w:r>
                </w:p>
              </w:tc>
              <w:tc>
                <w:tcPr>
                  <w:tcW w:w="1349" w:type="pct"/>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闪点（℃）</w:t>
                  </w:r>
                </w:p>
              </w:tc>
              <w:tc>
                <w:tcPr>
                  <w:tcW w:w="1232" w:type="pct"/>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120-340</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continue"/>
                  <w:tcBorders>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自燃点（℃）</w:t>
                  </w:r>
                </w:p>
              </w:tc>
              <w:tc>
                <w:tcPr>
                  <w:tcW w:w="1200" w:type="pct"/>
                  <w:gridSpan w:val="2"/>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300-350</w:t>
                  </w:r>
                </w:p>
              </w:tc>
              <w:tc>
                <w:tcPr>
                  <w:tcW w:w="1349" w:type="pct"/>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相对密度（水=1）</w:t>
                  </w:r>
                </w:p>
              </w:tc>
              <w:tc>
                <w:tcPr>
                  <w:tcW w:w="1232" w:type="pct"/>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0.9348</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continue"/>
                  <w:tcBorders>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沸点（℃）</w:t>
                  </w:r>
                </w:p>
              </w:tc>
              <w:tc>
                <w:tcPr>
                  <w:tcW w:w="1200" w:type="pct"/>
                  <w:gridSpan w:val="2"/>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252.8</w:t>
                  </w:r>
                </w:p>
              </w:tc>
              <w:tc>
                <w:tcPr>
                  <w:tcW w:w="1349" w:type="pct"/>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饱和蒸汽压</w:t>
                  </w:r>
                  <w:r>
                    <w:rPr>
                      <w:rFonts w:hint="default" w:ascii="Times New Roman" w:hAnsi="Times New Roman" w:cs="Times New Roman"/>
                      <w:color w:val="auto"/>
                      <w:sz w:val="21"/>
                      <w:szCs w:val="21"/>
                      <w:highlight w:val="none"/>
                    </w:rPr>
                    <w:t>（kPa）</w:t>
                  </w:r>
                </w:p>
              </w:tc>
              <w:tc>
                <w:tcPr>
                  <w:tcW w:w="1232" w:type="pct"/>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0.13/145.8℃</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continue"/>
                  <w:tcBorders>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溶解性</w:t>
                  </w:r>
                </w:p>
              </w:tc>
              <w:tc>
                <w:tcPr>
                  <w:tcW w:w="3782" w:type="pct"/>
                  <w:gridSpan w:val="4"/>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溶于苯、乙醇、乙醚、氯仿、丙酮等多数有机溶剂</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restart"/>
                  <w:tcBorders>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燃烧爆炸危险性</w:t>
                  </w: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危险特性</w:t>
                  </w:r>
                </w:p>
              </w:tc>
              <w:tc>
                <w:tcPr>
                  <w:tcW w:w="1190" w:type="pct"/>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可燃，火灾危险</w:t>
                  </w:r>
                </w:p>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性为丙B类；</w:t>
                  </w:r>
                  <w:r>
                    <w:rPr>
                      <w:rFonts w:hint="default" w:ascii="Times New Roman" w:hAnsi="Times New Roman" w:cs="Times New Roman"/>
                      <w:color w:val="auto"/>
                      <w:sz w:val="21"/>
                      <w:szCs w:val="21"/>
                      <w:highlight w:val="none"/>
                      <w:lang w:eastAsia="zh-CN"/>
                    </w:rPr>
                    <w:t>透明</w:t>
                  </w:r>
                </w:p>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火、高热可燃</w:t>
                  </w:r>
                </w:p>
              </w:tc>
              <w:tc>
                <w:tcPr>
                  <w:tcW w:w="1359" w:type="pct"/>
                  <w:gridSpan w:val="2"/>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燃烧分解产物</w:t>
                  </w:r>
                </w:p>
              </w:tc>
              <w:tc>
                <w:tcPr>
                  <w:tcW w:w="1232" w:type="pct"/>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CO、CO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等有毒有</w:t>
                  </w:r>
                </w:p>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害气体</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385" w:type="pct"/>
                  <w:vMerge w:val="continue"/>
                  <w:tcBorders>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832" w:type="pct"/>
                  <w:tcBorders>
                    <w:top w:val="single" w:color="auto" w:sz="8" w:space="0"/>
                    <w:left w:val="nil"/>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稳定性</w:t>
                  </w:r>
                </w:p>
              </w:tc>
              <w:tc>
                <w:tcPr>
                  <w:tcW w:w="1190" w:type="pct"/>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稳定</w:t>
                  </w:r>
                </w:p>
              </w:tc>
              <w:tc>
                <w:tcPr>
                  <w:tcW w:w="1359" w:type="pct"/>
                  <w:gridSpan w:val="2"/>
                  <w:tcBorders>
                    <w:top w:val="single" w:color="auto" w:sz="8" w:space="0"/>
                    <w:left w:val="single" w:color="auto" w:sz="4" w:space="0"/>
                    <w:bottom w:val="single" w:color="auto" w:sz="8"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禁忌物</w:t>
                  </w:r>
                </w:p>
              </w:tc>
              <w:tc>
                <w:tcPr>
                  <w:tcW w:w="1232" w:type="pct"/>
                  <w:tcBorders>
                    <w:top w:val="single" w:color="auto" w:sz="8" w:space="0"/>
                    <w:left w:val="single" w:color="auto" w:sz="4" w:space="0"/>
                    <w:bottom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硝酸等强氧化剂</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vMerge w:val="continue"/>
                  <w:tcBorders>
                    <w:bottom w:val="single" w:color="auto" w:sz="4" w:space="0"/>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832" w:type="pct"/>
                  <w:tcBorders>
                    <w:top w:val="single" w:color="auto" w:sz="8" w:space="0"/>
                    <w:left w:val="nil"/>
                    <w:bottom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灭火方法</w:t>
                  </w:r>
                </w:p>
              </w:tc>
              <w:tc>
                <w:tcPr>
                  <w:tcW w:w="3782" w:type="pct"/>
                  <w:gridSpan w:val="4"/>
                  <w:tcBorders>
                    <w:top w:val="single" w:color="auto" w:sz="8" w:space="0"/>
                    <w:left w:val="single" w:color="auto" w:sz="4" w:space="0"/>
                    <w:bottom w:val="single" w:color="auto" w:sz="4"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防人员须佩戴防毒面具、穿全身消防服，在上风向灭火。尽可能将容器从火场移至空旷处。喷水保持火场容器冷却，直至灭火结束。处在火场中的容器若已变色或从安全泄压装置中产生声音，必须立即撤离。灭火剂：雾状水、泡沫、干粉、二氧化碳、砂土。</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nil"/>
                    <w:bottom w:val="single" w:color="auto" w:sz="8" w:space="0"/>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健康危害</w:t>
                  </w:r>
                </w:p>
              </w:tc>
              <w:tc>
                <w:tcPr>
                  <w:tcW w:w="4614" w:type="pct"/>
                  <w:gridSpan w:val="5"/>
                  <w:tcBorders>
                    <w:top w:val="single" w:color="auto" w:sz="8" w:space="0"/>
                    <w:left w:val="nil"/>
                    <w:bottom w:val="single" w:color="auto" w:sz="8"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急性吸入，可出现乏力、头晕、头痛、恶心，严重者可引起油脂性肺炎。慢接触者，暴露部位可发生油性痤疮和接触性皮炎。可引发神经衰弱综合症，呼吸道和眼刺激症状及慢性油脂性肺炎。</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nil"/>
                    <w:bottom w:val="single" w:color="auto" w:sz="4" w:space="0"/>
                    <w:right w:val="single" w:color="auto" w:sz="8"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急救措施</w:t>
                  </w:r>
                </w:p>
              </w:tc>
              <w:tc>
                <w:tcPr>
                  <w:tcW w:w="4614" w:type="pct"/>
                  <w:gridSpan w:val="5"/>
                  <w:tcBorders>
                    <w:top w:val="single" w:color="auto" w:sz="8" w:space="0"/>
                    <w:left w:val="nil"/>
                    <w:bottom w:val="single" w:color="auto" w:sz="8"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皮肤接触：脱去污染的衣着，用大量流动清水清洗。就医。</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眼接触：提起眼睑，用流动清水或生理盐水冲洗。就医。</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吸入：迅速脱离现场至空气新鲜处，保持呼吸畅通。如呼吸困难，给</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输氧。如呼吸停止，立即进行人工呼吸。就医。</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食用：饮适量温水，催吐。就医。</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single" w:color="auto" w:sz="4" w:space="0"/>
                    <w:bottom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防护处理</w:t>
                  </w:r>
                </w:p>
              </w:tc>
              <w:tc>
                <w:tcPr>
                  <w:tcW w:w="4614" w:type="pct"/>
                  <w:gridSpan w:val="5"/>
                  <w:tcBorders>
                    <w:top w:val="single" w:color="auto" w:sz="8" w:space="0"/>
                    <w:left w:val="single" w:color="auto" w:sz="4" w:space="0"/>
                    <w:bottom w:val="single" w:color="auto" w:sz="8"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呼吸系统防护：空气中浓度超标时，必须佩戴自吸过滤式防毒面具（半面罩）；紧急事态抢救或撤离时，应佩戴空气呼吸器。</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眼睛防护：戴化学安全防护眼镜。</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身体防护：穿防毒渗透工作服。</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手防护：戴橡胶耐油手套。</w:t>
                  </w:r>
                </w:p>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其他：工作现场严禁吸烟，避免长期反复接触。</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single" w:color="auto" w:sz="4" w:space="0"/>
                    <w:bottom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泄漏处理</w:t>
                  </w:r>
                </w:p>
              </w:tc>
              <w:tc>
                <w:tcPr>
                  <w:tcW w:w="4614" w:type="pct"/>
                  <w:gridSpan w:val="5"/>
                  <w:tcBorders>
                    <w:top w:val="single" w:color="auto" w:sz="8" w:space="0"/>
                    <w:left w:val="single" w:color="auto" w:sz="4" w:space="0"/>
                    <w:bottom w:val="single" w:color="auto" w:sz="8"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迅速撤离泄漏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single" w:color="auto" w:sz="4" w:space="0"/>
                    <w:bottom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储存要求</w:t>
                  </w:r>
                </w:p>
              </w:tc>
              <w:tc>
                <w:tcPr>
                  <w:tcW w:w="4614" w:type="pct"/>
                  <w:gridSpan w:val="5"/>
                  <w:tcBorders>
                    <w:top w:val="single" w:color="auto" w:sz="8" w:space="0"/>
                    <w:left w:val="single" w:color="auto" w:sz="4" w:space="0"/>
                    <w:bottom w:val="single" w:color="auto" w:sz="8"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储存于阴凉、通风的库房。远离火种、热源。应与氧化剂分开存放，切忌混储。配备相应品种和数量的消防器材。储区应备有泄漏应急处理设备和合适的收容材料。</w:t>
                  </w:r>
                </w:p>
              </w:tc>
            </w:tr>
            <w:tr>
              <w:tblPrEx>
                <w:tblBorders>
                  <w:top w:val="single" w:color="000000" w:sz="12" w:space="0"/>
                  <w:left w:val="none" w:color="auto" w:sz="0" w:space="0"/>
                  <w:bottom w:val="single" w:color="000000"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5" w:type="pct"/>
                  <w:tcBorders>
                    <w:top w:val="single" w:color="auto" w:sz="4" w:space="0"/>
                    <w:right w:val="single" w:color="auto" w:sz="4" w:space="0"/>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运输要求</w:t>
                  </w:r>
                </w:p>
              </w:tc>
              <w:tc>
                <w:tcPr>
                  <w:tcW w:w="4614" w:type="pct"/>
                  <w:gridSpan w:val="5"/>
                  <w:tcBorders>
                    <w:top w:val="single" w:color="auto" w:sz="8" w:space="0"/>
                    <w:left w:val="single" w:color="auto" w:sz="4" w:space="0"/>
                  </w:tcBorders>
                  <w:vAlign w:val="center"/>
                </w:tcPr>
                <w:p>
                  <w:pPr>
                    <w:spacing w:line="240" w:lineRule="auto"/>
                    <w:ind w:firstLine="0" w:firstLineChars="0"/>
                    <w:jc w:val="left"/>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油罐、油罐车、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他物品。船运时，配装位置应远离卧室、厨房，并与机舱、电源、火源等部位隔离。公路运输时要按规定路线行驶。</w:t>
                  </w:r>
                </w:p>
              </w:tc>
            </w:tr>
          </w:tbl>
          <w:p>
            <w:pPr>
              <w:ind w:firstLine="48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6.2环境风险潜势初判</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对照《建设项目环境风险评价技术导则》（HJ169-2018）附录B，分析得出，本项目生产、使用、储存过程中涉及的风险物质为润滑油。</w:t>
            </w:r>
          </w:p>
          <w:p>
            <w:pPr>
              <w:spacing w:line="240" w:lineRule="auto"/>
              <w:ind w:firstLine="422"/>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本项目主要风险源统计表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88"/>
              <w:gridCol w:w="1989"/>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9"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危险物质名称</w:t>
                  </w:r>
                </w:p>
              </w:tc>
              <w:tc>
                <w:tcPr>
                  <w:tcW w:w="1363"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最大储存量（吨）</w:t>
                  </w:r>
                </w:p>
              </w:tc>
              <w:tc>
                <w:tcPr>
                  <w:tcW w:w="1184"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临界量（吨）</w:t>
                  </w:r>
                </w:p>
              </w:tc>
              <w:tc>
                <w:tcPr>
                  <w:tcW w:w="1102"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9"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w:t>
                  </w:r>
                </w:p>
              </w:tc>
              <w:tc>
                <w:tcPr>
                  <w:tcW w:w="1363"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c>
                <w:tcPr>
                  <w:tcW w:w="1184"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2500</w:t>
                  </w:r>
                </w:p>
              </w:tc>
              <w:tc>
                <w:tcPr>
                  <w:tcW w:w="1102"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7" w:type="pct"/>
                  <w:gridSpan w:val="3"/>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02" w:type="pct"/>
                  <w:tcBorders>
                    <w:tl2br w:val="nil"/>
                    <w:tr2bl w:val="nil"/>
                  </w:tcBorders>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0.00008</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根据企业厂界内环境风险物质的最大存在总量与其对应的临界量，参照《建设项目环境风险评价技术导则》（HJ169-2018）附录C，计算本项目危险物质数量与临界量比值Q＝0.00008＜1，则该项目环境风险潜势为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级。</w:t>
            </w:r>
          </w:p>
          <w:p>
            <w:pPr>
              <w:ind w:firstLine="482"/>
              <w:rPr>
                <w:rFonts w:hint="default" w:ascii="Times New Roman" w:hAnsi="Times New Roman" w:cs="Times New Roman"/>
                <w:color w:val="auto"/>
                <w:kern w:val="24"/>
                <w:highlight w:val="none"/>
              </w:rPr>
            </w:pPr>
            <w:r>
              <w:rPr>
                <w:rFonts w:hint="default" w:ascii="Times New Roman" w:hAnsi="Times New Roman" w:cs="Times New Roman"/>
                <w:b/>
                <w:bCs/>
                <w:color w:val="auto"/>
                <w:kern w:val="24"/>
                <w:highlight w:val="none"/>
              </w:rPr>
              <w:t>6.3环境风险识别</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①泄漏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泄漏除影响大气环境外，还有一部分油品会向地下渗漏，污染土壤。石油类物质进入土壤，会破坏土壤结构，分散土粒，使土壤的透水性降低，同时石油碳氢化合物污染的土壤会产生严重的疏水性，导致不能正常吸湿和储存水分，从而阻碍植物生长。</w:t>
            </w:r>
          </w:p>
          <w:p>
            <w:pPr>
              <w:ind w:firstLine="482"/>
              <w:rPr>
                <w:rFonts w:hint="default" w:ascii="Times New Roman" w:hAnsi="Times New Roman" w:cs="Times New Roman"/>
                <w:b w:val="0"/>
                <w:bCs w:val="0"/>
                <w:color w:val="auto"/>
                <w:kern w:val="24"/>
                <w:highlight w:val="none"/>
              </w:rPr>
            </w:pPr>
            <w:r>
              <w:rPr>
                <w:rFonts w:hint="default" w:ascii="Times New Roman" w:hAnsi="Times New Roman" w:cs="Times New Roman"/>
                <w:b w:val="0"/>
                <w:bCs w:val="0"/>
                <w:color w:val="auto"/>
                <w:kern w:val="24"/>
                <w:highlight w:val="none"/>
              </w:rPr>
              <w:t>②大气污染事故风险</w:t>
            </w:r>
          </w:p>
          <w:p>
            <w:pPr>
              <w:ind w:firstLine="48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火灾事故引起的次生/衍生大气环境污染事故。</w:t>
            </w:r>
          </w:p>
          <w:p>
            <w:pPr>
              <w:ind w:firstLine="482"/>
              <w:rPr>
                <w:rFonts w:hint="default" w:ascii="Times New Roman" w:hAnsi="Times New Roman" w:cs="Times New Roman"/>
                <w:color w:val="auto"/>
                <w:kern w:val="24"/>
                <w:highlight w:val="none"/>
              </w:rPr>
            </w:pPr>
            <w:r>
              <w:rPr>
                <w:rFonts w:hint="default" w:ascii="Times New Roman" w:hAnsi="Times New Roman" w:cs="Times New Roman"/>
                <w:b/>
                <w:bCs/>
                <w:color w:val="auto"/>
                <w:kern w:val="24"/>
                <w:highlight w:val="none"/>
              </w:rPr>
              <w:t>6.4环境风险分析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物料泄漏事故一般为容器破裂，此为一般性事故，参照同行业油品泄漏事故统计数据，发生油品泄漏的概率较小，另外采</w:t>
            </w:r>
            <w:r>
              <w:rPr>
                <w:rFonts w:hint="eastAsia" w:cs="Times New Roman"/>
                <w:color w:val="auto"/>
                <w:highlight w:val="none"/>
                <w:lang w:eastAsia="zh-CN"/>
              </w:rPr>
              <w:t>取在</w:t>
            </w:r>
            <w:r>
              <w:rPr>
                <w:rFonts w:hint="default" w:ascii="Times New Roman" w:hAnsi="Times New Roman" w:cs="Times New Roman"/>
                <w:color w:val="auto"/>
                <w:highlight w:val="none"/>
              </w:rPr>
              <w:t>营运中加强生产安全管理，杜绝人为操作失误而引起环境风险事故的发生；制定完善、有效的环境风险突发事故应急预案，一旦发生事故能采取有效的措施及时控制，防止事故蔓延，可将事故影响控制在库区及设备周边，可避免对周围土壤环境的影响。</w:t>
            </w:r>
          </w:p>
          <w:p>
            <w:pPr>
              <w:pStyle w:val="6"/>
              <w:adjustRightInd w:val="0"/>
              <w:snapToGrid w:val="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主要是厂区火灾或爆炸事故，产生的CO等有毒气体扩散至周边空气中，造成人群中毒、死亡或物理伤害，但可能性极低。</w:t>
            </w:r>
          </w:p>
          <w:p>
            <w:pPr>
              <w:ind w:firstLine="482"/>
              <w:rPr>
                <w:rFonts w:hint="default" w:ascii="Times New Roman" w:hAnsi="Times New Roman" w:cs="Times New Roman"/>
                <w:color w:val="auto"/>
                <w:kern w:val="24"/>
                <w:highlight w:val="none"/>
              </w:rPr>
            </w:pPr>
            <w:r>
              <w:rPr>
                <w:rFonts w:hint="default" w:ascii="Times New Roman" w:hAnsi="Times New Roman" w:cs="Times New Roman"/>
                <w:b/>
                <w:bCs/>
                <w:color w:val="auto"/>
                <w:kern w:val="24"/>
                <w:highlight w:val="none"/>
              </w:rPr>
              <w:t>6.5环境风险防范措施及应急要求</w:t>
            </w:r>
          </w:p>
          <w:p>
            <w:pPr>
              <w:adjustRightInd w:val="0"/>
              <w:snapToGrid w:val="0"/>
              <w:spacing w:line="360" w:lineRule="auto"/>
              <w:ind w:firstLine="480" w:firstLineChars="200"/>
              <w:textAlignment w:val="baseline"/>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（1）泄露</w:t>
            </w:r>
          </w:p>
          <w:p>
            <w:pPr>
              <w:adjustRightInd w:val="0"/>
              <w:snapToGrid w:val="0"/>
              <w:spacing w:line="360" w:lineRule="auto"/>
              <w:ind w:firstLine="480" w:firstLineChars="200"/>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废机油储存严格按照相关规范要求进行设计和施工，并配套建设事故应急池；危险废物暂存设施严格</w:t>
            </w:r>
            <w:r>
              <w:rPr>
                <w:rFonts w:hint="eastAsia" w:cs="Times New Roman"/>
                <w:color w:val="auto"/>
                <w:sz w:val="24"/>
                <w:highlight w:val="none"/>
                <w:lang w:eastAsia="zh-CN"/>
              </w:rPr>
              <w:t>按照</w:t>
            </w:r>
            <w:r>
              <w:rPr>
                <w:rFonts w:hint="eastAsia" w:ascii="Times New Roman" w:hAnsi="Times New Roman" w:cs="Times New Roman"/>
                <w:color w:val="auto"/>
                <w:sz w:val="24"/>
                <w:highlight w:val="none"/>
              </w:rPr>
              <w:t>执行《危险废物贮存污染控制标准》（GB18597-2023）要求进行建设、防渗，并设置围堰。安排工作人员定期进行检查，避免出现跑、冒、滴、漏事故发生，污染土壤及地下水。危废暂存设施中废机油泄漏后经围堰封堵，不会进入外环境，因此废油泄漏危废设施内即可妥善处理，用</w:t>
            </w:r>
            <w:r>
              <w:rPr>
                <w:rFonts w:hint="eastAsia" w:cs="Times New Roman"/>
                <w:color w:val="auto"/>
                <w:sz w:val="24"/>
                <w:highlight w:val="none"/>
                <w:lang w:eastAsia="zh-CN"/>
              </w:rPr>
              <w:t>沙土</w:t>
            </w:r>
            <w:r>
              <w:rPr>
                <w:rFonts w:hint="eastAsia" w:ascii="Times New Roman" w:hAnsi="Times New Roman" w:cs="Times New Roman"/>
                <w:color w:val="auto"/>
                <w:sz w:val="24"/>
                <w:highlight w:val="none"/>
              </w:rPr>
              <w:t>或其他不燃材料吸附或吸收，吸附后的不燃材料或沙土单独收集作为危废处理；因此对外环境产生的影响很小。</w:t>
            </w:r>
          </w:p>
          <w:p>
            <w:pPr>
              <w:adjustRightInd w:val="0"/>
              <w:snapToGrid w:val="0"/>
              <w:spacing w:line="360" w:lineRule="auto"/>
              <w:ind w:firstLine="480" w:firstLineChars="200"/>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（2）火灾</w:t>
            </w:r>
          </w:p>
          <w:p>
            <w:pPr>
              <w:adjustRightInd w:val="0"/>
              <w:snapToGrid w:val="0"/>
              <w:spacing w:line="360" w:lineRule="auto"/>
              <w:ind w:firstLine="480" w:firstLineChars="200"/>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①厂区内应设置醒目的消防、禁火标志，加强员工和外来人员的安全教育，定期举行消防演练。制定消防规章制度，由专人负责检查落实，并严禁使用明火，禁止火种带入厂区；</w:t>
            </w:r>
          </w:p>
          <w:p>
            <w:pPr>
              <w:adjustRightInd w:val="0"/>
              <w:snapToGrid w:val="0"/>
              <w:spacing w:line="360" w:lineRule="auto"/>
              <w:ind w:firstLine="480" w:firstLineChars="200"/>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②企业应建立严格的安全防范制度和安全档案，以便及时发现安全问题上的薄弱环节，做到早发现、早解决，不留隐患；</w:t>
            </w:r>
          </w:p>
          <w:p>
            <w:pPr>
              <w:adjustRightInd w:val="0"/>
              <w:snapToGrid w:val="0"/>
              <w:spacing w:line="360" w:lineRule="auto"/>
              <w:ind w:firstLine="480" w:firstLineChars="200"/>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③厂区各处配有若干灭火器和灭火箱，当厂区发现明火或小规模火灾发生时可以及时扑救。</w:t>
            </w:r>
          </w:p>
          <w:p>
            <w:pPr>
              <w:tabs>
                <w:tab w:val="left" w:pos="924"/>
              </w:tabs>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（3）应急预案</w:t>
            </w:r>
          </w:p>
          <w:p>
            <w:pPr>
              <w:pStyle w:val="48"/>
              <w:rPr>
                <w:rFonts w:ascii="Times New Roman" w:hAnsi="Times New Roman" w:cs="Times New Roman"/>
                <w:color w:val="auto"/>
                <w:sz w:val="24"/>
                <w:highlight w:val="none"/>
              </w:rPr>
            </w:pPr>
            <w:r>
              <w:rPr>
                <w:rFonts w:ascii="Times New Roman" w:hAnsi="Times New Roman" w:cs="Times New Roman"/>
                <w:color w:val="auto"/>
                <w:sz w:val="24"/>
                <w:highlight w:val="none"/>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w:t>
            </w:r>
          </w:p>
          <w:p>
            <w:pPr>
              <w:pStyle w:val="4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防范</w:t>
            </w:r>
            <w:r>
              <w:rPr>
                <w:rFonts w:hint="default" w:ascii="Times New Roman" w:hAnsi="Times New Roman" w:eastAsia="宋体" w:cs="Times New Roman"/>
                <w:color w:val="auto"/>
                <w:sz w:val="24"/>
                <w:szCs w:val="24"/>
                <w:highlight w:val="none"/>
              </w:rPr>
              <w:t xml:space="preserve">措施 </w:t>
            </w:r>
          </w:p>
          <w:p>
            <w:pPr>
              <w:pStyle w:val="4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预防措施主要是在本项目工程设计、施工时，应严把设计、施工质量关，杜绝因材质、制管、防腐涂层、焊接缺陷及运行失误造成的管线泄漏，生产运行过程中，必须严格控制生产装置的无组织泄漏，强化监控手段，定期检查，杜绝厂区存在长期事故排放点源的现象保护厂址区域地下水资源。 </w:t>
            </w:r>
          </w:p>
          <w:p>
            <w:pPr>
              <w:pStyle w:val="4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）防渗分区措施</w:t>
            </w:r>
          </w:p>
          <w:p>
            <w:pPr>
              <w:pStyle w:val="4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为有效预防地下水污染，本项目采取分区防渗措施。本项目按重点防渗区和简单防渗区分区域进行防渗处理。 </w:t>
            </w:r>
          </w:p>
          <w:p>
            <w:pPr>
              <w:pStyle w:val="48"/>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重点防渗区包括危废暂存间。其他生产生活设施为简单防渗区，仅做一般地面硬化。</w:t>
            </w:r>
          </w:p>
          <w:p>
            <w:pPr>
              <w:pStyle w:val="48"/>
              <w:adjustRightInd w:val="0"/>
              <w:snapToGrid w:val="0"/>
              <w:spacing w:line="240" w:lineRule="auto"/>
              <w:ind w:firstLine="422"/>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val="0"/>
                <w:color w:val="auto"/>
                <w:kern w:val="0"/>
                <w:sz w:val="24"/>
                <w:szCs w:val="24"/>
                <w:highlight w:val="none"/>
              </w:rPr>
              <w:t>表4-</w:t>
            </w:r>
            <w:r>
              <w:rPr>
                <w:rFonts w:hint="eastAsia" w:ascii="Times New Roman" w:hAnsi="Times New Roman" w:cs="Times New Roman"/>
                <w:b/>
                <w:bCs w:val="0"/>
                <w:color w:val="auto"/>
                <w:kern w:val="0"/>
                <w:sz w:val="24"/>
                <w:szCs w:val="24"/>
                <w:highlight w:val="none"/>
                <w:lang w:val="en-US" w:eastAsia="zh-CN"/>
              </w:rPr>
              <w:t>29</w:t>
            </w:r>
            <w:r>
              <w:rPr>
                <w:rFonts w:hint="default" w:ascii="Times New Roman" w:hAnsi="Times New Roman" w:eastAsia="宋体" w:cs="Times New Roman"/>
                <w:b/>
                <w:bCs w:val="0"/>
                <w:color w:val="auto"/>
                <w:kern w:val="0"/>
                <w:sz w:val="24"/>
                <w:szCs w:val="24"/>
                <w:highlight w:val="none"/>
              </w:rPr>
              <w:t xml:space="preserve">   项目污染地下水途径及防治措施一览表</w:t>
            </w:r>
          </w:p>
          <w:tbl>
            <w:tblPr>
              <w:tblStyle w:val="21"/>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500"/>
              <w:gridCol w:w="1975"/>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0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975"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4049"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0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1975"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危险废物贮存库</w:t>
                  </w:r>
                </w:p>
              </w:tc>
              <w:tc>
                <w:tcPr>
                  <w:tcW w:w="4049"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等效黏土防渗层Mb≥6.0m，K≤1×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或参照GB18598执行</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00"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1975"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其他生产生活设施</w:t>
                  </w:r>
                </w:p>
              </w:tc>
              <w:tc>
                <w:tcPr>
                  <w:tcW w:w="4049"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l2br w:val="nil"/>
                    <w:tr2bl w:val="nil"/>
                  </w:tcBorders>
                  <w:vAlign w:val="center"/>
                </w:tcPr>
                <w:p>
                  <w:pPr>
                    <w:pStyle w:val="45"/>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500" w:type="dxa"/>
                  <w:tcBorders>
                    <w:tl2br w:val="nil"/>
                    <w:tr2bl w:val="nil"/>
                  </w:tcBorders>
                  <w:vAlign w:val="center"/>
                </w:tcPr>
                <w:p>
                  <w:pPr>
                    <w:pStyle w:val="45"/>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一般防渗区</w:t>
                  </w:r>
                </w:p>
              </w:tc>
              <w:tc>
                <w:tcPr>
                  <w:tcW w:w="1975" w:type="dxa"/>
                  <w:tcBorders>
                    <w:tl2br w:val="nil"/>
                    <w:tr2bl w:val="nil"/>
                  </w:tcBorders>
                  <w:vAlign w:val="center"/>
                </w:tcPr>
                <w:p>
                  <w:pPr>
                    <w:pStyle w:val="45"/>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原料库房、</w:t>
                  </w:r>
                  <w:r>
                    <w:rPr>
                      <w:rFonts w:hint="eastAsia" w:ascii="Times New Roman" w:hAnsi="Times New Roman" w:eastAsia="宋体" w:cs="Times New Roman"/>
                      <w:color w:val="auto"/>
                      <w:sz w:val="21"/>
                      <w:szCs w:val="21"/>
                      <w:highlight w:val="none"/>
                      <w:lang w:val="en-US" w:eastAsia="zh-CN"/>
                    </w:rPr>
                    <w:t>生产车间、成品区</w:t>
                  </w:r>
                </w:p>
              </w:tc>
              <w:tc>
                <w:tcPr>
                  <w:tcW w:w="4049" w:type="dxa"/>
                  <w:tcBorders>
                    <w:tl2br w:val="nil"/>
                    <w:tr2bl w:val="nil"/>
                  </w:tcBorders>
                  <w:vAlign w:val="center"/>
                </w:tcPr>
                <w:p>
                  <w:pPr>
                    <w:pStyle w:val="4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等效黏土防渗层Mb≥1.5m，K≤1×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w:t>
                  </w:r>
                  <w:r>
                    <w:rPr>
                      <w:rFonts w:hint="eastAsia" w:ascii="Times New Roman" w:hAnsi="Times New Roman" w:eastAsia="宋体" w:cs="Times New Roman"/>
                      <w:color w:val="auto"/>
                      <w:sz w:val="21"/>
                      <w:szCs w:val="21"/>
                      <w:highlight w:val="none"/>
                      <w:vertAlign w:val="superscript"/>
                      <w:lang w:val="en-US" w:eastAsia="zh-CN"/>
                    </w:rPr>
                    <w:t>5</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或参照GB16889执行</w:t>
                  </w:r>
                </w:p>
              </w:tc>
            </w:tr>
          </w:tbl>
          <w:p>
            <w:pPr>
              <w:ind w:left="0" w:leftChars="0" w:firstLine="482" w:firstLineChars="200"/>
              <w:rPr>
                <w:rFonts w:hint="default" w:ascii="Times New Roman" w:hAnsi="Times New Roman" w:cs="Times New Roman"/>
                <w:color w:val="auto"/>
                <w:kern w:val="24"/>
                <w:highlight w:val="none"/>
              </w:rPr>
            </w:pPr>
            <w:r>
              <w:rPr>
                <w:rFonts w:hint="default" w:ascii="Times New Roman" w:hAnsi="Times New Roman" w:cs="Times New Roman"/>
                <w:b/>
                <w:bCs/>
                <w:color w:val="auto"/>
                <w:kern w:val="24"/>
                <w:highlight w:val="none"/>
              </w:rPr>
              <w:t>6.6环境风险评价结论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项目生产过程中风险主要为火灾及爆炸风险，建设单位应高度重视生产及贮运过程中存在的油品泄漏、火</w:t>
            </w:r>
            <w:r>
              <w:rPr>
                <w:rFonts w:hint="eastAsia" w:cs="Times New Roman"/>
                <w:color w:val="auto"/>
                <w:highlight w:val="none"/>
                <w:lang w:eastAsia="zh-CN"/>
              </w:rPr>
              <w:t>灾等</w:t>
            </w:r>
            <w:r>
              <w:rPr>
                <w:rFonts w:hint="default" w:ascii="Times New Roman" w:hAnsi="Times New Roman" w:cs="Times New Roman"/>
                <w:color w:val="auto"/>
                <w:highlight w:val="none"/>
              </w:rPr>
              <w:t>风险因素。为了防范事故和减少危害，应制定火灾事故的应急预案，当出现事故时，要采取紧急的工程应急措施，如必要，要采取社会应急措施，以减少事故对环境造成的危害；针对不同环节的事故风险，应从运输、贮存、生产全过程及末端治理进行全面的风险管理和防范；要备足、备全应急救援物资和设备。</w:t>
            </w:r>
          </w:p>
          <w:p>
            <w:pPr>
              <w:pStyle w:val="4"/>
              <w:adjustRightInd w:val="0"/>
              <w:spacing w:before="0" w:after="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环保投资估算</w:t>
            </w:r>
          </w:p>
          <w:p>
            <w:pPr>
              <w:adjustRightInd w:val="0"/>
              <w:snapToGrid w:val="0"/>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本项目总投资为</w:t>
            </w:r>
            <w:r>
              <w:rPr>
                <w:rFonts w:hint="default" w:ascii="Times New Roman" w:hAnsi="Times New Roman" w:cs="Times New Roman"/>
                <w:color w:val="auto"/>
                <w:highlight w:val="none"/>
                <w:lang w:val="en-US" w:eastAsia="zh-CN"/>
              </w:rPr>
              <w:t>12000</w:t>
            </w:r>
            <w:r>
              <w:rPr>
                <w:rFonts w:hint="default" w:ascii="Times New Roman" w:hAnsi="Times New Roman" w:cs="Times New Roman"/>
                <w:color w:val="auto"/>
                <w:highlight w:val="none"/>
              </w:rPr>
              <w:t>万元，环保投资</w:t>
            </w:r>
            <w:r>
              <w:rPr>
                <w:rFonts w:hint="eastAsia" w:cs="Times New Roman"/>
                <w:color w:val="auto"/>
                <w:highlight w:val="none"/>
                <w:lang w:val="en-US" w:eastAsia="zh-CN"/>
              </w:rPr>
              <w:t>129</w:t>
            </w:r>
            <w:r>
              <w:rPr>
                <w:rFonts w:hint="default" w:ascii="Times New Roman" w:hAnsi="Times New Roman" w:cs="Times New Roman"/>
                <w:color w:val="auto"/>
                <w:highlight w:val="none"/>
              </w:rPr>
              <w:t>万元，占总投资的</w:t>
            </w:r>
            <w:r>
              <w:rPr>
                <w:rFonts w:hint="eastAsia" w:cs="Times New Roman"/>
                <w:color w:val="auto"/>
                <w:highlight w:val="none"/>
                <w:lang w:val="en-US" w:eastAsia="zh-CN"/>
              </w:rPr>
              <w:t>1.075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，详见表4-</w:t>
            </w:r>
            <w:r>
              <w:rPr>
                <w:rFonts w:hint="eastAsia" w:cs="Times New Roman"/>
                <w:color w:val="auto"/>
                <w:highlight w:val="none"/>
                <w:lang w:val="en-US" w:eastAsia="zh-CN"/>
              </w:rPr>
              <w:t>30</w:t>
            </w:r>
            <w:r>
              <w:rPr>
                <w:rFonts w:hint="default" w:ascii="Times New Roman" w:hAnsi="Times New Roman" w:cs="Times New Roman"/>
                <w:color w:val="auto"/>
                <w:highlight w:val="none"/>
              </w:rPr>
              <w:t>。</w:t>
            </w:r>
          </w:p>
          <w:p>
            <w:pPr>
              <w:pStyle w:val="9"/>
              <w:spacing w:line="24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w:t>
            </w:r>
            <w:r>
              <w:rPr>
                <w:rFonts w:hint="eastAsia"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环境保护投资估算一览表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216"/>
              <w:gridCol w:w="1182"/>
              <w:gridCol w:w="61"/>
              <w:gridCol w:w="4362"/>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tc>
              <w:tc>
                <w:tcPr>
                  <w:tcW w:w="671"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6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选用低噪音设备、合理安排施工时间，合理布置施工平面图，加强管理等</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洒水抑尘等措施</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临时</w:t>
                  </w:r>
                  <w:r>
                    <w:rPr>
                      <w:rFonts w:hint="default" w:ascii="Times New Roman" w:hAnsi="Times New Roman" w:cs="Times New Roman"/>
                      <w:color w:val="auto"/>
                      <w:sz w:val="21"/>
                      <w:szCs w:val="21"/>
                      <w:highlight w:val="none"/>
                      <w:lang w:val="en-US" w:eastAsia="zh-CN"/>
                    </w:rPr>
                    <w:t>化粪池</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固废治理</w:t>
                  </w:r>
                </w:p>
              </w:tc>
              <w:tc>
                <w:tcPr>
                  <w:tcW w:w="740" w:type="pct"/>
                  <w:gridSpan w:val="2"/>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2598"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施工场地设置垃圾桶及清运</w:t>
                  </w:r>
                </w:p>
              </w:tc>
              <w:tc>
                <w:tcPr>
                  <w:tcW w:w="1127" w:type="dxa"/>
                  <w:tcBorders>
                    <w:tl2br w:val="nil"/>
                    <w:tr2bl w:val="nil"/>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4063" w:type="pct"/>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小计</w:t>
                  </w:r>
                </w:p>
              </w:tc>
              <w:tc>
                <w:tcPr>
                  <w:tcW w:w="1127" w:type="dxa"/>
                  <w:tcBorders>
                    <w:tl2br w:val="nil"/>
                    <w:tr2bl w:val="nil"/>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72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集气罩+2套</w:t>
                  </w:r>
                  <w:r>
                    <w:rPr>
                      <w:rFonts w:hint="default" w:ascii="Times New Roman" w:hAnsi="Times New Roman" w:cs="Times New Roman"/>
                      <w:color w:val="auto"/>
                      <w:sz w:val="21"/>
                      <w:szCs w:val="21"/>
                      <w:highlight w:val="none"/>
                    </w:rPr>
                    <w:t>布袋除尘器</w:t>
                  </w:r>
                  <w:r>
                    <w:rPr>
                      <w:rFonts w:hint="default" w:ascii="Times New Roman" w:hAnsi="Times New Roman" w:cs="Times New Roman"/>
                      <w:color w:val="auto"/>
                      <w:sz w:val="21"/>
                      <w:szCs w:val="21"/>
                      <w:highlight w:val="none"/>
                      <w:lang w:val="en-US" w:eastAsia="zh-CN"/>
                    </w:rPr>
                    <w:t>+15m排气筒</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移动式焊接烟气净化器</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集气罩+纸盒过滤+活性炭吸附+催化燃烧装置处理</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食堂油烟净化设备（净化效率75%）</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生活污水排入园区污水管网</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采取对设备基础减振、车间隔声等降噪措施</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固废治理</w:t>
                  </w:r>
                </w:p>
              </w:tc>
              <w:tc>
                <w:tcPr>
                  <w:tcW w:w="70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2635" w:type="pct"/>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垃圾箱集中收集，委托环卫部门清理</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i w:val="0"/>
                      <w:iCs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0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2635" w:type="pct"/>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集中收集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定期外售</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0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2635" w:type="pct"/>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定期交由有资质的单位处理</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2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环境管理</w:t>
                  </w:r>
                </w:p>
              </w:tc>
              <w:tc>
                <w:tcPr>
                  <w:tcW w:w="3339" w:type="pct"/>
                  <w:gridSpan w:val="3"/>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制定环境管理制度、设置环境管理人员、排污许可申请、环保信息公开等</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4063" w:type="pct"/>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小计</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4063" w:type="pct"/>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总计</w:t>
                  </w:r>
                </w:p>
              </w:tc>
              <w:tc>
                <w:tcPr>
                  <w:tcW w:w="1127"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129</w:t>
                  </w:r>
                </w:p>
              </w:tc>
            </w:tr>
          </w:tbl>
          <w:p>
            <w:pPr>
              <w:keepNext w:val="0"/>
              <w:keepLines/>
              <w:pageBreakBefore w:val="0"/>
              <w:widowControl w:val="0"/>
              <w:wordWrap/>
              <w:bidi w:val="0"/>
              <w:adjustRightInd/>
              <w:snapToGrid/>
              <w:spacing w:before="0" w:beforeAutospacing="0" w:after="0" w:afterAutospacing="0"/>
              <w:ind w:left="0" w:leftChars="0" w:firstLine="0" w:firstLineChars="0"/>
              <w:rPr>
                <w:rFonts w:hint="default" w:ascii="Times New Roman" w:hAnsi="Times New Roman" w:eastAsia="宋体" w:cs="Times New Roman"/>
                <w:color w:val="auto"/>
                <w:highlight w:val="none"/>
                <w:lang w:val="en-US" w:eastAsia="zh-CN"/>
              </w:rPr>
            </w:pPr>
          </w:p>
        </w:tc>
      </w:tr>
    </w:tbl>
    <w:p>
      <w:pPr>
        <w:adjustRightInd w:val="0"/>
        <w:snapToGrid w:val="0"/>
        <w:ind w:left="0" w:leftChars="0" w:firstLine="0" w:firstLineChars="0"/>
        <w:rPr>
          <w:rFonts w:hint="default" w:ascii="Times New Roman" w:hAnsi="Times New Roman" w:eastAsia="宋体" w:cs="Times New Roman"/>
          <w:b/>
          <w:color w:val="auto"/>
          <w:kern w:val="0"/>
          <w:sz w:val="28"/>
          <w:szCs w:val="28"/>
          <w:highlight w:val="none"/>
          <w:lang w:val="en-US" w:eastAsia="zh-CN"/>
        </w:rPr>
        <w:sectPr>
          <w:pgSz w:w="11907" w:h="16840"/>
          <w:pgMar w:top="1701" w:right="1531" w:bottom="2127" w:left="1531" w:header="851" w:footer="851" w:gutter="0"/>
          <w:cols w:space="720" w:num="1"/>
          <w:docGrid w:linePitch="312" w:charSpace="0"/>
        </w:sectPr>
      </w:pPr>
    </w:p>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9" w:name="_Hlk54167917"/>
      <w:r>
        <w:rPr>
          <w:rFonts w:hint="default" w:ascii="Times New Roman" w:hAnsi="Times New Roman" w:eastAsia="黑体" w:cs="Times New Roman"/>
          <w:snapToGrid w:val="0"/>
          <w:color w:val="auto"/>
          <w:sz w:val="30"/>
          <w:szCs w:val="30"/>
          <w:highlight w:val="none"/>
        </w:rPr>
        <w:t>环境保护措施监督检查清单</w:t>
      </w:r>
      <w:bookmarkEnd w:id="9"/>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45"/>
        <w:gridCol w:w="1650"/>
        <w:gridCol w:w="2010"/>
        <w:gridCol w:w="2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Borders>
              <w:tl2br w:val="single" w:color="auto" w:sz="4" w:space="0"/>
            </w:tcBorders>
          </w:tcPr>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内容</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要素</w:t>
            </w:r>
          </w:p>
        </w:tc>
        <w:tc>
          <w:tcPr>
            <w:tcW w:w="1545"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排放口（编号、</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名称）/污染源</w:t>
            </w:r>
          </w:p>
        </w:tc>
        <w:tc>
          <w:tcPr>
            <w:tcW w:w="165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污染物项目</w:t>
            </w:r>
          </w:p>
        </w:tc>
        <w:tc>
          <w:tcPr>
            <w:tcW w:w="201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环境保护措施</w:t>
            </w:r>
          </w:p>
        </w:tc>
        <w:tc>
          <w:tcPr>
            <w:tcW w:w="2178"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417" w:type="dxa"/>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大气环境</w:t>
            </w:r>
          </w:p>
        </w:tc>
        <w:tc>
          <w:tcPr>
            <w:tcW w:w="15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DA00</w:t>
            </w:r>
            <w:r>
              <w:rPr>
                <w:rFonts w:hint="default" w:ascii="Times New Roman" w:hAnsi="Times New Roman" w:cs="Times New Roman"/>
                <w:color w:val="auto"/>
                <w:kern w:val="0"/>
                <w:sz w:val="21"/>
                <w:szCs w:val="21"/>
                <w:highlight w:val="none"/>
                <w:lang w:val="en-US" w:eastAsia="zh-CN"/>
              </w:rPr>
              <w:t>1</w:t>
            </w:r>
          </w:p>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切割工序</w:t>
            </w:r>
          </w:p>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排气筒</w:t>
            </w:r>
          </w:p>
        </w:tc>
        <w:tc>
          <w:tcPr>
            <w:tcW w:w="1650"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颗粒物</w:t>
            </w:r>
          </w:p>
        </w:tc>
        <w:tc>
          <w:tcPr>
            <w:tcW w:w="2010"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Style w:val="46"/>
                <w:rFonts w:hint="default" w:ascii="Times New Roman" w:hAnsi="Times New Roman" w:cs="Times New Roman"/>
                <w:color w:val="auto"/>
                <w:highlight w:val="none"/>
                <w:lang w:bidi="ar"/>
              </w:rPr>
              <w:t>布袋除尘器+</w:t>
            </w:r>
            <w:r>
              <w:rPr>
                <w:rStyle w:val="46"/>
                <w:rFonts w:hint="default" w:ascii="Times New Roman" w:hAnsi="Times New Roman" w:cs="Times New Roman"/>
                <w:color w:val="auto"/>
                <w:highlight w:val="none"/>
                <w:lang w:val="en-US" w:eastAsia="zh-CN" w:bidi="ar"/>
              </w:rPr>
              <w:t>15m</w:t>
            </w:r>
            <w:r>
              <w:rPr>
                <w:rStyle w:val="46"/>
                <w:rFonts w:hint="default" w:ascii="Times New Roman" w:hAnsi="Times New Roman" w:cs="Times New Roman"/>
                <w:color w:val="auto"/>
                <w:highlight w:val="none"/>
                <w:lang w:bidi="ar"/>
              </w:rPr>
              <w:t>高排气筒</w:t>
            </w:r>
          </w:p>
        </w:tc>
        <w:tc>
          <w:tcPr>
            <w:tcW w:w="2178" w:type="dxa"/>
            <w:vMerge w:val="restart"/>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16297-1996）表2中新污染源大气污染物排放限值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545"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DA002</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喷砂工序</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排气筒</w:t>
            </w:r>
          </w:p>
        </w:tc>
        <w:tc>
          <w:tcPr>
            <w:tcW w:w="1650"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颗粒物</w:t>
            </w:r>
          </w:p>
        </w:tc>
        <w:tc>
          <w:tcPr>
            <w:tcW w:w="2010" w:type="dxa"/>
            <w:shd w:val="clear" w:color="auto" w:fill="auto"/>
            <w:vAlign w:val="center"/>
          </w:tcPr>
          <w:p>
            <w:pPr>
              <w:adjustRightInd w:val="0"/>
              <w:snapToGrid w:val="0"/>
              <w:spacing w:line="240" w:lineRule="auto"/>
              <w:ind w:firstLine="0" w:firstLineChars="0"/>
              <w:jc w:val="center"/>
              <w:rPr>
                <w:rStyle w:val="46"/>
                <w:rFonts w:hint="default" w:ascii="Times New Roman" w:hAnsi="Times New Roman" w:cs="Times New Roman"/>
                <w:color w:val="auto"/>
                <w:highlight w:val="none"/>
                <w:lang w:bidi="ar"/>
              </w:rPr>
            </w:pPr>
            <w:r>
              <w:rPr>
                <w:rStyle w:val="46"/>
                <w:rFonts w:hint="default" w:ascii="Times New Roman" w:hAnsi="Times New Roman" w:cs="Times New Roman"/>
                <w:color w:val="auto"/>
                <w:highlight w:val="none"/>
                <w:lang w:bidi="ar"/>
              </w:rPr>
              <w:t>布袋除尘器+</w:t>
            </w:r>
            <w:r>
              <w:rPr>
                <w:rStyle w:val="46"/>
                <w:rFonts w:hint="default" w:ascii="Times New Roman" w:hAnsi="Times New Roman" w:cs="Times New Roman"/>
                <w:color w:val="auto"/>
                <w:highlight w:val="none"/>
                <w:lang w:val="en-US" w:eastAsia="zh-CN" w:bidi="ar"/>
              </w:rPr>
              <w:t>15m</w:t>
            </w:r>
            <w:r>
              <w:rPr>
                <w:rStyle w:val="46"/>
                <w:rFonts w:hint="default" w:ascii="Times New Roman" w:hAnsi="Times New Roman" w:cs="Times New Roman"/>
                <w:color w:val="auto"/>
                <w:highlight w:val="none"/>
                <w:lang w:bidi="ar"/>
              </w:rPr>
              <w:t>高排气筒</w:t>
            </w:r>
          </w:p>
        </w:tc>
        <w:tc>
          <w:tcPr>
            <w:tcW w:w="2178"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545"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DA003</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喷漆工序</w:t>
            </w:r>
          </w:p>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排气筒</w:t>
            </w:r>
          </w:p>
        </w:tc>
        <w:tc>
          <w:tcPr>
            <w:tcW w:w="16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颗粒物</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非甲烷总烃、二甲苯</w:t>
            </w:r>
          </w:p>
        </w:tc>
        <w:tc>
          <w:tcPr>
            <w:tcW w:w="2010" w:type="dxa"/>
            <w:shd w:val="clear" w:color="auto" w:fill="auto"/>
            <w:vAlign w:val="center"/>
          </w:tcPr>
          <w:p>
            <w:pPr>
              <w:adjustRightInd w:val="0"/>
              <w:snapToGrid w:val="0"/>
              <w:spacing w:line="240" w:lineRule="auto"/>
              <w:ind w:firstLine="0" w:firstLineChars="0"/>
              <w:jc w:val="center"/>
              <w:rPr>
                <w:rStyle w:val="46"/>
                <w:rFonts w:hint="default" w:ascii="Times New Roman" w:hAnsi="Times New Roman" w:eastAsia="宋体" w:cs="Times New Roman"/>
                <w:color w:val="auto"/>
                <w:highlight w:val="none"/>
                <w:lang w:val="en-US" w:eastAsia="zh-CN" w:bidi="ar"/>
              </w:rPr>
            </w:pPr>
            <w:r>
              <w:rPr>
                <w:rStyle w:val="46"/>
                <w:rFonts w:hint="default" w:ascii="Times New Roman" w:hAnsi="Times New Roman" w:cs="Times New Roman"/>
                <w:color w:val="auto"/>
                <w:highlight w:val="none"/>
                <w:lang w:val="en-US" w:eastAsia="zh-CN" w:bidi="ar"/>
              </w:rPr>
              <w:t>纸盒过滤</w:t>
            </w:r>
            <w:r>
              <w:rPr>
                <w:rStyle w:val="46"/>
                <w:rFonts w:hint="default" w:ascii="Times New Roman" w:hAnsi="Times New Roman" w:cs="Times New Roman"/>
                <w:color w:val="auto"/>
                <w:highlight w:val="none"/>
                <w:lang w:bidi="ar"/>
              </w:rPr>
              <w:t>+</w:t>
            </w:r>
            <w:r>
              <w:rPr>
                <w:rStyle w:val="46"/>
                <w:rFonts w:hint="default" w:ascii="Times New Roman" w:hAnsi="Times New Roman" w:cs="Times New Roman"/>
                <w:color w:val="auto"/>
                <w:highlight w:val="none"/>
                <w:lang w:eastAsia="zh-CN" w:bidi="ar"/>
              </w:rPr>
              <w:t>活性炭吸附</w:t>
            </w:r>
            <w:r>
              <w:rPr>
                <w:rStyle w:val="46"/>
                <w:rFonts w:hint="default" w:ascii="Times New Roman" w:hAnsi="Times New Roman" w:cs="Times New Roman"/>
                <w:color w:val="auto"/>
                <w:highlight w:val="none"/>
                <w:lang w:bidi="ar"/>
              </w:rPr>
              <w:t>+催化燃烧装置</w:t>
            </w:r>
            <w:r>
              <w:rPr>
                <w:rStyle w:val="46"/>
                <w:rFonts w:hint="eastAsia" w:ascii="Times New Roman" w:hAnsi="Times New Roman" w:cs="Times New Roman"/>
                <w:color w:val="auto"/>
                <w:highlight w:val="none"/>
                <w:lang w:val="en-US" w:eastAsia="zh-CN" w:bidi="ar"/>
              </w:rPr>
              <w:t>+15m高排气筒</w:t>
            </w:r>
          </w:p>
        </w:tc>
        <w:tc>
          <w:tcPr>
            <w:tcW w:w="2178"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5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焊接工序</w:t>
            </w:r>
          </w:p>
        </w:tc>
        <w:tc>
          <w:tcPr>
            <w:tcW w:w="16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焊接烟气</w:t>
            </w:r>
          </w:p>
        </w:tc>
        <w:tc>
          <w:tcPr>
            <w:tcW w:w="2010" w:type="dxa"/>
            <w:shd w:val="clear" w:color="auto" w:fill="auto"/>
            <w:vAlign w:val="center"/>
          </w:tcPr>
          <w:p>
            <w:pPr>
              <w:adjustRightInd w:val="0"/>
              <w:snapToGrid w:val="0"/>
              <w:spacing w:line="240" w:lineRule="auto"/>
              <w:ind w:firstLine="0" w:firstLineChars="0"/>
              <w:jc w:val="center"/>
              <w:rPr>
                <w:rStyle w:val="46"/>
                <w:rFonts w:hint="default" w:ascii="Times New Roman" w:hAnsi="Times New Roman" w:cs="Times New Roman"/>
                <w:color w:val="auto"/>
                <w:highlight w:val="none"/>
                <w:lang w:bidi="ar"/>
              </w:rPr>
            </w:pPr>
            <w:r>
              <w:rPr>
                <w:rStyle w:val="46"/>
                <w:rFonts w:hint="default" w:ascii="Times New Roman" w:hAnsi="Times New Roman" w:cs="Times New Roman"/>
                <w:color w:val="auto"/>
                <w:highlight w:val="none"/>
                <w:lang w:bidi="ar"/>
              </w:rPr>
              <w:t>移动式</w:t>
            </w:r>
          </w:p>
          <w:p>
            <w:pPr>
              <w:adjustRightInd w:val="0"/>
              <w:snapToGrid w:val="0"/>
              <w:spacing w:line="240" w:lineRule="auto"/>
              <w:ind w:firstLine="0" w:firstLineChars="0"/>
              <w:jc w:val="center"/>
              <w:rPr>
                <w:rStyle w:val="46"/>
                <w:rFonts w:hint="default" w:ascii="Times New Roman" w:hAnsi="Times New Roman" w:cs="Times New Roman"/>
                <w:color w:val="auto"/>
                <w:highlight w:val="none"/>
                <w:lang w:bidi="ar"/>
              </w:rPr>
            </w:pPr>
            <w:r>
              <w:rPr>
                <w:rStyle w:val="46"/>
                <w:rFonts w:hint="default" w:ascii="Times New Roman" w:hAnsi="Times New Roman" w:cs="Times New Roman"/>
                <w:color w:val="auto"/>
                <w:highlight w:val="none"/>
                <w:lang w:bidi="ar"/>
              </w:rPr>
              <w:t>焊接烟气净化器</w:t>
            </w:r>
          </w:p>
        </w:tc>
        <w:tc>
          <w:tcPr>
            <w:tcW w:w="2178"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545"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食堂废气</w:t>
            </w:r>
          </w:p>
        </w:tc>
        <w:tc>
          <w:tcPr>
            <w:tcW w:w="1650"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油烟</w:t>
            </w:r>
          </w:p>
        </w:tc>
        <w:tc>
          <w:tcPr>
            <w:tcW w:w="2010" w:type="dxa"/>
            <w:shd w:val="clear" w:color="auto" w:fill="auto"/>
            <w:vAlign w:val="center"/>
          </w:tcPr>
          <w:p>
            <w:pPr>
              <w:adjustRightInd w:val="0"/>
              <w:snapToGrid w:val="0"/>
              <w:spacing w:line="240" w:lineRule="auto"/>
              <w:ind w:firstLine="0" w:firstLineChars="0"/>
              <w:jc w:val="center"/>
              <w:rPr>
                <w:rStyle w:val="46"/>
                <w:rFonts w:hint="default" w:ascii="Times New Roman" w:hAnsi="Times New Roman" w:eastAsia="宋体" w:cs="Times New Roman"/>
                <w:color w:val="auto"/>
                <w:highlight w:val="none"/>
                <w:lang w:val="en-US" w:eastAsia="zh-CN" w:bidi="ar"/>
              </w:rPr>
            </w:pPr>
            <w:r>
              <w:rPr>
                <w:rStyle w:val="46"/>
                <w:rFonts w:hint="default" w:ascii="Times New Roman" w:hAnsi="Times New Roman" w:cs="Times New Roman"/>
                <w:color w:val="auto"/>
                <w:highlight w:val="none"/>
                <w:lang w:val="en-US" w:eastAsia="zh-CN" w:bidi="ar"/>
              </w:rPr>
              <w:t>油烟净化器</w:t>
            </w:r>
          </w:p>
        </w:tc>
        <w:tc>
          <w:tcPr>
            <w:tcW w:w="2178" w:type="dxa"/>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《饮食业油烟排放标准（试行）》</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1545" w:type="dxa"/>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厂界无组织</w:t>
            </w:r>
          </w:p>
        </w:tc>
        <w:tc>
          <w:tcPr>
            <w:tcW w:w="1650"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颗粒物</w:t>
            </w:r>
          </w:p>
        </w:tc>
        <w:tc>
          <w:tcPr>
            <w:tcW w:w="2010"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2178"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16297-1996）表2中新污染源大气污染物排放限值</w:t>
            </w:r>
            <w:r>
              <w:rPr>
                <w:rFonts w:hint="default" w:ascii="Times New Roman" w:hAnsi="Times New Roman" w:cs="Times New Roman"/>
                <w:color w:val="auto"/>
                <w:sz w:val="21"/>
                <w:szCs w:val="21"/>
                <w:highlight w:val="none"/>
                <w:lang w:eastAsia="zh-CN"/>
              </w:rPr>
              <w:t>；</w:t>
            </w:r>
          </w:p>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eastAsia="zh-CN"/>
              </w:rPr>
              <w:t>《挥发性有机物无组织排放控制标准》（GB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eastAsia="zh-CN"/>
              </w:rPr>
              <w:t>37822-2019）表A.1中特别排放限值标准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417"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1545"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65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非甲烷总烃</w:t>
            </w:r>
          </w:p>
        </w:tc>
        <w:tc>
          <w:tcPr>
            <w:tcW w:w="201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2178" w:type="dxa"/>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地表水环境</w:t>
            </w:r>
          </w:p>
        </w:tc>
        <w:tc>
          <w:tcPr>
            <w:tcW w:w="1545"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厂区生活污水</w:t>
            </w:r>
          </w:p>
        </w:tc>
        <w:tc>
          <w:tcPr>
            <w:tcW w:w="1650"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化学需氧量、五日生化需氧量、氨氮</w:t>
            </w:r>
            <w:r>
              <w:rPr>
                <w:rFonts w:hint="eastAsia" w:ascii="Times New Roman" w:hAnsi="Times New Roman"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动植物油</w:t>
            </w:r>
          </w:p>
        </w:tc>
        <w:tc>
          <w:tcPr>
            <w:tcW w:w="201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进入园区下水管网，最终进入污水处理厂处理</w:t>
            </w:r>
          </w:p>
        </w:tc>
        <w:tc>
          <w:tcPr>
            <w:tcW w:w="2178"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妥善处理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声环境</w:t>
            </w:r>
          </w:p>
        </w:tc>
        <w:tc>
          <w:tcPr>
            <w:tcW w:w="1545"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生产设备</w:t>
            </w:r>
          </w:p>
        </w:tc>
        <w:tc>
          <w:tcPr>
            <w:tcW w:w="165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等效A声级</w:t>
            </w:r>
          </w:p>
        </w:tc>
        <w:tc>
          <w:tcPr>
            <w:tcW w:w="201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建筑物的隔声、距离衰减及设置减振垫</w:t>
            </w:r>
          </w:p>
        </w:tc>
        <w:tc>
          <w:tcPr>
            <w:tcW w:w="2178"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《工业企业厂界环境噪声排放标准》</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（GB</w:t>
            </w: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电磁辐射</w:t>
            </w:r>
          </w:p>
        </w:tc>
        <w:tc>
          <w:tcPr>
            <w:tcW w:w="1545"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165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010"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178"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固体废物</w:t>
            </w:r>
          </w:p>
        </w:tc>
        <w:tc>
          <w:tcPr>
            <w:tcW w:w="7383" w:type="dxa"/>
            <w:gridSpan w:val="4"/>
            <w:vAlign w:val="center"/>
          </w:tcPr>
          <w:p>
            <w:pPr>
              <w:widowControl/>
              <w:autoSpaceDE w:val="0"/>
              <w:autoSpaceDN w:val="0"/>
              <w:adjustRightInd w:val="0"/>
              <w:snapToGrid w:val="0"/>
              <w:spacing w:line="240" w:lineRule="auto"/>
              <w:ind w:firstLine="0" w:firstLineChars="0"/>
              <w:jc w:val="left"/>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本项目产生的固体废物包括一般工业固体废物、危险废物和生活垃圾。</w:t>
            </w:r>
          </w:p>
          <w:p>
            <w:pPr>
              <w:widowControl/>
              <w:autoSpaceDE w:val="0"/>
              <w:autoSpaceDN w:val="0"/>
              <w:adjustRightInd w:val="0"/>
              <w:snapToGrid w:val="0"/>
              <w:spacing w:line="240" w:lineRule="auto"/>
              <w:ind w:firstLine="0" w:firstLineChars="0"/>
              <w:jc w:val="left"/>
              <w:textAlignment w:val="bottom"/>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kern w:val="0"/>
                <w:sz w:val="21"/>
                <w:szCs w:val="21"/>
                <w:highlight w:val="none"/>
              </w:rPr>
              <w:t>一般工业固体废物包括：</w:t>
            </w:r>
            <w:r>
              <w:rPr>
                <w:rFonts w:hint="default" w:ascii="Times New Roman" w:hAnsi="Times New Roman" w:cs="Times New Roman"/>
                <w:b w:val="0"/>
                <w:bCs w:val="0"/>
                <w:color w:val="auto"/>
                <w:kern w:val="0"/>
                <w:sz w:val="21"/>
                <w:szCs w:val="21"/>
                <w:highlight w:val="none"/>
              </w:rPr>
              <w:t>金属碎屑及边角料</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rPr>
              <w:t>焊渣</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rPr>
              <w:t>除尘灰</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color w:val="auto"/>
                <w:sz w:val="21"/>
                <w:szCs w:val="21"/>
                <w:highlight w:val="none"/>
              </w:rPr>
              <w:t>统一收集后外售综合再利用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 w:val="0"/>
                <w:bCs w:val="0"/>
                <w:color w:val="auto"/>
                <w:kern w:val="0"/>
                <w:sz w:val="21"/>
                <w:szCs w:val="21"/>
                <w:highlight w:val="none"/>
              </w:rPr>
              <w:t>废布袋</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color w:val="auto"/>
                <w:sz w:val="21"/>
                <w:szCs w:val="21"/>
                <w:highlight w:val="none"/>
              </w:rPr>
              <w:t>全部由生产厂家回收处置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废油脂，</w:t>
            </w:r>
            <w:r>
              <w:rPr>
                <w:rFonts w:hint="default" w:ascii="Times New Roman" w:hAnsi="Times New Roman" w:cs="Times New Roman"/>
                <w:color w:val="auto"/>
                <w:sz w:val="21"/>
                <w:szCs w:val="21"/>
                <w:highlight w:val="none"/>
              </w:rPr>
              <w:t>定期由油脂回收单位回收</w:t>
            </w:r>
            <w:r>
              <w:rPr>
                <w:rFonts w:hint="eastAsia" w:ascii="Times New Roman" w:hAnsi="Times New Roman" w:cs="Times New Roman"/>
                <w:color w:val="auto"/>
                <w:sz w:val="21"/>
                <w:szCs w:val="21"/>
                <w:highlight w:val="none"/>
                <w:lang w:eastAsia="zh-CN"/>
              </w:rPr>
              <w:t>。</w:t>
            </w:r>
          </w:p>
          <w:p>
            <w:pPr>
              <w:widowControl/>
              <w:autoSpaceDE w:val="0"/>
              <w:autoSpaceDN w:val="0"/>
              <w:adjustRightInd w:val="0"/>
              <w:snapToGrid w:val="0"/>
              <w:spacing w:line="240" w:lineRule="auto"/>
              <w:ind w:firstLine="0" w:firstLineChars="0"/>
              <w:jc w:val="left"/>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rPr>
              <w:t>危险废物包括：</w:t>
            </w:r>
            <w:r>
              <w:rPr>
                <w:rFonts w:hint="default" w:ascii="Times New Roman" w:hAnsi="Times New Roman" w:cs="Times New Roman"/>
                <w:b w:val="0"/>
                <w:bCs w:val="0"/>
                <w:color w:val="auto"/>
                <w:kern w:val="0"/>
                <w:sz w:val="21"/>
                <w:szCs w:val="21"/>
                <w:highlight w:val="none"/>
                <w:lang w:val="en-US" w:eastAsia="zh-CN"/>
              </w:rPr>
              <w:t>漆渣、废纸盒滤芯、废油漆桶、废活性炭、废催化剂、</w:t>
            </w:r>
            <w:r>
              <w:rPr>
                <w:rFonts w:hint="default" w:ascii="Times New Roman" w:hAnsi="Times New Roman" w:cs="Times New Roman"/>
                <w:b w:val="0"/>
                <w:bCs w:val="0"/>
                <w:color w:val="auto"/>
                <w:kern w:val="0"/>
                <w:sz w:val="21"/>
                <w:szCs w:val="21"/>
                <w:highlight w:val="none"/>
              </w:rPr>
              <w:t>废机油</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废油桶及含油抹布、手套</w:t>
            </w:r>
            <w:r>
              <w:rPr>
                <w:rFonts w:hint="default" w:ascii="Times New Roman" w:hAnsi="Times New Roman" w:cs="Times New Roman"/>
                <w:color w:val="auto"/>
                <w:kern w:val="0"/>
                <w:sz w:val="21"/>
                <w:szCs w:val="21"/>
                <w:highlight w:val="none"/>
                <w:lang w:val="en-US" w:eastAsia="zh-CN"/>
              </w:rPr>
              <w:t>集中</w:t>
            </w:r>
            <w:r>
              <w:rPr>
                <w:rFonts w:hint="default" w:ascii="Times New Roman" w:hAnsi="Times New Roman" w:cs="Times New Roman"/>
                <w:color w:val="auto"/>
                <w:kern w:val="0"/>
                <w:sz w:val="21"/>
                <w:szCs w:val="21"/>
                <w:highlight w:val="none"/>
              </w:rPr>
              <w:t>收集后，暂存于</w:t>
            </w:r>
            <w:r>
              <w:rPr>
                <w:rFonts w:hint="default" w:ascii="Times New Roman" w:hAnsi="Times New Roman" w:cs="Times New Roman"/>
                <w:color w:val="auto"/>
                <w:kern w:val="0"/>
                <w:sz w:val="21"/>
                <w:szCs w:val="21"/>
                <w:highlight w:val="none"/>
                <w:lang w:eastAsia="zh-CN"/>
              </w:rPr>
              <w:t>危废贮存库</w:t>
            </w:r>
            <w:r>
              <w:rPr>
                <w:rFonts w:hint="default" w:ascii="Times New Roman" w:hAnsi="Times New Roman" w:cs="Times New Roman"/>
                <w:color w:val="auto"/>
                <w:kern w:val="0"/>
                <w:sz w:val="21"/>
                <w:szCs w:val="21"/>
                <w:highlight w:val="none"/>
              </w:rPr>
              <w:t>，定期交由有资质的单位处理。</w:t>
            </w:r>
          </w:p>
          <w:p>
            <w:pPr>
              <w:widowControl/>
              <w:autoSpaceDE w:val="0"/>
              <w:autoSpaceDN w:val="0"/>
              <w:adjustRightInd w:val="0"/>
              <w:snapToGrid w:val="0"/>
              <w:spacing w:line="240" w:lineRule="auto"/>
              <w:ind w:firstLine="0" w:firstLineChars="0"/>
              <w:jc w:val="left"/>
              <w:textAlignment w:val="bottom"/>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生活垃圾设置生活垃圾箱，分类收集、日产日清，定期清运至环卫部门处置</w:t>
            </w:r>
            <w:r>
              <w:rPr>
                <w:rFonts w:hint="eastAsia" w:cs="Times New Roman"/>
                <w:color w:val="auto"/>
                <w:kern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土壤及地下水</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污染防治措施</w:t>
            </w:r>
          </w:p>
        </w:tc>
        <w:tc>
          <w:tcPr>
            <w:tcW w:w="7383" w:type="dxa"/>
            <w:gridSpan w:val="4"/>
            <w:vAlign w:val="center"/>
          </w:tcPr>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厂区设置进行分区防渗，简单防渗区为办公生活区、厂区道路等，防渗要求为一般地面硬化。生产车间一般防渗区，</w:t>
            </w:r>
            <w:r>
              <w:rPr>
                <w:rFonts w:hint="default" w:ascii="Times New Roman" w:hAnsi="Times New Roman" w:cs="Times New Roman"/>
                <w:color w:val="auto"/>
                <w:kern w:val="0"/>
                <w:sz w:val="21"/>
                <w:szCs w:val="21"/>
                <w:highlight w:val="none"/>
                <w:lang w:eastAsia="zh-CN"/>
              </w:rPr>
              <w:t>危废贮存库</w:t>
            </w:r>
            <w:r>
              <w:rPr>
                <w:rFonts w:hint="default" w:ascii="Times New Roman" w:hAnsi="Times New Roman" w:cs="Times New Roman"/>
                <w:color w:val="auto"/>
                <w:kern w:val="0"/>
                <w:sz w:val="21"/>
                <w:szCs w:val="21"/>
                <w:highlight w:val="none"/>
              </w:rPr>
              <w:t>作为重点防渗区，严格按照《环境影响评价技术导则地下水环境》（HJ</w:t>
            </w: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610-2016）要求制定防渗措施；</w:t>
            </w:r>
            <w:r>
              <w:rPr>
                <w:rFonts w:hint="default" w:ascii="Times New Roman" w:hAnsi="Times New Roman" w:cs="Times New Roman"/>
                <w:color w:val="auto"/>
                <w:kern w:val="0"/>
                <w:sz w:val="21"/>
                <w:szCs w:val="21"/>
                <w:highlight w:val="none"/>
                <w:lang w:eastAsia="zh-CN"/>
              </w:rPr>
              <w:t>危废贮存库</w:t>
            </w:r>
            <w:r>
              <w:rPr>
                <w:rFonts w:hint="default" w:ascii="Times New Roman" w:hAnsi="Times New Roman" w:cs="Times New Roman"/>
                <w:color w:val="auto"/>
                <w:kern w:val="0"/>
                <w:sz w:val="21"/>
                <w:szCs w:val="21"/>
                <w:highlight w:val="none"/>
              </w:rPr>
              <w:t>防渗参照《危险废物贮存污染控制标准》（GB</w:t>
            </w: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18597-2023）进行设计。</w:t>
            </w:r>
          </w:p>
          <w:p>
            <w:pPr>
              <w:adjustRightInd w:val="0"/>
              <w:snapToGrid w:val="0"/>
              <w:spacing w:line="240" w:lineRule="auto"/>
              <w:ind w:firstLine="0" w:firstLineChars="0"/>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土壤防治采取以下措施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kern w:val="0"/>
                <w:sz w:val="21"/>
                <w:szCs w:val="21"/>
                <w:highlight w:val="none"/>
              </w:rPr>
              <w:t>废机油：加强废机油集中收纳措施，更换后的废机油集中收集至密封包装桶内，存放至</w:t>
            </w:r>
            <w:r>
              <w:rPr>
                <w:rFonts w:hint="default" w:ascii="Times New Roman" w:hAnsi="Times New Roman" w:cs="Times New Roman"/>
                <w:bCs/>
                <w:color w:val="auto"/>
                <w:kern w:val="0"/>
                <w:sz w:val="21"/>
                <w:szCs w:val="21"/>
                <w:highlight w:val="none"/>
                <w:lang w:eastAsia="zh-CN"/>
              </w:rPr>
              <w:t>危废贮存库</w:t>
            </w:r>
            <w:r>
              <w:rPr>
                <w:rFonts w:hint="default" w:ascii="Times New Roman" w:hAnsi="Times New Roman" w:cs="Times New Roman"/>
                <w:bCs/>
                <w:color w:val="auto"/>
                <w:kern w:val="0"/>
                <w:sz w:val="21"/>
                <w:szCs w:val="21"/>
                <w:highlight w:val="none"/>
              </w:rPr>
              <w:t>内，</w:t>
            </w:r>
            <w:r>
              <w:rPr>
                <w:rFonts w:hint="default" w:ascii="Times New Roman" w:hAnsi="Times New Roman" w:cs="Times New Roman"/>
                <w:bCs/>
                <w:color w:val="auto"/>
                <w:kern w:val="0"/>
                <w:sz w:val="21"/>
                <w:szCs w:val="21"/>
                <w:highlight w:val="none"/>
                <w:lang w:eastAsia="zh-CN"/>
              </w:rPr>
              <w:t>危废贮存库</w:t>
            </w:r>
            <w:r>
              <w:rPr>
                <w:rFonts w:hint="default" w:ascii="Times New Roman" w:hAnsi="Times New Roman" w:cs="Times New Roman"/>
                <w:bCs/>
                <w:color w:val="auto"/>
                <w:kern w:val="0"/>
                <w:sz w:val="21"/>
                <w:szCs w:val="21"/>
                <w:highlight w:val="none"/>
              </w:rPr>
              <w:t>按照危废暂存要求，地面进行水泥防渗、暂存区四周设置围堰，</w:t>
            </w:r>
            <w:r>
              <w:rPr>
                <w:rFonts w:hint="default" w:ascii="Times New Roman" w:hAnsi="Times New Roman" w:cs="Times New Roman"/>
                <w:bCs/>
                <w:color w:val="auto"/>
                <w:kern w:val="0"/>
                <w:sz w:val="21"/>
                <w:szCs w:val="21"/>
                <w:highlight w:val="none"/>
                <w:lang w:eastAsia="zh-CN"/>
              </w:rPr>
              <w:t>危废贮存库</w:t>
            </w:r>
            <w:r>
              <w:rPr>
                <w:rFonts w:hint="default" w:ascii="Times New Roman" w:hAnsi="Times New Roman" w:cs="Times New Roman"/>
                <w:bCs/>
                <w:color w:val="auto"/>
                <w:kern w:val="0"/>
                <w:sz w:val="21"/>
                <w:szCs w:val="21"/>
                <w:highlight w:val="none"/>
              </w:rPr>
              <w:t>由专人负责管理并按要求设置管理台账</w:t>
            </w:r>
            <w:r>
              <w:rPr>
                <w:rFonts w:hint="default" w:ascii="Times New Roman" w:hAnsi="Times New Roman" w:cs="Times New Roman"/>
                <w:bCs/>
                <w:color w:val="auto"/>
                <w:spacing w:val="0"/>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生态保护措施</w:t>
            </w:r>
          </w:p>
        </w:tc>
        <w:tc>
          <w:tcPr>
            <w:tcW w:w="7383" w:type="dxa"/>
            <w:gridSpan w:val="4"/>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环境风险</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防范措施</w:t>
            </w:r>
          </w:p>
        </w:tc>
        <w:tc>
          <w:tcPr>
            <w:tcW w:w="7383" w:type="dxa"/>
            <w:gridSpan w:val="4"/>
            <w:vAlign w:val="center"/>
          </w:tcPr>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1项目各原料按照规定进行存放；</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2安装避雷和防静电设施，保证报警设施完好无损，并定期检查接地电阻和避雷设施，以确保其完好性；</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3对装置周围可能的明火、电气火花和撞击火花进行控制管理；</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4严禁危险区内吸烟和违章动用明火；</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5电器设备、仪表选用防爆型，电气设备选型、安装、电力线路敷设等，应符合现行国家标准《爆炸危险环境电力装置设计规范》（GB</w:t>
            </w: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50058-2014）的规定；</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6运输事故防范措施；</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7操作人员应按规定穿戴劳保用品，防止静电火花的产生。</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8在可能发生火灾的区域，根据其火灾危险性、区域大小等实际情况，分别配置一定数量不同类型、不同规格的移动式灭火器材，以便及时扑救初始零星火灾；</w:t>
            </w:r>
          </w:p>
          <w:p>
            <w:pPr>
              <w:tabs>
                <w:tab w:val="left" w:pos="624"/>
              </w:tabs>
              <w:adjustRightInd w:val="0"/>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9提高员工素质，增强安全意识，建立严格的安全管理制度，杜绝违章动火、吸烟等现象</w:t>
            </w:r>
            <w:r>
              <w:rPr>
                <w:rFonts w:hint="default" w:ascii="Times New Roman" w:hAnsi="Times New Roman" w:cs="Times New Roman"/>
                <w:color w:val="auto"/>
                <w:kern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其他环境</w:t>
            </w:r>
          </w:p>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管理要求</w:t>
            </w:r>
          </w:p>
        </w:tc>
        <w:tc>
          <w:tcPr>
            <w:tcW w:w="7383" w:type="dxa"/>
            <w:gridSpan w:val="4"/>
            <w:vAlign w:val="center"/>
          </w:tcPr>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建设单位应设置环保管理人员，负责厂区环保工作日常事务。环保管理人员应做到有职、有权、有责，切实担负起环境保护管理及监督责任。该人员除对项目负责外，也应与地方环境保护管理部门加强联系，使项目环保工作纳入地方环境管理工作系统。</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严格遵照国家和地方有关环境保护的方针、政策、法规、条例，如《中华人民共和国环境保护法》《全国生态环境保护纲要》等，结合企业的实际情况，确定环境保护控制目标，制定环境保护发展规划和年度实施计划，建立环境保护制度，并组织、监督实施。</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（3）安排组织员工的环保教育、培训和考核，提高员工的环保意识和环境法治观念；推广并应用先进的环境保护管理经验和污染治理技术，提高环保管理人员业务水平。</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（4）组织与领导项目的环境监测和统计工作，掌握污染源动态。</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（5）监督、检查环保设施、设备的运行及维护，建立环保设施运行档案。</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环境影响评价制度是建设项目的环境准入门槛，是申请排污许可证的前提和重要依据。排污许可制是企事业单位生产运营期排污的法律依据，是确保环境影响评价提出的污染防治设施和措施落实落地的重要保障。按照《排污许可管理条例》（中华人民共和国国务院令第736号）要求，企业在建成实际排污前应依法申请取得企业排污许可证，企业未取得排污许可证的，不得排放污染物。严格按照环境影响报告书（表）以及审批文件要求申领排污许可证。建设项目发生实际排污行为之前，排污单位应当按照国家环境保护相关法律法规以及排污许可证申请与核发技术规范要求申请排污许可证，不得无证排污或不按证排污。</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建设项目竣工后，由建设单位根据《建设项目竣工环境保护验收技术指南污染影响类》按照规定程序和标准自行组织“三同时”环保竣工验收，不具备编制验收监测（调查）报告能力的，可委托有能力的技术机构进行编制。</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排放口规范化设置：向环境排放污染物的排污口必须规范化设置、排污口应便于采样与计量监测，便于日常现场监督检查。企业污染物排放口的标志，应按国家《环境保护图形标志排放口》（15562.1-1995）及修改单、《环境保护图形固体废物贮存（处置）场》（15562.2-1995）及修改单</w:t>
            </w:r>
            <w:r>
              <w:rPr>
                <w:rFonts w:hint="default" w:ascii="Times New Roman" w:hAnsi="Times New Roman" w:cs="Times New Roman"/>
                <w:color w:val="auto"/>
                <w:kern w:val="0"/>
                <w:sz w:val="21"/>
                <w:szCs w:val="21"/>
                <w:highlight w:val="none"/>
                <w:lang w:eastAsia="zh-CN"/>
              </w:rPr>
              <w:t>、《排污单位污染物排放口监测点位设置技术规范》（HJ</w:t>
            </w: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lang w:eastAsia="zh-CN"/>
              </w:rPr>
              <w:t>1405</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2024）</w:t>
            </w:r>
            <w:r>
              <w:rPr>
                <w:rFonts w:hint="default" w:ascii="Times New Roman" w:hAnsi="Times New Roman" w:cs="Times New Roman"/>
                <w:color w:val="auto"/>
                <w:kern w:val="0"/>
                <w:sz w:val="21"/>
                <w:szCs w:val="21"/>
                <w:highlight w:val="none"/>
              </w:rPr>
              <w:t>的规定，在排放口处竖立或挂上排放口标志牌，标志牌应注明污染物名称以警示周围群众。污染物排放口的环保图形标志牌应设置在靠近采样点的醒目处，标志牌设置高度为其上缘距地面2m</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废气监测点位信息应包括排污单位名称、排污许可证/登记表编号、点位编号、排气筒高度、生产设备及其投运时间、废气处理工艺及其投运时间、监测断面尺寸、污染物种类、排放规律等。污水监测点位信息应包括排污单位名称、排污许可证/登记表编号、点位编号、排放去向、污水来源、污水处理工艺及其投运时间、监测断面尺寸、污染物种类、排放规律等。排污口图形标志见下图。</w:t>
            </w:r>
          </w:p>
          <w:p>
            <w:pPr>
              <w:keepNext/>
              <w:keepLines/>
              <w:widowControl/>
              <w:autoSpaceDE w:val="0"/>
              <w:autoSpaceDN w:val="0"/>
              <w:adjustRightInd w:val="0"/>
              <w:snapToGrid w:val="0"/>
              <w:spacing w:line="240" w:lineRule="auto"/>
              <w:ind w:firstLine="422"/>
              <w:jc w:val="center"/>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表5-1环境保护图形符号一览表</w:t>
            </w:r>
          </w:p>
          <w:tbl>
            <w:tblPr>
              <w:tblStyle w:val="2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1"/>
              <w:gridCol w:w="1773"/>
              <w:gridCol w:w="2038"/>
              <w:gridCol w:w="1220"/>
              <w:gridCol w:w="17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266"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序号</w:t>
                  </w:r>
                </w:p>
              </w:tc>
              <w:tc>
                <w:tcPr>
                  <w:tcW w:w="1237"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提示图形符号</w:t>
                  </w:r>
                </w:p>
              </w:tc>
              <w:tc>
                <w:tcPr>
                  <w:tcW w:w="1422"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警告图形符号</w:t>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名称</w:t>
                  </w:r>
                </w:p>
              </w:tc>
              <w:tc>
                <w:tcPr>
                  <w:tcW w:w="122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7" w:hRule="atLeast"/>
                <w:jc w:val="center"/>
              </w:trPr>
              <w:tc>
                <w:tcPr>
                  <w:tcW w:w="266" w:type="pct"/>
                  <w:vMerge w:val="restar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1</w:t>
                  </w:r>
                </w:p>
              </w:tc>
              <w:tc>
                <w:tcPr>
                  <w:tcW w:w="1237"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897255" cy="912495"/>
                        <wp:effectExtent l="0" t="0" r="17145"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897255" cy="912495"/>
                                </a:xfrm>
                                <a:prstGeom prst="rect">
                                  <a:avLst/>
                                </a:prstGeom>
                                <a:noFill/>
                                <a:ln>
                                  <a:noFill/>
                                </a:ln>
                              </pic:spPr>
                            </pic:pic>
                          </a:graphicData>
                        </a:graphic>
                      </wp:inline>
                    </w:drawing>
                  </w:r>
                </w:p>
              </w:tc>
              <w:tc>
                <w:tcPr>
                  <w:tcW w:w="1422"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35050" cy="877570"/>
                        <wp:effectExtent l="0" t="0" r="12700" b="177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1"/>
                                <a:stretch>
                                  <a:fillRect/>
                                </a:stretch>
                              </pic:blipFill>
                              <pic:spPr>
                                <a:xfrm>
                                  <a:off x="0" y="0"/>
                                  <a:ext cx="1035050" cy="877570"/>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污水排放口</w:t>
                  </w:r>
                </w:p>
              </w:tc>
              <w:tc>
                <w:tcPr>
                  <w:tcW w:w="1221" w:type="pct"/>
                  <w:vMerge w:val="restar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表示污水向外环境排放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7" w:hRule="atLeast"/>
                <w:jc w:val="center"/>
              </w:trPr>
              <w:tc>
                <w:tcPr>
                  <w:tcW w:w="266" w:type="pct"/>
                  <w:vMerge w:val="continue"/>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p>
              </w:tc>
              <w:tc>
                <w:tcPr>
                  <w:tcW w:w="2660" w:type="pct"/>
                  <w:gridSpan w:val="2"/>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color w:val="auto"/>
                      <w:highlight w:val="none"/>
                    </w:rPr>
                    <w:drawing>
                      <wp:inline distT="0" distB="0" distL="114300" distR="114300">
                        <wp:extent cx="2160270" cy="1821815"/>
                        <wp:effectExtent l="0" t="0" r="11430" b="698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22"/>
                                <a:stretch>
                                  <a:fillRect/>
                                </a:stretch>
                              </pic:blipFill>
                              <pic:spPr>
                                <a:xfrm>
                                  <a:off x="0" y="0"/>
                                  <a:ext cx="2160270" cy="1821815"/>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污水监测点位信息标志牌</w:t>
                  </w:r>
                </w:p>
              </w:tc>
              <w:tc>
                <w:tcPr>
                  <w:tcW w:w="1221" w:type="pct"/>
                  <w:vMerge w:val="continue"/>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0" w:hRule="atLeast"/>
                <w:jc w:val="center"/>
              </w:trPr>
              <w:tc>
                <w:tcPr>
                  <w:tcW w:w="266"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2</w:t>
                  </w:r>
                </w:p>
              </w:tc>
              <w:tc>
                <w:tcPr>
                  <w:tcW w:w="1237"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06475" cy="1005840"/>
                        <wp:effectExtent l="0" t="0" r="3175"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3"/>
                                <a:stretch>
                                  <a:fillRect/>
                                </a:stretch>
                              </pic:blipFill>
                              <pic:spPr>
                                <a:xfrm>
                                  <a:off x="0" y="0"/>
                                  <a:ext cx="1006475" cy="1005840"/>
                                </a:xfrm>
                                <a:prstGeom prst="rect">
                                  <a:avLst/>
                                </a:prstGeom>
                                <a:noFill/>
                                <a:ln>
                                  <a:noFill/>
                                </a:ln>
                              </pic:spPr>
                            </pic:pic>
                          </a:graphicData>
                        </a:graphic>
                      </wp:inline>
                    </w:drawing>
                  </w:r>
                </w:p>
              </w:tc>
              <w:tc>
                <w:tcPr>
                  <w:tcW w:w="1422"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08380" cy="817880"/>
                        <wp:effectExtent l="0" t="0" r="127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1008380" cy="817880"/>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一般固体废物</w:t>
                  </w:r>
                </w:p>
              </w:tc>
              <w:tc>
                <w:tcPr>
                  <w:tcW w:w="122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表示一般固体废物贮存、处置场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0" w:hRule="atLeast"/>
                <w:jc w:val="center"/>
              </w:trPr>
              <w:tc>
                <w:tcPr>
                  <w:tcW w:w="266"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3</w:t>
                  </w:r>
                </w:p>
              </w:tc>
              <w:tc>
                <w:tcPr>
                  <w:tcW w:w="2660" w:type="pct"/>
                  <w:gridSpan w:val="2"/>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144905" cy="1012825"/>
                        <wp:effectExtent l="0" t="0" r="17145" b="158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1144905" cy="1012825"/>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危险废物</w:t>
                  </w:r>
                </w:p>
              </w:tc>
              <w:tc>
                <w:tcPr>
                  <w:tcW w:w="122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表示危险废物贮存、处置场警告图形符号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266"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4</w:t>
                  </w:r>
                </w:p>
              </w:tc>
              <w:tc>
                <w:tcPr>
                  <w:tcW w:w="1237"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05840" cy="91440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1005840" cy="914400"/>
                                </a:xfrm>
                                <a:prstGeom prst="rect">
                                  <a:avLst/>
                                </a:prstGeom>
                                <a:noFill/>
                                <a:ln>
                                  <a:noFill/>
                                </a:ln>
                              </pic:spPr>
                            </pic:pic>
                          </a:graphicData>
                        </a:graphic>
                      </wp:inline>
                    </w:drawing>
                  </w:r>
                </w:p>
              </w:tc>
              <w:tc>
                <w:tcPr>
                  <w:tcW w:w="1422"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03935" cy="821690"/>
                        <wp:effectExtent l="0" t="0" r="5715" b="165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1003935" cy="821690"/>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噪声源</w:t>
                  </w:r>
                </w:p>
              </w:tc>
              <w:tc>
                <w:tcPr>
                  <w:tcW w:w="122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表示噪声向外环境排放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266" w:type="pct"/>
                  <w:vMerge w:val="restar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18"/>
                      <w:highlight w:val="none"/>
                      <w:lang w:val="en-US" w:eastAsia="zh-CN"/>
                    </w:rPr>
                  </w:pPr>
                  <w:r>
                    <w:rPr>
                      <w:rFonts w:hint="default" w:ascii="Times New Roman" w:hAnsi="Times New Roman" w:cs="Times New Roman"/>
                      <w:bCs/>
                      <w:color w:val="auto"/>
                      <w:kern w:val="0"/>
                      <w:sz w:val="21"/>
                      <w:szCs w:val="18"/>
                      <w:highlight w:val="none"/>
                    </w:rPr>
                    <w:t>5</w:t>
                  </w:r>
                </w:p>
              </w:tc>
              <w:tc>
                <w:tcPr>
                  <w:tcW w:w="1237"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962025" cy="12001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962025" cy="1200150"/>
                                </a:xfrm>
                                <a:prstGeom prst="rect">
                                  <a:avLst/>
                                </a:prstGeom>
                                <a:noFill/>
                                <a:ln>
                                  <a:noFill/>
                                </a:ln>
                              </pic:spPr>
                            </pic:pic>
                          </a:graphicData>
                        </a:graphic>
                      </wp:inline>
                    </w:drawing>
                  </w:r>
                </w:p>
              </w:tc>
              <w:tc>
                <w:tcPr>
                  <w:tcW w:w="1422"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drawing>
                      <wp:inline distT="0" distB="0" distL="114300" distR="114300">
                        <wp:extent cx="1019175" cy="11715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1019175" cy="1171575"/>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废气排放口</w:t>
                  </w:r>
                </w:p>
              </w:tc>
              <w:tc>
                <w:tcPr>
                  <w:tcW w:w="1221" w:type="pct"/>
                  <w:vMerge w:val="restar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表示废气向外环境排放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266" w:type="pct"/>
                  <w:vMerge w:val="continue"/>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18"/>
                      <w:highlight w:val="none"/>
                      <w:lang w:val="en-US" w:eastAsia="zh-CN"/>
                    </w:rPr>
                  </w:pPr>
                </w:p>
              </w:tc>
              <w:tc>
                <w:tcPr>
                  <w:tcW w:w="2660" w:type="pct"/>
                  <w:gridSpan w:val="2"/>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color w:val="auto"/>
                      <w:highlight w:val="none"/>
                    </w:rPr>
                    <w:drawing>
                      <wp:inline distT="0" distB="0" distL="114300" distR="114300">
                        <wp:extent cx="2160270" cy="1821815"/>
                        <wp:effectExtent l="0" t="0" r="11430" b="698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30"/>
                                <a:stretch>
                                  <a:fillRect/>
                                </a:stretch>
                              </pic:blipFill>
                              <pic:spPr>
                                <a:xfrm>
                                  <a:off x="0" y="0"/>
                                  <a:ext cx="2160270" cy="1821815"/>
                                </a:xfrm>
                                <a:prstGeom prst="rect">
                                  <a:avLst/>
                                </a:prstGeom>
                                <a:noFill/>
                                <a:ln>
                                  <a:noFill/>
                                </a:ln>
                              </pic:spPr>
                            </pic:pic>
                          </a:graphicData>
                        </a:graphic>
                      </wp:inline>
                    </w:drawing>
                  </w:r>
                </w:p>
              </w:tc>
              <w:tc>
                <w:tcPr>
                  <w:tcW w:w="851" w:type="pct"/>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r>
                    <w:rPr>
                      <w:rFonts w:hint="default" w:ascii="Times New Roman" w:hAnsi="Times New Roman" w:cs="Times New Roman"/>
                      <w:bCs/>
                      <w:color w:val="auto"/>
                      <w:kern w:val="0"/>
                      <w:sz w:val="21"/>
                      <w:szCs w:val="18"/>
                      <w:highlight w:val="none"/>
                    </w:rPr>
                    <w:t>废气监测点位信息标志牌</w:t>
                  </w:r>
                </w:p>
              </w:tc>
              <w:tc>
                <w:tcPr>
                  <w:tcW w:w="1221" w:type="pct"/>
                  <w:vMerge w:val="continue"/>
                  <w:tcBorders>
                    <w:tl2br w:val="nil"/>
                    <w:tr2bl w:val="nil"/>
                  </w:tcBorders>
                  <w:vAlign w:val="center"/>
                </w:tcPr>
                <w:p>
                  <w:pPr>
                    <w:keepNext/>
                    <w:keepLines/>
                    <w:widowControl/>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0"/>
                      <w:sz w:val="21"/>
                      <w:szCs w:val="18"/>
                      <w:highlight w:val="none"/>
                    </w:rPr>
                  </w:pPr>
                </w:p>
              </w:tc>
            </w:tr>
          </w:tbl>
          <w:p>
            <w:pPr>
              <w:ind w:left="0" w:leftChars="0" w:firstLine="210" w:firstLineChars="1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（9）排污许可制度衔接</w:t>
            </w:r>
          </w:p>
          <w:p>
            <w:pPr>
              <w:adjustRightInd w:val="0"/>
              <w:snapToGrid w:val="0"/>
              <w:spacing w:line="36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项目主要从事预制舱生产，其对应的国民经济行业类别为C3311金属结构制造。项目不属于重点排污单位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根据《固定污染源排污许可分类管理名录（2019年版）》，本项目属于“</w:t>
            </w:r>
            <w:r>
              <w:rPr>
                <w:rFonts w:hint="default" w:ascii="Times New Roman" w:hAnsi="Times New Roman" w:cs="Times New Roman"/>
                <w:color w:val="auto"/>
                <w:kern w:val="0"/>
                <w:sz w:val="21"/>
                <w:szCs w:val="21"/>
                <w:highlight w:val="none"/>
              </w:rPr>
              <w:t>二十八、金属制品业33</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结构性金属制品制造331，金属工具制造332，集装箱及金属包装容器制造333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不涉及通用工序，</w:t>
            </w:r>
            <w:r>
              <w:rPr>
                <w:rFonts w:hint="default" w:ascii="Times New Roman" w:hAnsi="Times New Roman" w:cs="Times New Roman"/>
                <w:color w:val="auto"/>
                <w:sz w:val="21"/>
                <w:szCs w:val="21"/>
                <w:highlight w:val="none"/>
              </w:rPr>
              <w:t>实施</w:t>
            </w:r>
            <w:r>
              <w:rPr>
                <w:rFonts w:hint="default" w:ascii="Times New Roman" w:hAnsi="Times New Roman" w:cs="Times New Roman"/>
                <w:color w:val="auto"/>
                <w:sz w:val="21"/>
                <w:szCs w:val="21"/>
                <w:highlight w:val="none"/>
                <w:lang w:val="en-US" w:eastAsia="zh-CN"/>
              </w:rPr>
              <w:t>登记</w:t>
            </w:r>
            <w:r>
              <w:rPr>
                <w:rFonts w:hint="default" w:ascii="Times New Roman" w:hAnsi="Times New Roman" w:cs="Times New Roman"/>
                <w:color w:val="auto"/>
                <w:sz w:val="21"/>
                <w:szCs w:val="21"/>
                <w:highlight w:val="none"/>
              </w:rPr>
              <w:t>管理的行业。建设单位应按照《排污许可管理条例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固定污染源排污许可分类管理名录（2019年版）》等排污许可证相关管理要求，在规定时限内在全国排污许可证管理信息平台填报排污登记表，登记基本信息、污染物排放去向、执行的污染物排放标准以及采取的污染防治措施等信息。</w:t>
            </w: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p>
          <w:p>
            <w:pPr>
              <w:adjustRightInd w:val="0"/>
              <w:snapToGrid w:val="0"/>
              <w:spacing w:line="240" w:lineRule="auto"/>
              <w:ind w:firstLine="0" w:firstLineChars="0"/>
              <w:rPr>
                <w:rFonts w:hint="default" w:ascii="Times New Roman" w:hAnsi="Times New Roman" w:cs="Times New Roman"/>
                <w:color w:val="auto"/>
                <w:kern w:val="0"/>
                <w:sz w:val="21"/>
                <w:szCs w:val="21"/>
                <w:highlight w:val="none"/>
              </w:rPr>
            </w:pPr>
          </w:p>
        </w:tc>
      </w:tr>
    </w:tbl>
    <w:p>
      <w:pPr>
        <w:pStyle w:val="17"/>
        <w:spacing w:line="240" w:lineRule="auto"/>
        <w:ind w:firstLine="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1"/>
        <w:tblpPr w:leftFromText="180" w:rightFromText="180" w:vertAnchor="text" w:horzAnchor="margin" w:tblpY="25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7" w:hRule="atLeast"/>
        </w:trPr>
        <w:tc>
          <w:tcPr>
            <w:tcW w:w="8865" w:type="dxa"/>
          </w:tcPr>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森峰达智能装备有限公司新建年产预制舱1000套项目》符合国家及地方相关政策要求，工程选址合理，其建设过程和营运期产生的各类污染物在采取污染防治措施后可得到有效的控制，外排污染物对环境影响小。从环境保护角度分析，本项目环境影响可行</w:t>
            </w:r>
            <w:r>
              <w:rPr>
                <w:rFonts w:hint="default" w:ascii="Times New Roman" w:hAnsi="Times New Roman" w:cs="Times New Roman"/>
                <w:color w:val="auto"/>
                <w:highlight w:val="none"/>
                <w:lang w:eastAsia="zh-CN"/>
              </w:rPr>
              <w:t>。</w:t>
            </w:r>
          </w:p>
        </w:tc>
      </w:tr>
    </w:tbl>
    <w:p>
      <w:pPr>
        <w:pStyle w:val="17"/>
        <w:ind w:firstLine="0" w:firstLineChars="0"/>
        <w:jc w:val="center"/>
        <w:outlineLvl w:val="0"/>
        <w:rPr>
          <w:rFonts w:hint="default" w:ascii="Times New Roman" w:hAnsi="Times New Roman" w:eastAsia="黑体" w:cs="Times New Roman"/>
          <w:snapToGrid w:val="0"/>
          <w:color w:val="auto"/>
          <w:sz w:val="30"/>
          <w:szCs w:val="30"/>
          <w:highlight w:val="none"/>
        </w:rPr>
      </w:pPr>
    </w:p>
    <w:p>
      <w:pPr>
        <w:ind w:firstLine="480"/>
        <w:rPr>
          <w:rFonts w:hint="default" w:ascii="Times New Roman" w:hAnsi="Times New Roman" w:cs="Times New Roman"/>
          <w:color w:val="auto"/>
          <w:highlight w:val="none"/>
        </w:rPr>
      </w:pPr>
    </w:p>
    <w:p>
      <w:pPr>
        <w:pStyle w:val="11"/>
        <w:ind w:left="0" w:leftChars="0" w:firstLine="0" w:firstLineChars="0"/>
        <w:rPr>
          <w:rFonts w:hint="default" w:ascii="Times New Roman" w:hAnsi="Times New Roman" w:cs="Times New Roman"/>
          <w:color w:val="auto"/>
          <w:highlight w:val="none"/>
        </w:rPr>
        <w:sectPr>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line="240" w:lineRule="auto"/>
        <w:ind w:firstLine="0" w:firstLineChars="0"/>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黑体" w:cs="Times New Roman"/>
          <w:snapToGrid w:val="0"/>
          <w:color w:val="auto"/>
          <w:sz w:val="32"/>
          <w:szCs w:val="32"/>
          <w:highlight w:val="none"/>
        </w:rPr>
        <w:t>附表</w:t>
      </w:r>
    </w:p>
    <w:p>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宋体" w:cs="Times New Roman"/>
          <w:snapToGrid w:val="0"/>
          <w:color w:val="auto"/>
          <w:sz w:val="38"/>
          <w:szCs w:val="38"/>
          <w:highlight w:val="none"/>
        </w:rPr>
      </w:pPr>
      <w:r>
        <w:rPr>
          <w:rFonts w:hint="default" w:ascii="Times New Roman" w:hAnsi="Times New Roman" w:eastAsia="宋体" w:cs="Times New Roman"/>
          <w:snapToGrid w:val="0"/>
          <w:color w:val="auto"/>
          <w:sz w:val="38"/>
          <w:szCs w:val="38"/>
          <w:highlight w:val="none"/>
        </w:rPr>
        <w:t>建设项目污染物排放量汇总表</w:t>
      </w:r>
    </w:p>
    <w:tbl>
      <w:tblPr>
        <w:tblStyle w:val="21"/>
        <w:tblW w:w="139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028"/>
        <w:gridCol w:w="1359"/>
        <w:gridCol w:w="1386"/>
        <w:gridCol w:w="1591"/>
        <w:gridCol w:w="1559"/>
        <w:gridCol w:w="1761"/>
        <w:gridCol w:w="1525"/>
        <w:gridCol w:w="14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tcBorders>
              <w:tl2br w:val="single" w:color="auto" w:sz="4" w:space="0"/>
            </w:tcBorders>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jc w:val="righ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项目</w:t>
            </w:r>
          </w:p>
          <w:p>
            <w:pPr>
              <w:pageBreakBefore w:val="0"/>
              <w:wordWrap/>
              <w:bidi w:val="0"/>
              <w:adjustRightInd/>
              <w:snapToGrid/>
              <w:spacing w:before="0" w:beforeLines="0" w:beforeAutospacing="0" w:after="0" w:afterLines="0" w:afterAutospacing="0" w:line="240" w:lineRule="auto"/>
              <w:ind w:left="0" w:leftChars="0" w:firstLine="0" w:firstLineChars="0"/>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分类</w:t>
            </w:r>
          </w:p>
        </w:tc>
        <w:tc>
          <w:tcPr>
            <w:tcW w:w="2028"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污染物名称</w:t>
            </w:r>
          </w:p>
        </w:tc>
        <w:tc>
          <w:tcPr>
            <w:tcW w:w="1359"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tc>
        <w:tc>
          <w:tcPr>
            <w:tcW w:w="1386"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现有工程许可排放量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snapToGrid w:val="0"/>
                <w:color w:val="auto"/>
                <w:spacing w:val="-6"/>
                <w:kern w:val="21"/>
                <w:szCs w:val="21"/>
                <w:highlight w:val="none"/>
              </w:rPr>
              <w:t>②</w:t>
            </w:r>
            <w:r>
              <w:rPr>
                <w:rFonts w:hint="default" w:ascii="Times New Roman" w:hAnsi="Times New Roman" w:eastAsia="宋体" w:cs="Times New Roman"/>
                <w:snapToGrid w:val="0"/>
                <w:color w:val="auto"/>
                <w:spacing w:val="-6"/>
                <w:kern w:val="21"/>
                <w:szCs w:val="21"/>
                <w:highlight w:val="none"/>
              </w:rPr>
              <w:fldChar w:fldCharType="end"/>
            </w:r>
          </w:p>
        </w:tc>
        <w:tc>
          <w:tcPr>
            <w:tcW w:w="1591"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在建工程排放量（固体废物产生量）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本项目排放量（固体废物产生量）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p>
        </w:tc>
        <w:tc>
          <w:tcPr>
            <w:tcW w:w="1761"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以新带老削减量（新建项目不填）</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p>
        </w:tc>
        <w:tc>
          <w:tcPr>
            <w:tcW w:w="1525"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p>
        </w:tc>
        <w:tc>
          <w:tcPr>
            <w:tcW w:w="1469" w:type="dxa"/>
            <w:noWrap w:val="0"/>
            <w:tcMar>
              <w:left w:w="28" w:type="dxa"/>
              <w:right w:w="28" w:type="dxa"/>
            </w:tcMar>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变化量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19" w:type="dxa"/>
            <w:vMerge w:val="restart"/>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废气</w:t>
            </w:r>
          </w:p>
        </w:tc>
        <w:tc>
          <w:tcPr>
            <w:tcW w:w="2028"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颗粒物</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386"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cs="Times New Roman"/>
                <w:color w:val="auto"/>
                <w:kern w:val="0"/>
                <w:sz w:val="24"/>
                <w:szCs w:val="24"/>
                <w:highlight w:val="none"/>
                <w:lang w:val="en-US" w:eastAsia="zh-CN" w:bidi="ar"/>
              </w:rPr>
              <w:t>0.832</w:t>
            </w:r>
            <w:r>
              <w:rPr>
                <w:rFonts w:hint="default" w:ascii="Times New Roman" w:hAnsi="Times New Roman" w:eastAsia="宋体" w:cs="Times New Roman"/>
                <w:color w:val="auto"/>
                <w:kern w:val="0"/>
                <w:sz w:val="24"/>
                <w:szCs w:val="24"/>
                <w:highlight w:val="none"/>
                <w:lang w:val="en-US" w:eastAsia="zh-CN" w:bidi="ar"/>
              </w:rPr>
              <w:t>t/a</w:t>
            </w:r>
          </w:p>
        </w:tc>
        <w:tc>
          <w:tcPr>
            <w:tcW w:w="176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cs="Times New Roman"/>
                <w:color w:val="auto"/>
                <w:kern w:val="0"/>
                <w:sz w:val="24"/>
                <w:szCs w:val="24"/>
                <w:highlight w:val="none"/>
                <w:lang w:val="en-US" w:eastAsia="zh-CN" w:bidi="ar"/>
              </w:rPr>
              <w:t>0.832</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0.832</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rPr>
            </w:pPr>
          </w:p>
        </w:tc>
        <w:tc>
          <w:tcPr>
            <w:tcW w:w="2028"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非甲烷总烃</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386"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9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0.651</w:t>
            </w:r>
            <w:r>
              <w:rPr>
                <w:rFonts w:hint="default" w:ascii="Times New Roman" w:hAnsi="Times New Roman" w:eastAsia="宋体" w:cs="Times New Roman"/>
                <w:color w:val="auto"/>
                <w:kern w:val="0"/>
                <w:sz w:val="24"/>
                <w:szCs w:val="24"/>
                <w:highlight w:val="none"/>
                <w:lang w:val="en-US" w:eastAsia="zh-CN" w:bidi="ar"/>
              </w:rPr>
              <w:t>t/a</w:t>
            </w:r>
          </w:p>
        </w:tc>
        <w:tc>
          <w:tcPr>
            <w:tcW w:w="176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0.651</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0.651</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rPr>
            </w:pPr>
          </w:p>
        </w:tc>
        <w:tc>
          <w:tcPr>
            <w:tcW w:w="2028"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二甲苯</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废水</w:t>
            </w:r>
          </w:p>
        </w:tc>
        <w:tc>
          <w:tcPr>
            <w:tcW w:w="2028" w:type="dxa"/>
            <w:shd w:val="clear" w:color="auto" w:fill="auto"/>
            <w:noWrap w:val="0"/>
            <w:vAlign w:val="center"/>
          </w:tcPr>
          <w:p>
            <w:pPr>
              <w:pStyle w:val="40"/>
              <w:spacing w:beforeLines="0" w:afterLines="0" w:line="240" w:lineRule="auto"/>
              <w:ind w:firstLine="0" w:firstLineChars="0"/>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rPr>
              <w:t>COD</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rPr>
              <w:t>0.55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kern w:val="21"/>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0.55</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+0.55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shd w:val="clear" w:color="auto" w:fill="auto"/>
            <w:noWrap w:val="0"/>
            <w:vAlign w:val="center"/>
          </w:tcPr>
          <w:p>
            <w:pPr>
              <w:pStyle w:val="40"/>
              <w:spacing w:beforeLines="0" w:afterLines="0" w:line="240" w:lineRule="auto"/>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BOD</w:t>
            </w:r>
            <w:r>
              <w:rPr>
                <w:rFonts w:hint="default" w:ascii="Times New Roman" w:hAnsi="Times New Roman" w:cs="Times New Roman"/>
                <w:snapToGrid w:val="0"/>
                <w:color w:val="auto"/>
                <w:kern w:val="21"/>
                <w:sz w:val="24"/>
                <w:szCs w:val="24"/>
                <w:highlight w:val="none"/>
                <w:vertAlign w:val="subscript"/>
              </w:rPr>
              <w:t>5</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shd w:val="clear" w:color="auto" w:fill="auto"/>
            <w:noWrap w:val="0"/>
            <w:vAlign w:val="center"/>
          </w:tcPr>
          <w:p>
            <w:pPr>
              <w:pStyle w:val="40"/>
              <w:spacing w:beforeLines="0" w:afterLines="0" w:line="240" w:lineRule="auto"/>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SS</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kern w:val="21"/>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+0.275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shd w:val="clear" w:color="auto" w:fill="auto"/>
            <w:noWrap w:val="0"/>
            <w:vAlign w:val="center"/>
          </w:tcPr>
          <w:p>
            <w:pPr>
              <w:pStyle w:val="40"/>
              <w:spacing w:beforeLines="0" w:afterLines="0" w:line="240" w:lineRule="auto"/>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NH</w:t>
            </w:r>
            <w:r>
              <w:rPr>
                <w:rFonts w:hint="default" w:ascii="Times New Roman" w:hAnsi="Times New Roman" w:cs="Times New Roman"/>
                <w:snapToGrid w:val="0"/>
                <w:color w:val="auto"/>
                <w:kern w:val="21"/>
                <w:sz w:val="24"/>
                <w:szCs w:val="24"/>
                <w:highlight w:val="none"/>
                <w:vertAlign w:val="subscript"/>
              </w:rPr>
              <w:t>3</w:t>
            </w:r>
            <w:r>
              <w:rPr>
                <w:rFonts w:hint="default" w:ascii="Times New Roman" w:hAnsi="Times New Roman" w:cs="Times New Roman"/>
                <w:snapToGrid w:val="0"/>
                <w:color w:val="auto"/>
                <w:kern w:val="21"/>
                <w:sz w:val="24"/>
                <w:szCs w:val="24"/>
                <w:highlight w:val="none"/>
              </w:rPr>
              <w:t>-N</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0.04125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0.04125</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color w:val="auto"/>
                <w:kern w:val="21"/>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0.04125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shd w:val="clear" w:color="auto" w:fill="auto"/>
            <w:noWrap w:val="0"/>
            <w:vAlign w:val="center"/>
          </w:tcPr>
          <w:p>
            <w:pPr>
              <w:pStyle w:val="40"/>
              <w:spacing w:beforeLines="0" w:afterLines="0" w:line="240" w:lineRule="auto"/>
              <w:ind w:firstLine="0" w:firstLineChars="0"/>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动植物油</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0.0825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w:t>
            </w:r>
          </w:p>
        </w:tc>
        <w:tc>
          <w:tcPr>
            <w:tcW w:w="152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0.0825</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0.0825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一般工业固体废物</w:t>
            </w: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cs="Times New Roman"/>
                <w:color w:val="auto"/>
                <w:sz w:val="24"/>
                <w:szCs w:val="24"/>
                <w:highlight w:val="none"/>
                <w:lang w:val="en-US" w:eastAsia="zh-CN"/>
              </w:rPr>
              <w:t>金属碎屑及边角料</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0</w:t>
            </w:r>
          </w:p>
        </w:tc>
        <w:tc>
          <w:tcPr>
            <w:tcW w:w="1386"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rPr>
            </w:pP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t/a</w:t>
            </w:r>
          </w:p>
        </w:tc>
        <w:tc>
          <w:tcPr>
            <w:tcW w:w="1761"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rPr>
            </w:pP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t/a</w:t>
            </w:r>
          </w:p>
        </w:tc>
        <w:tc>
          <w:tcPr>
            <w:tcW w:w="1469"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jc w:val="center"/>
              <w:rPr>
                <w:rFonts w:hint="default" w:ascii="Times New Roman" w:hAnsi="Times New Roman" w:eastAsia="宋体" w:cs="Times New Roman"/>
                <w:snapToGrid w:val="0"/>
                <w:color w:val="auto"/>
                <w:kern w:val="21"/>
                <w:sz w:val="24"/>
                <w:szCs w:val="24"/>
                <w:highlight w:val="none"/>
              </w:rPr>
            </w:pPr>
          </w:p>
        </w:tc>
        <w:tc>
          <w:tcPr>
            <w:tcW w:w="2028" w:type="dxa"/>
            <w:tcBorders>
              <w:bottom w:val="single" w:color="auto" w:sz="4" w:space="0"/>
            </w:tcBorders>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cs="Times New Roman"/>
                <w:color w:val="auto"/>
                <w:sz w:val="24"/>
                <w:szCs w:val="24"/>
                <w:highlight w:val="none"/>
                <w:lang w:val="en-US" w:eastAsia="zh-CN"/>
              </w:rPr>
              <w:t>焊渣</w:t>
            </w:r>
          </w:p>
        </w:tc>
        <w:tc>
          <w:tcPr>
            <w:tcW w:w="1359" w:type="dxa"/>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4.8t/a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4.8t/a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+4.8t/a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jc w:val="center"/>
              <w:rPr>
                <w:rFonts w:hint="default" w:ascii="Times New Roman" w:hAnsi="Times New Roman" w:eastAsia="宋体" w:cs="Times New Roman"/>
                <w:snapToGrid w:val="0"/>
                <w:color w:val="auto"/>
                <w:kern w:val="21"/>
                <w:sz w:val="24"/>
                <w:szCs w:val="24"/>
                <w:highlight w:val="none"/>
              </w:rPr>
            </w:pPr>
          </w:p>
        </w:tc>
        <w:tc>
          <w:tcPr>
            <w:tcW w:w="2028" w:type="dxa"/>
            <w:tcBorders>
              <w:bottom w:val="single" w:color="auto" w:sz="4" w:space="0"/>
            </w:tcBorders>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除尘灰</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21"/>
                <w:sz w:val="24"/>
                <w:szCs w:val="24"/>
                <w:highlight w:val="none"/>
                <w:lang w:val="en-US" w:eastAsia="zh-CN"/>
              </w:rPr>
            </w:pPr>
            <w:r>
              <w:rPr>
                <w:rFonts w:hint="eastAsia" w:cs="Times New Roman"/>
                <w:color w:val="auto"/>
                <w:kern w:val="0"/>
                <w:sz w:val="24"/>
                <w:szCs w:val="24"/>
                <w:highlight w:val="none"/>
                <w:lang w:val="en-US" w:eastAsia="zh-CN" w:bidi="ar"/>
              </w:rPr>
              <w:t>5.94</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kern w:val="21"/>
                <w:sz w:val="24"/>
                <w:szCs w:val="24"/>
                <w:highlight w:val="none"/>
                <w:lang w:val="en-US" w:eastAsia="zh-CN"/>
              </w:rPr>
            </w:pPr>
            <w:r>
              <w:rPr>
                <w:rFonts w:hint="eastAsia" w:cs="Times New Roman"/>
                <w:color w:val="auto"/>
                <w:kern w:val="0"/>
                <w:sz w:val="24"/>
                <w:szCs w:val="24"/>
                <w:highlight w:val="none"/>
                <w:lang w:val="en-US" w:eastAsia="zh-CN" w:bidi="ar"/>
              </w:rPr>
              <w:t>5.94</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5.94</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jc w:val="center"/>
              <w:rPr>
                <w:rFonts w:hint="default" w:ascii="Times New Roman" w:hAnsi="Times New Roman" w:eastAsia="宋体" w:cs="Times New Roman"/>
                <w:snapToGrid w:val="0"/>
                <w:color w:val="auto"/>
                <w:kern w:val="21"/>
                <w:sz w:val="24"/>
                <w:szCs w:val="24"/>
                <w:highlight w:val="none"/>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废布袋</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jc w:val="center"/>
              <w:rPr>
                <w:rFonts w:hint="default" w:ascii="Times New Roman" w:hAnsi="Times New Roman" w:eastAsia="宋体" w:cs="Times New Roman"/>
                <w:snapToGrid w:val="0"/>
                <w:color w:val="auto"/>
                <w:kern w:val="21"/>
                <w:sz w:val="24"/>
                <w:szCs w:val="24"/>
                <w:highlight w:val="none"/>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废油脂</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危险废物</w:t>
            </w: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漆渣</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1.086</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1.086</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1.086</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废纸盒滤芯</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0.072</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废油漆桶</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废活性炭</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14.4</w:t>
            </w:r>
            <w:r>
              <w:rPr>
                <w:rFonts w:hint="default" w:ascii="Times New Roman" w:hAnsi="Times New Roman" w:eastAsia="宋体" w:cs="Times New Roman"/>
                <w:color w:val="auto"/>
                <w:kern w:val="0"/>
                <w:sz w:val="24"/>
                <w:szCs w:val="24"/>
                <w:highlight w:val="none"/>
                <w:lang w:val="en-US" w:eastAsia="zh-CN" w:bidi="ar"/>
              </w:rPr>
              <w:t>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
              </w:rPr>
              <w:t>14.4</w:t>
            </w:r>
            <w:r>
              <w:rPr>
                <w:rFonts w:hint="default" w:ascii="Times New Roman" w:hAnsi="Times New Roman" w:eastAsia="宋体" w:cs="Times New Roman"/>
                <w:color w:val="auto"/>
                <w:kern w:val="0"/>
                <w:sz w:val="24"/>
                <w:szCs w:val="24"/>
                <w:highlight w:val="none"/>
                <w:lang w:val="en-US" w:eastAsia="zh-CN" w:bidi="ar"/>
              </w:rPr>
              <w:t>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14.4</w:t>
            </w:r>
            <w:r>
              <w:rPr>
                <w:rFonts w:hint="default" w:ascii="Times New Roman" w:hAnsi="Times New Roman" w:eastAsia="宋体" w:cs="Times New Roman"/>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废催化剂</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0.3t/5a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0.3t/5a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+0.3t/5a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w:t>
            </w:r>
            <w:r>
              <w:rPr>
                <w:rFonts w:hint="default" w:ascii="Times New Roman" w:hAnsi="Times New Roman" w:cs="Times New Roman"/>
                <w:color w:val="auto"/>
                <w:sz w:val="24"/>
                <w:szCs w:val="24"/>
                <w:highlight w:val="none"/>
                <w:lang w:val="en-US" w:eastAsia="zh-CN"/>
              </w:rPr>
              <w:t>机</w:t>
            </w:r>
            <w:r>
              <w:rPr>
                <w:rFonts w:hint="default" w:ascii="Times New Roman" w:hAnsi="Times New Roman" w:cs="Times New Roman"/>
                <w:color w:val="auto"/>
                <w:sz w:val="24"/>
                <w:szCs w:val="24"/>
                <w:highlight w:val="none"/>
              </w:rPr>
              <w:t>油</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0.2t/a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0.2t/a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pPr>
              <w:pageBreakBefore w:val="0"/>
              <w:wordWrap/>
              <w:bidi w:val="0"/>
              <w:adjustRightInd/>
              <w:snapToGrid/>
              <w:spacing w:before="0" w:beforeLines="0" w:beforeAutospacing="0" w:after="0" w:afterLines="0" w:afterAutospacing="0" w:line="240" w:lineRule="exact"/>
              <w:ind w:left="0" w:leftChars="0" w:firstLine="0" w:firstLineChars="0"/>
              <w:jc w:val="center"/>
              <w:rPr>
                <w:rFonts w:hint="default" w:ascii="Times New Roman" w:hAnsi="Times New Roman" w:cs="Times New Roman"/>
                <w:snapToGrid w:val="0"/>
                <w:color w:val="auto"/>
                <w:kern w:val="21"/>
                <w:sz w:val="24"/>
                <w:szCs w:val="24"/>
                <w:highlight w:val="none"/>
                <w:lang w:val="en-US" w:eastAsia="zh-CN"/>
              </w:rPr>
            </w:pPr>
          </w:p>
        </w:tc>
        <w:tc>
          <w:tcPr>
            <w:tcW w:w="2028" w:type="dxa"/>
            <w:tcBorders>
              <w:bottom w:val="single" w:color="auto" w:sz="4" w:space="0"/>
            </w:tcBorders>
            <w:noWrap w:val="0"/>
            <w:vAlign w:val="center"/>
          </w:tcPr>
          <w:p>
            <w:pPr>
              <w:spacing w:line="240" w:lineRule="auto"/>
              <w:ind w:left="-120" w:leftChars="-50" w:right="-120" w:rightChars="-50" w:firstLine="0" w:firstLineChars="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废油桶及含油抹布、手套</w:t>
            </w:r>
          </w:p>
        </w:tc>
        <w:tc>
          <w:tcPr>
            <w:tcW w:w="1359"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386"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9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c>
          <w:tcPr>
            <w:tcW w:w="1761" w:type="dxa"/>
            <w:shd w:val="clear" w:color="auto" w:fill="auto"/>
            <w:noWrap w:val="0"/>
            <w:vAlign w:val="center"/>
          </w:tcPr>
          <w:p>
            <w:pPr>
              <w:pageBreakBefore w:val="0"/>
              <w:wordWrap/>
              <w:bidi w:val="0"/>
              <w:adjustRightInd/>
              <w:snapToGrid/>
              <w:spacing w:before="0" w:beforeLines="0" w:beforeAutospacing="0" w:after="0" w:afterLines="0" w:afterAutospacing="0" w:line="240" w:lineRule="auto"/>
              <w:ind w:left="0" w:leftChars="0" w:firstLine="0" w:firstLineChars="0"/>
              <w:jc w:val="center"/>
              <w:rPr>
                <w:rFonts w:hint="default"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0</w:t>
            </w:r>
          </w:p>
        </w:tc>
        <w:tc>
          <w:tcPr>
            <w:tcW w:w="152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c>
          <w:tcPr>
            <w:tcW w:w="146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+0.1t/a</w:t>
            </w:r>
          </w:p>
        </w:tc>
      </w:tr>
    </w:tbl>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9"/>
        <w:rPr>
          <w:rFonts w:hint="default" w:ascii="Times New Roman" w:hAnsi="Times New Roman"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Emoji">
    <w:altName w:val="Segoe UI"/>
    <w:panose1 w:val="020B0502040204020203"/>
    <w:charset w:val="00"/>
    <w:family w:val="auto"/>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560"/>
                            <w:rPr>
                              <w:rStyle w:val="24"/>
                              <w:rFonts w:hint="eastAsia"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19</w:t>
                          </w:r>
                          <w:r>
                            <w:rPr>
                              <w:rStyle w:val="24"/>
                              <w:rFonts w:ascii="宋体" w:hAnsi="宋体"/>
                              <w:sz w:val="26"/>
                              <w:szCs w:val="26"/>
                            </w:rPr>
                            <w:fldChar w:fldCharType="end"/>
                          </w:r>
                          <w:r>
                            <w:rPr>
                              <w:rStyle w:val="2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3"/>
                      <w:ind w:firstLine="560"/>
                      <w:rPr>
                        <w:rStyle w:val="24"/>
                        <w:rFonts w:hint="eastAsia"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19</w:t>
                    </w:r>
                    <w:r>
                      <w:rPr>
                        <w:rStyle w:val="24"/>
                        <w:rFonts w:ascii="宋体" w:hAnsi="宋体"/>
                        <w:sz w:val="26"/>
                        <w:szCs w:val="26"/>
                      </w:rPr>
                      <w:fldChar w:fldCharType="end"/>
                    </w:r>
                    <w:r>
                      <w:rPr>
                        <w:rStyle w:val="2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8964C"/>
    <w:multiLevelType w:val="singleLevel"/>
    <w:tmpl w:val="9908964C"/>
    <w:lvl w:ilvl="0" w:tentative="0">
      <w:start w:val="1"/>
      <w:numFmt w:val="decimal"/>
      <w:suff w:val="nothing"/>
      <w:lvlText w:val="%1、"/>
      <w:lvlJc w:val="left"/>
    </w:lvl>
  </w:abstractNum>
  <w:abstractNum w:abstractNumId="1">
    <w:nsid w:val="180DC0BC"/>
    <w:multiLevelType w:val="singleLevel"/>
    <w:tmpl w:val="180DC0B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0F4E6F"/>
    <w:rsid w:val="024F7355"/>
    <w:rsid w:val="07C31935"/>
    <w:rsid w:val="090573DB"/>
    <w:rsid w:val="090E0B90"/>
    <w:rsid w:val="0A451862"/>
    <w:rsid w:val="0A5A29FB"/>
    <w:rsid w:val="101F23FF"/>
    <w:rsid w:val="102C75B0"/>
    <w:rsid w:val="1276680C"/>
    <w:rsid w:val="14ED31FB"/>
    <w:rsid w:val="16C127F8"/>
    <w:rsid w:val="188165CB"/>
    <w:rsid w:val="18DB13FC"/>
    <w:rsid w:val="19491142"/>
    <w:rsid w:val="1F930B99"/>
    <w:rsid w:val="22474377"/>
    <w:rsid w:val="22C55999"/>
    <w:rsid w:val="23873CDB"/>
    <w:rsid w:val="24DA5084"/>
    <w:rsid w:val="264C46B5"/>
    <w:rsid w:val="27824506"/>
    <w:rsid w:val="27CA0A96"/>
    <w:rsid w:val="2858552C"/>
    <w:rsid w:val="29C96138"/>
    <w:rsid w:val="2BA3076A"/>
    <w:rsid w:val="2BA35DA7"/>
    <w:rsid w:val="2BC91C77"/>
    <w:rsid w:val="2C1A0F21"/>
    <w:rsid w:val="301E235E"/>
    <w:rsid w:val="31663C21"/>
    <w:rsid w:val="31D96A71"/>
    <w:rsid w:val="3216701B"/>
    <w:rsid w:val="32CE276E"/>
    <w:rsid w:val="33C31EB5"/>
    <w:rsid w:val="34573E4B"/>
    <w:rsid w:val="3717799C"/>
    <w:rsid w:val="38F30F50"/>
    <w:rsid w:val="39840484"/>
    <w:rsid w:val="3A3E5FEE"/>
    <w:rsid w:val="3A5362F9"/>
    <w:rsid w:val="3A9F4B3B"/>
    <w:rsid w:val="3BE93542"/>
    <w:rsid w:val="3E7373B4"/>
    <w:rsid w:val="3EFF03C8"/>
    <w:rsid w:val="3F867A19"/>
    <w:rsid w:val="402629B3"/>
    <w:rsid w:val="42B3518E"/>
    <w:rsid w:val="43D0101F"/>
    <w:rsid w:val="447D50AE"/>
    <w:rsid w:val="4B0E5F1A"/>
    <w:rsid w:val="4CA638D4"/>
    <w:rsid w:val="4E3A458F"/>
    <w:rsid w:val="4F873B08"/>
    <w:rsid w:val="4F9A5CA8"/>
    <w:rsid w:val="4FD31B34"/>
    <w:rsid w:val="51D26309"/>
    <w:rsid w:val="52340419"/>
    <w:rsid w:val="52B34D90"/>
    <w:rsid w:val="532B7795"/>
    <w:rsid w:val="56342FF1"/>
    <w:rsid w:val="572D17AE"/>
    <w:rsid w:val="59812CE5"/>
    <w:rsid w:val="59BC1A88"/>
    <w:rsid w:val="5E370E24"/>
    <w:rsid w:val="5FD117C0"/>
    <w:rsid w:val="60363136"/>
    <w:rsid w:val="60F56302"/>
    <w:rsid w:val="63184334"/>
    <w:rsid w:val="63CE219A"/>
    <w:rsid w:val="641F19E0"/>
    <w:rsid w:val="644F34D4"/>
    <w:rsid w:val="66062CCD"/>
    <w:rsid w:val="6627680A"/>
    <w:rsid w:val="67B127BF"/>
    <w:rsid w:val="6BAB5D34"/>
    <w:rsid w:val="6DF12BAB"/>
    <w:rsid w:val="7254291F"/>
    <w:rsid w:val="730E2BF5"/>
    <w:rsid w:val="75910AB7"/>
    <w:rsid w:val="78F37C3A"/>
    <w:rsid w:val="7A35088C"/>
    <w:rsid w:val="7A832E85"/>
    <w:rsid w:val="7C6A4A16"/>
    <w:rsid w:val="7E046FA0"/>
    <w:rsid w:val="7F011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overflowPunct w:val="0"/>
      <w:snapToGrid w:val="0"/>
      <w:spacing w:before="120" w:after="120"/>
      <w:ind w:firstLine="0" w:firstLineChars="0"/>
      <w:outlineLvl w:val="0"/>
    </w:pPr>
    <w:rPr>
      <w:b/>
      <w:bCs/>
      <w:color w:val="000000"/>
      <w:kern w:val="44"/>
      <w:sz w:val="28"/>
      <w:szCs w:val="30"/>
    </w:rPr>
  </w:style>
  <w:style w:type="paragraph" w:styleId="5">
    <w:name w:val="heading 2"/>
    <w:basedOn w:val="1"/>
    <w:next w:val="1"/>
    <w:qFormat/>
    <w:uiPriority w:val="0"/>
    <w:pPr>
      <w:keepNext/>
      <w:keepLines/>
      <w:spacing w:before="120" w:after="120"/>
      <w:ind w:firstLine="0" w:firstLineChars="0"/>
      <w:outlineLvl w:val="1"/>
    </w:pPr>
    <w:rPr>
      <w:b/>
      <w:bCs/>
      <w:szCs w:val="32"/>
    </w:rPr>
  </w:style>
  <w:style w:type="paragraph" w:styleId="6">
    <w:name w:val="heading 3"/>
    <w:basedOn w:val="1"/>
    <w:next w:val="1"/>
    <w:qFormat/>
    <w:uiPriority w:val="0"/>
    <w:pPr>
      <w:keepNext/>
      <w:keepLines/>
      <w:outlineLvl w:val="2"/>
    </w:pPr>
    <w:rPr>
      <w:bCs/>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rPr>
      <w:szCs w:val="24"/>
    </w:rPr>
  </w:style>
  <w:style w:type="paragraph" w:styleId="3">
    <w:name w:val="Body Text Indent"/>
    <w:basedOn w:val="1"/>
    <w:next w:val="2"/>
    <w:qFormat/>
    <w:uiPriority w:val="0"/>
    <w:pPr>
      <w:spacing w:after="120"/>
      <w:ind w:left="420" w:leftChars="200"/>
    </w:pPr>
    <w:rPr>
      <w:kern w:val="0"/>
      <w:szCs w:val="20"/>
    </w:rPr>
  </w:style>
  <w:style w:type="paragraph" w:styleId="8">
    <w:name w:val="Normal Indent"/>
    <w:basedOn w:val="1"/>
    <w:qFormat/>
    <w:uiPriority w:val="0"/>
    <w:pPr>
      <w:ind w:firstLine="420"/>
    </w:pPr>
  </w:style>
  <w:style w:type="paragraph" w:styleId="9">
    <w:name w:val="caption"/>
    <w:basedOn w:val="1"/>
    <w:next w:val="1"/>
    <w:qFormat/>
    <w:uiPriority w:val="35"/>
    <w:pPr>
      <w:ind w:firstLine="0" w:firstLineChars="0"/>
      <w:jc w:val="center"/>
    </w:pPr>
    <w:rPr>
      <w:b/>
      <w:szCs w:val="20"/>
    </w:rPr>
  </w:style>
  <w:style w:type="paragraph" w:styleId="10">
    <w:name w:val="annotation text"/>
    <w:basedOn w:val="1"/>
    <w:qFormat/>
    <w:uiPriority w:val="0"/>
    <w:pPr>
      <w:jc w:val="left"/>
    </w:pPr>
  </w:style>
  <w:style w:type="paragraph" w:styleId="11">
    <w:name w:val="Body Text"/>
    <w:basedOn w:val="1"/>
    <w:next w:val="1"/>
    <w:qFormat/>
    <w:uiPriority w:val="0"/>
    <w:pPr>
      <w:widowControl/>
      <w:snapToGrid w:val="0"/>
      <w:spacing w:before="60" w:after="160" w:line="259" w:lineRule="auto"/>
      <w:ind w:right="113"/>
    </w:pPr>
    <w:rPr>
      <w:kern w:val="0"/>
      <w:sz w:val="18"/>
      <w:szCs w:val="20"/>
    </w:rPr>
  </w:style>
  <w:style w:type="paragraph" w:styleId="12">
    <w:name w:val="Plain Text"/>
    <w:basedOn w:val="1"/>
    <w:qFormat/>
    <w:uiPriority w:val="0"/>
    <w:rPr>
      <w:rFonts w:ascii="宋体" w:hAnsi="Courier New" w:cs="Courier New"/>
      <w:szCs w:val="21"/>
    </w:rPr>
  </w:style>
  <w:style w:type="paragraph" w:styleId="13">
    <w:name w:val="footer"/>
    <w:basedOn w:val="1"/>
    <w:next w:val="1"/>
    <w:qFormat/>
    <w:uiPriority w:val="99"/>
    <w:pPr>
      <w:tabs>
        <w:tab w:val="center" w:pos="4153"/>
        <w:tab w:val="right" w:pos="8306"/>
      </w:tabs>
      <w:snapToGrid w:val="0"/>
      <w:jc w:val="left"/>
    </w:pPr>
    <w:rPr>
      <w:kern w:val="0"/>
      <w:sz w:val="18"/>
      <w:szCs w:val="20"/>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List"/>
    <w:basedOn w:val="1"/>
    <w:next w:val="1"/>
    <w:qFormat/>
    <w:uiPriority w:val="0"/>
    <w:pPr>
      <w:ind w:left="200" w:hanging="200" w:hangingChars="200"/>
    </w:pPr>
  </w:style>
  <w:style w:type="paragraph" w:styleId="16">
    <w:name w:val="Body Text Indent 3"/>
    <w:basedOn w:val="1"/>
    <w:qFormat/>
    <w:uiPriority w:val="0"/>
    <w:pPr>
      <w:spacing w:line="500" w:lineRule="atLeast"/>
      <w:ind w:left="-105" w:firstLine="585"/>
    </w:pPr>
    <w:rPr>
      <w:rFonts w:ascii="宋体" w:hAnsi="Calibri"/>
      <w:sz w:val="24"/>
      <w:szCs w:val="20"/>
    </w:rPr>
  </w:style>
  <w:style w:type="paragraph" w:styleId="17">
    <w:name w:val="Normal (Web)"/>
    <w:basedOn w:val="1"/>
    <w:qFormat/>
    <w:uiPriority w:val="0"/>
    <w:pPr>
      <w:widowControl/>
      <w:spacing w:before="100" w:beforeAutospacing="1" w:after="100" w:afterAutospacing="1"/>
      <w:jc w:val="left"/>
    </w:pPr>
    <w:rPr>
      <w:rFonts w:ascii="宋体" w:hAnsi="宋体"/>
      <w:kern w:val="0"/>
      <w:szCs w:val="20"/>
    </w:rPr>
  </w:style>
  <w:style w:type="paragraph" w:styleId="18">
    <w:name w:val="index 1"/>
    <w:basedOn w:val="1"/>
    <w:next w:val="1"/>
    <w:qFormat/>
    <w:uiPriority w:val="0"/>
  </w:style>
  <w:style w:type="paragraph" w:styleId="19">
    <w:name w:val="Title"/>
    <w:basedOn w:val="1"/>
    <w:next w:val="1"/>
    <w:qFormat/>
    <w:uiPriority w:val="0"/>
    <w:pPr>
      <w:spacing w:before="240" w:after="60"/>
      <w:jc w:val="center"/>
      <w:outlineLvl w:val="0"/>
    </w:pPr>
    <w:rPr>
      <w:rFonts w:ascii="Cambria" w:hAnsi="Cambria" w:eastAsia="宋体" w:cs="宋体"/>
      <w:b/>
      <w:bCs/>
      <w:sz w:val="32"/>
      <w:szCs w:val="32"/>
    </w:rPr>
  </w:style>
  <w:style w:type="paragraph" w:styleId="20">
    <w:name w:val="Body Text First Indent"/>
    <w:basedOn w:val="11"/>
    <w:qFormat/>
    <w:uiPriority w:val="0"/>
    <w:pPr>
      <w:adjustRightInd/>
      <w:spacing w:after="120"/>
      <w:ind w:firstLine="420" w:firstLineChars="100"/>
      <w:textAlignment w:val="auto"/>
    </w:pPr>
    <w:rPr>
      <w:kern w:val="2"/>
      <w:sz w:val="21"/>
      <w:szCs w:val="24"/>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uiPriority w:val="0"/>
  </w:style>
  <w:style w:type="character" w:styleId="25">
    <w:name w:val="annotation reference"/>
    <w:unhideWhenUsed/>
    <w:qFormat/>
    <w:uiPriority w:val="0"/>
    <w:rPr>
      <w:sz w:val="21"/>
      <w:szCs w:val="21"/>
    </w:rPr>
  </w:style>
  <w:style w:type="paragraph" w:customStyle="1" w:styleId="26">
    <w:name w:val="样式 首行缩进:  2 字符1"/>
    <w:basedOn w:val="1"/>
    <w:qFormat/>
    <w:uiPriority w:val="0"/>
    <w:pPr>
      <w:spacing w:line="400" w:lineRule="exact"/>
      <w:ind w:firstLine="200" w:firstLineChars="200"/>
    </w:pPr>
    <w:rPr>
      <w:rFonts w:ascii="宋体"/>
      <w:sz w:val="24"/>
      <w:szCs w:val="20"/>
    </w:rPr>
  </w:style>
  <w:style w:type="paragraph" w:customStyle="1" w:styleId="27">
    <w:name w:val="Default"/>
    <w:basedOn w:val="28"/>
    <w:next w:val="1"/>
    <w:qFormat/>
    <w:uiPriority w:val="0"/>
    <w:pPr>
      <w:autoSpaceDE w:val="0"/>
      <w:autoSpaceDN w:val="0"/>
      <w:jc w:val="left"/>
    </w:pPr>
    <w:rPr>
      <w:rFonts w:hint="eastAsia" w:ascii="宋体"/>
      <w:kern w:val="0"/>
      <w:szCs w:val="24"/>
    </w:rPr>
  </w:style>
  <w:style w:type="paragraph" w:customStyle="1" w:styleId="28">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29">
    <w:name w:val="表格内"/>
    <w:basedOn w:val="1"/>
    <w:qFormat/>
    <w:uiPriority w:val="0"/>
    <w:pPr>
      <w:widowControl/>
      <w:adjustRightInd w:val="0"/>
      <w:snapToGrid w:val="0"/>
      <w:spacing w:after="200" w:line="360" w:lineRule="exact"/>
      <w:ind w:firstLine="720"/>
      <w:jc w:val="center"/>
    </w:pPr>
    <w:rPr>
      <w:rFonts w:ascii="Calibri" w:hAnsi="Calibri" w:eastAsia="微软雅黑"/>
      <w:kern w:val="0"/>
      <w:sz w:val="22"/>
      <w:szCs w:val="21"/>
    </w:rPr>
  </w:style>
  <w:style w:type="paragraph" w:customStyle="1" w:styleId="30">
    <w:name w:val="表内文字"/>
    <w:basedOn w:val="1"/>
    <w:qFormat/>
    <w:uiPriority w:val="0"/>
    <w:pPr>
      <w:spacing w:line="240" w:lineRule="auto"/>
      <w:ind w:firstLine="0" w:firstLineChars="0"/>
      <w:jc w:val="center"/>
    </w:pPr>
    <w:rPr>
      <w:sz w:val="21"/>
      <w:szCs w:val="21"/>
    </w:rPr>
  </w:style>
  <w:style w:type="paragraph" w:customStyle="1" w:styleId="3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表格标题"/>
    <w:basedOn w:val="9"/>
    <w:next w:val="1"/>
    <w:qFormat/>
    <w:uiPriority w:val="0"/>
    <w:rPr>
      <w:bCs/>
      <w:szCs w:val="21"/>
    </w:rPr>
  </w:style>
  <w:style w:type="paragraph" w:customStyle="1" w:styleId="33">
    <w:name w:val="大表格"/>
    <w:basedOn w:val="1"/>
    <w:qFormat/>
    <w:uiPriority w:val="0"/>
    <w:pPr>
      <w:spacing w:line="240" w:lineRule="auto"/>
      <w:ind w:firstLine="0" w:firstLineChars="0"/>
      <w:jc w:val="center"/>
    </w:pPr>
    <w:rPr>
      <w:rFonts w:eastAsia="宋体"/>
    </w:rPr>
  </w:style>
  <w:style w:type="paragraph" w:customStyle="1" w:styleId="34">
    <w:name w:val="Table Text"/>
    <w:basedOn w:val="1"/>
    <w:semiHidden/>
    <w:qFormat/>
    <w:uiPriority w:val="0"/>
    <w:rPr>
      <w:rFonts w:ascii="宋体" w:hAnsi="宋体" w:cs="宋体"/>
      <w:lang w:eastAsia="en-US"/>
    </w:rPr>
  </w:style>
  <w:style w:type="paragraph" w:customStyle="1" w:styleId="35">
    <w:name w:val="表格内容"/>
    <w:basedOn w:val="36"/>
    <w:next w:val="37"/>
    <w:qFormat/>
    <w:uiPriority w:val="0"/>
    <w:pPr>
      <w:tabs>
        <w:tab w:val="left" w:pos="0"/>
      </w:tabs>
      <w:jc w:val="center"/>
    </w:pPr>
    <w:rPr>
      <w:rFonts w:ascii="Times New Roman" w:hAnsi="Times New Roman" w:eastAsia="宋体" w:cs="Times New Roman"/>
      <w:kern w:val="2"/>
      <w:sz w:val="21"/>
      <w:szCs w:val="24"/>
      <w:lang w:val="zh-TW" w:eastAsia="zh-TW" w:bidi="ar-SA"/>
    </w:rPr>
  </w:style>
  <w:style w:type="paragraph" w:customStyle="1" w:styleId="36">
    <w:name w:val="正文1"/>
    <w:basedOn w:val="8"/>
    <w:qFormat/>
    <w:uiPriority w:val="0"/>
    <w:pPr>
      <w:adjustRightInd w:val="0"/>
      <w:snapToGrid w:val="0"/>
      <w:spacing w:line="500" w:lineRule="atLeast"/>
      <w:ind w:firstLine="567"/>
    </w:pPr>
    <w:rPr>
      <w:sz w:val="28"/>
    </w:rPr>
  </w:style>
  <w:style w:type="paragraph" w:customStyle="1" w:styleId="37">
    <w:name w:val="文本正文"/>
    <w:basedOn w:val="1"/>
    <w:qFormat/>
    <w:uiPriority w:val="0"/>
    <w:pPr>
      <w:ind w:firstLine="480"/>
    </w:pPr>
  </w:style>
  <w:style w:type="paragraph" w:customStyle="1" w:styleId="38">
    <w:name w:val="表中文字"/>
    <w:basedOn w:val="1"/>
    <w:qFormat/>
    <w:uiPriority w:val="0"/>
    <w:pPr>
      <w:spacing w:line="240" w:lineRule="auto"/>
      <w:ind w:firstLine="0" w:firstLineChars="0"/>
      <w:jc w:val="center"/>
      <w:textAlignment w:val="center"/>
    </w:pPr>
    <w:rPr>
      <w:sz w:val="21"/>
      <w:szCs w:val="21"/>
    </w:rPr>
  </w:style>
  <w:style w:type="paragraph" w:customStyle="1" w:styleId="39">
    <w:name w:val="表头"/>
    <w:basedOn w:val="8"/>
    <w:next w:val="1"/>
    <w:qFormat/>
    <w:uiPriority w:val="0"/>
    <w:pPr>
      <w:tabs>
        <w:tab w:val="left" w:pos="360"/>
        <w:tab w:val="left" w:pos="1620"/>
      </w:tabs>
      <w:spacing w:line="560" w:lineRule="exact"/>
    </w:pPr>
    <w:rPr>
      <w:rFonts w:hAnsi="宋体"/>
      <w:b/>
      <w:color w:val="000000"/>
      <w:szCs w:val="21"/>
    </w:rPr>
  </w:style>
  <w:style w:type="paragraph" w:customStyle="1" w:styleId="40">
    <w:name w:val="表格"/>
    <w:basedOn w:val="8"/>
    <w:next w:val="1"/>
    <w:qFormat/>
    <w:uiPriority w:val="0"/>
    <w:pPr>
      <w:adjustRightInd w:val="0"/>
      <w:snapToGrid w:val="0"/>
      <w:spacing w:beforeLines="10" w:afterLines="10" w:line="259" w:lineRule="auto"/>
      <w:jc w:val="center"/>
    </w:pPr>
    <w:rPr>
      <w:rFonts w:ascii="宋体"/>
      <w:kern w:val="0"/>
      <w:szCs w:val="20"/>
    </w:rPr>
  </w:style>
  <w:style w:type="table" w:customStyle="1" w:styleId="41">
    <w:name w:val="Table Normal"/>
    <w:unhideWhenUsed/>
    <w:qFormat/>
    <w:uiPriority w:val="0"/>
    <w:tblPr>
      <w:tblCellMar>
        <w:top w:w="0" w:type="dxa"/>
        <w:left w:w="0" w:type="dxa"/>
        <w:bottom w:w="0" w:type="dxa"/>
        <w:right w:w="0" w:type="dxa"/>
      </w:tblCellMar>
    </w:tblPr>
  </w:style>
  <w:style w:type="character" w:customStyle="1" w:styleId="42">
    <w:name w:val="font11"/>
    <w:basedOn w:val="23"/>
    <w:qFormat/>
    <w:uiPriority w:val="0"/>
    <w:rPr>
      <w:rFonts w:hint="eastAsia" w:ascii="宋体" w:hAnsi="宋体" w:eastAsia="宋体" w:cs="宋体"/>
      <w:color w:val="000000"/>
      <w:sz w:val="24"/>
      <w:szCs w:val="24"/>
      <w:u w:val="none"/>
    </w:rPr>
  </w:style>
  <w:style w:type="paragraph" w:customStyle="1" w:styleId="43">
    <w:name w:val="ZB报告表正文"/>
    <w:basedOn w:val="1"/>
    <w:qFormat/>
    <w:uiPriority w:val="0"/>
    <w:pPr>
      <w:autoSpaceDE w:val="0"/>
      <w:autoSpaceDN w:val="0"/>
      <w:adjustRightInd w:val="0"/>
      <w:snapToGrid w:val="0"/>
      <w:spacing w:line="560" w:lineRule="exact"/>
      <w:ind w:firstLine="200" w:firstLineChars="200"/>
      <w:jc w:val="both"/>
    </w:pPr>
    <w:rPr>
      <w:rFonts w:ascii="Times New Roman" w:hAnsi="Times New Roman" w:eastAsia="宋体" w:cs="宋体"/>
      <w:kern w:val="0"/>
      <w:szCs w:val="21"/>
    </w:rPr>
  </w:style>
  <w:style w:type="paragraph" w:customStyle="1" w:styleId="44">
    <w:name w:val="1正文段落"/>
    <w:basedOn w:val="1"/>
    <w:qFormat/>
    <w:uiPriority w:val="99"/>
    <w:rPr>
      <w:snapToGrid w:val="0"/>
      <w:kern w:val="0"/>
      <w:szCs w:val="21"/>
    </w:rPr>
  </w:style>
  <w:style w:type="paragraph" w:customStyle="1" w:styleId="45">
    <w:name w:val="表格文字2"/>
    <w:basedOn w:val="1"/>
    <w:qFormat/>
    <w:uiPriority w:val="0"/>
    <w:pPr>
      <w:tabs>
        <w:tab w:val="left" w:pos="277"/>
        <w:tab w:val="left" w:pos="600"/>
        <w:tab w:val="left" w:pos="780"/>
        <w:tab w:val="left" w:pos="2517"/>
      </w:tabs>
      <w:adjustRightInd w:val="0"/>
      <w:spacing w:line="240" w:lineRule="auto"/>
      <w:ind w:firstLine="0" w:firstLineChars="0"/>
      <w:jc w:val="center"/>
      <w:textAlignment w:val="baseline"/>
    </w:pPr>
    <w:rPr>
      <w:kern w:val="0"/>
      <w:sz w:val="21"/>
      <w:szCs w:val="21"/>
    </w:rPr>
  </w:style>
  <w:style w:type="character" w:customStyle="1" w:styleId="46">
    <w:name w:val="font21"/>
    <w:basedOn w:val="23"/>
    <w:qFormat/>
    <w:uiPriority w:val="0"/>
    <w:rPr>
      <w:rFonts w:hint="eastAsia" w:ascii="宋体" w:hAnsi="宋体" w:eastAsia="宋体" w:cs="宋体"/>
      <w:color w:val="000000"/>
      <w:sz w:val="21"/>
      <w:szCs w:val="21"/>
      <w:u w:val="none"/>
    </w:rPr>
  </w:style>
  <w:style w:type="character" w:customStyle="1" w:styleId="47">
    <w:name w:val="font31"/>
    <w:basedOn w:val="23"/>
    <w:qFormat/>
    <w:uiPriority w:val="0"/>
    <w:rPr>
      <w:rFonts w:hint="default" w:ascii="Times New Roman" w:hAnsi="Times New Roman" w:cs="Times New Roman"/>
      <w:color w:val="000000"/>
      <w:sz w:val="21"/>
      <w:szCs w:val="21"/>
      <w:u w:val="none"/>
    </w:rPr>
  </w:style>
  <w:style w:type="paragraph" w:customStyle="1" w:styleId="48">
    <w:name w:val="正文(首行缩进)"/>
    <w:basedOn w:val="1"/>
    <w:next w:val="5"/>
    <w:qFormat/>
    <w:uiPriority w:val="0"/>
    <w:pPr>
      <w:ind w:firstLine="540" w:firstLineChars="225"/>
    </w:pPr>
    <w:rPr>
      <w:rFonts w:ascii="宋体" w:hAnsi="宋体"/>
      <w:snapToGrid w:val="0"/>
      <w:color w:val="000000"/>
      <w:kern w:val="0"/>
      <w:szCs w:val="28"/>
    </w:rPr>
  </w:style>
  <w:style w:type="paragraph" w:customStyle="1" w:styleId="49">
    <w:name w:val="样式 加粗 居中 行距: 固定值 25 磅"/>
    <w:basedOn w:val="1"/>
    <w:qFormat/>
    <w:uiPriority w:val="0"/>
    <w:pPr>
      <w:spacing w:line="500" w:lineRule="exact"/>
      <w:jc w:val="center"/>
    </w:pPr>
    <w:rPr>
      <w:rFonts w:cs="宋体"/>
      <w:b/>
      <w:szCs w:val="20"/>
    </w:rPr>
  </w:style>
  <w:style w:type="paragraph" w:customStyle="1" w:styleId="50">
    <w:name w:val="表格文字"/>
    <w:basedOn w:val="20"/>
    <w:next w:val="1"/>
    <w:qFormat/>
    <w:uiPriority w:val="99"/>
    <w:pPr>
      <w:tabs>
        <w:tab w:val="left" w:pos="360"/>
        <w:tab w:val="left" w:pos="1620"/>
      </w:tabs>
      <w:spacing w:line="240" w:lineRule="auto"/>
      <w:ind w:firstLine="0" w:firstLineChars="0"/>
      <w:jc w:val="center"/>
    </w:pPr>
    <w:rPr>
      <w:szCs w:val="21"/>
    </w:rPr>
  </w:style>
  <w:style w:type="paragraph" w:customStyle="1" w:styleId="51">
    <w:name w:val="正文（自定义）"/>
    <w:basedOn w:val="1"/>
    <w:qFormat/>
    <w:uiPriority w:val="0"/>
    <w:pPr>
      <w:adjustRightInd w:val="0"/>
      <w:snapToGrid w:val="0"/>
      <w:spacing w:line="480" w:lineRule="exact"/>
      <w:ind w:firstLine="200" w:firstLineChars="200"/>
      <w:jc w:val="left"/>
    </w:pPr>
    <w:rPr>
      <w:rFonts w:ascii="宋体" w:hAnsi="宋体"/>
      <w:kern w:val="0"/>
      <w:sz w:val="25"/>
      <w:szCs w:val="25"/>
      <w:lang w:eastAsia="en-US"/>
    </w:rPr>
  </w:style>
  <w:style w:type="paragraph" w:customStyle="1" w:styleId="52">
    <w:name w:val="Table Paragraph"/>
    <w:basedOn w:val="1"/>
    <w:qFormat/>
    <w:uiPriority w:val="1"/>
    <w:pPr>
      <w:spacing w:before="30"/>
      <w:jc w:val="center"/>
    </w:pPr>
    <w:rPr>
      <w:rFonts w:ascii="宋体" w:hAnsi="宋体" w:cs="宋体"/>
      <w:lang w:val="zh-CN" w:bidi="zh-CN"/>
    </w:rPr>
  </w:style>
  <w:style w:type="paragraph" w:customStyle="1" w:styleId="53">
    <w:name w:val="2#表头"/>
    <w:basedOn w:val="1"/>
    <w:qFormat/>
    <w:uiPriority w:val="0"/>
    <w:pPr>
      <w:spacing w:line="240" w:lineRule="auto"/>
      <w:ind w:firstLine="0" w:firstLineChars="0"/>
      <w:jc w:val="center"/>
    </w:pPr>
    <w:rPr>
      <w:rFonts w:hint="eastAsia" w:eastAsia="宋体"/>
      <w:b/>
      <w:sz w:val="21"/>
    </w:rPr>
  </w:style>
  <w:style w:type="paragraph" w:customStyle="1" w:styleId="54">
    <w:name w:val="Body Text 21"/>
    <w:basedOn w:val="1"/>
    <w:qFormat/>
    <w:uiPriority w:val="0"/>
    <w:pPr>
      <w:spacing w:after="120" w:line="480" w:lineRule="auto"/>
    </w:pPr>
  </w:style>
  <w:style w:type="paragraph" w:customStyle="1" w:styleId="55">
    <w:name w:val="。正文格式"/>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56">
    <w:name w:val="表格样式"/>
    <w:basedOn w:val="1"/>
    <w:qFormat/>
    <w:uiPriority w:val="0"/>
    <w:pPr>
      <w:autoSpaceDE w:val="0"/>
      <w:autoSpaceDN w:val="0"/>
      <w:spacing w:line="360" w:lineRule="exact"/>
      <w:jc w:val="center"/>
    </w:pPr>
    <w:rPr>
      <w:rFonts w:ascii="Times New Roman" w:hAnsi="Times New Roman" w:cs="Times New Roman"/>
      <w:sz w:val="21"/>
      <w:szCs w:val="21"/>
    </w:rPr>
  </w:style>
  <w:style w:type="paragraph" w:customStyle="1" w:styleId="57">
    <w:name w:val="正文26-5.21"/>
    <w:basedOn w:val="1"/>
    <w:unhideWhenUsed/>
    <w:qFormat/>
    <w:uiPriority w:val="0"/>
    <w:pPr>
      <w:adjustRightInd w:val="0"/>
      <w:snapToGrid w:val="0"/>
      <w:spacing w:line="520" w:lineRule="exact"/>
      <w:ind w:firstLine="480" w:firstLineChars="200"/>
      <w:textAlignment w:val="baseline"/>
    </w:pPr>
    <w:rPr>
      <w:rFonts w:cs="宋体"/>
      <w:snapToGrid w:val="0"/>
      <w:sz w:val="24"/>
    </w:rPr>
  </w:style>
  <w:style w:type="paragraph" w:customStyle="1" w:styleId="58">
    <w:name w:val="正文文本1"/>
    <w:basedOn w:val="1"/>
    <w:qFormat/>
    <w:uiPriority w:val="0"/>
    <w:pPr>
      <w:shd w:val="clear" w:color="auto" w:fill="FFFFFF"/>
      <w:spacing w:line="0" w:lineRule="atLeast"/>
      <w:jc w:val="distribute"/>
    </w:pPr>
    <w:rPr>
      <w:rFonts w:ascii="宋体" w:hAnsi="宋体" w:eastAsia="宋体" w:cs="宋体"/>
      <w:kern w:val="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4d1079d0-0558-4f85-86c2-3879ea0613ef</errorID>
      <errorWord>精细化工电</errorWord>
      <group>L1_Word</group>
      <groupName>字词问题</groupName>
      <ability>L2_Typo</ability>
      <abilityName>字词错误</abilityName>
      <candidateList>
        <item>精细化工</item>
      </candidateList>
      <explain/>
      <paraID>  AAEE18</paraID>
      <start>35</start>
      <end>40</end>
      <status>ignored</status>
      <modifiedWord/>
      <trackRevisions>false</trackRevisions>
    </reviewItem>
    <reviewItem>
      <errorID>b35898ad-bd79-42d1-9b7d-1358cff15107</errorID>
      <errorWord>的新技术产业</errorWord>
      <group>L1_Knowledge</group>
      <groupName>知识性问题</groupName>
      <ability>L2_Knowledge</ability>
      <abilityName>其他知识</abilityName>
      <candidateList>
        <item>的高新技术产业</item>
      </candidateList>
      <explain/>
      <paraID>  AAEE18</paraID>
      <start>58</start>
      <end>64</end>
      <status>ignored</status>
      <modifiedWord/>
      <trackRevisions>false</trackRevisions>
    </reviewItem>
    <reviewItem>
      <errorID>beee52c3-d885-4b4f-b9f2-48c5f84263a3</errorID>
      <errorWord>，与</errorWord>
      <group>L1_Word</group>
      <groupName>字词问题</groupName>
      <ability>L2_Typo</ability>
      <abilityName>字词错误</abilityName>
      <candidateList>
        <item>，</item>
      </candidateList>
      <explain/>
      <paraID>5A70275E</paraID>
      <start>58</start>
      <end>60</end>
      <status>unmodified</status>
      <modifiedWord/>
      <trackRevisions>false</trackRevisions>
    </reviewItem>
    <reviewItem>
      <errorID>6f412ddf-3036-48c1-8d6c-8362f364e0b7</errorID>
      <errorWord>(</errorWord>
      <group>L1_Format</group>
      <groupName>格式问题</groupName>
      <ability>L2_HalfPunc</ability>
      <abilityName>全半角检查</abilityName>
      <candidateList>
        <item>（</item>
      </candidateList>
      <explain>文本全半角错误。</explain>
      <paraID>35EC1331</paraID>
      <start>54</start>
      <end>55</end>
      <status>unmodified</status>
      <modifiedWord/>
      <trackRevisions>false</trackRevisions>
    </reviewItem>
    <reviewItem>
      <errorID>b04282a3-bedd-4b8f-8af1-54d8f4c38301</errorID>
      <errorWord>)</errorWord>
      <group>L1_Format</group>
      <groupName>格式问题</groupName>
      <ability>L2_HalfPunc</ability>
      <abilityName>全半角检查</abilityName>
      <candidateList>
        <item>）</item>
      </candidateList>
      <explain>文本全半角错误。</explain>
      <paraID>35EC1331</paraID>
      <start>61</start>
      <end>62</end>
      <status>unmodified</status>
      <modifiedWord/>
      <trackRevisions>false</trackRevisions>
    </reviewItem>
    <reviewItem>
      <errorID>5c4e3713-a586-4c82-a0f0-687c74c80601</errorID>
      <errorWord>,</errorWord>
      <group>L1_Format</group>
      <groupName>格式问题</groupName>
      <ability>L2_HalfPunc</ability>
      <abilityName>全半角检查</abilityName>
      <candidateList>
        <item>，</item>
      </candidateList>
      <explain>文本全半角错误。</explain>
      <paraID>7EA8DD58</paraID>
      <start>14</start>
      <end>15</end>
      <status>unmodified</status>
      <modifiedWord/>
      <trackRevisions>false</trackRevisions>
    </reviewItem>
    <reviewItem>
      <errorID>6cc239f6-4525-4949-83ce-44283315a311</errorID>
      <errorWord>,</errorWord>
      <group>L1_Format</group>
      <groupName>格式问题</groupName>
      <ability>L2_HalfPunc</ability>
      <abilityName>全半角检查</abilityName>
      <candidateList>
        <item>，</item>
      </candidateList>
      <explain>文本全半角错误。</explain>
      <paraID>7EA8DD58</paraID>
      <start>75</start>
      <end>76</end>
      <status>unmodified</status>
      <modifiedWord/>
      <trackRevisions>false</trackRevisions>
    </reviewItem>
    <reviewItem>
      <errorID>e346812d-db64-42d3-96a7-b664eabd74cf</errorID>
      <errorWord>(</errorWord>
      <group>L1_Format</group>
      <groupName>格式问题</groupName>
      <ability>L2_HalfPunc</ability>
      <abilityName>全半角检查</abilityName>
      <candidateList>
        <item>（</item>
      </candidateList>
      <explain>文本全半角错误。</explain>
      <paraID>6D66145A</paraID>
      <start>25</start>
      <end>26</end>
      <status>unmodified</status>
      <modifiedWord/>
      <trackRevisions>false</trackRevisions>
    </reviewItem>
    <reviewItem>
      <errorID>9d02d25a-887f-442a-85b0-2f988a140eba</errorID>
      <errorWord>)</errorWord>
      <group>L1_Format</group>
      <groupName>格式问题</groupName>
      <ability>L2_HalfPunc</ability>
      <abilityName>全半角检查</abilityName>
      <candidateList>
        <item>）</item>
      </candidateList>
      <explain>文本全半角错误。</explain>
      <paraID>6D66145A</paraID>
      <start>29</start>
      <end>30</end>
      <status>unmodified</status>
      <modifiedWord/>
      <trackRevisions>false</trackRevisions>
    </reviewItem>
    <reviewItem>
      <errorID>e3b41553-3363-451a-a862-899754d84e65</errorID>
      <errorWord>占</errorWord>
      <group>L1_Word</group>
      <groupName>字词问题</groupName>
      <ability>L2_Typo</ability>
      <abilityName>字词错误</abilityName>
      <candidateList>
        <item>占用</item>
      </candidateList>
      <explain/>
      <paraID>6D66145A</paraID>
      <start>37</start>
      <end>38</end>
      <status>unmodified</status>
      <modifiedWord/>
      <trackRevisions>false</trackRevisions>
    </reviewItem>
    <reviewItem>
      <errorID>dd29aa72-df9a-4a90-991a-877a37235cd6</errorID>
      <errorWord>(</errorWord>
      <group>L1_Format</group>
      <groupName>格式问题</groupName>
      <ability>L2_HalfPunc</ability>
      <abilityName>全半角检查</abilityName>
      <candidateList>
        <item>（</item>
      </candidateList>
      <explain>文本全半角错误。</explain>
      <paraID>6D66145A</paraID>
      <start>107</start>
      <end>108</end>
      <status>unmodified</status>
      <modifiedWord/>
      <trackRevisions>false</trackRevisions>
    </reviewItem>
    <reviewItem>
      <errorID>0297e598-a25e-40ea-9128-a6613319b208</errorID>
      <errorWord>)</errorWord>
      <group>L1_Format</group>
      <groupName>格式问题</groupName>
      <ability>L2_HalfPunc</ability>
      <abilityName>全半角检查</abilityName>
      <candidateList>
        <item>）</item>
      </candidateList>
      <explain>文本全半角错误。</explain>
      <paraID>6D66145A</paraID>
      <start>114</start>
      <end>115</end>
      <status>unmodified</status>
      <modifiedWord/>
      <trackRevisions>false</trackRevisions>
    </reviewItem>
    <reviewItem>
      <errorID>aec441ad-bf35-4483-848a-adff3c4b55f1</errorID>
      <errorWord>,</errorWord>
      <group>L1_Format</group>
      <groupName>格式问题</groupName>
      <ability>L2_HalfPunc</ability>
      <abilityName>全半角检查</abilityName>
      <candidateList>
        <item>，</item>
      </candidateList>
      <explain>文本全半角错误。</explain>
      <paraID>1D425C5A</paraID>
      <start>40</start>
      <end>41</end>
      <status>unmodified</status>
      <modifiedWord/>
      <trackRevisions>false</trackRevisions>
    </reviewItem>
    <reviewItem>
      <errorID>2baaf8c7-ee00-4d91-90b9-c91784be47b9</errorID>
      <errorWord>,</errorWord>
      <group>L1_Format</group>
      <groupName>格式问题</groupName>
      <ability>L2_HalfPunc</ability>
      <abilityName>全半角检查</abilityName>
      <candidateList>
        <item>，</item>
      </candidateList>
      <explain>文本全半角错误。</explain>
      <paraID>1D425C5A</paraID>
      <start>48</start>
      <end>49</end>
      <status>unmodified</status>
      <modifiedWord/>
      <trackRevisions>false</trackRevisions>
    </reviewItem>
    <reviewItem>
      <errorID>745c5403-2c45-410d-9bf3-5e161b415482</errorID>
      <errorWord>,</errorWord>
      <group>L1_Format</group>
      <groupName>格式问题</groupName>
      <ability>L2_HalfPunc</ability>
      <abilityName>全半角检查</abilityName>
      <candidateList>
        <item>，</item>
      </candidateList>
      <explain>文本全半角错误。</explain>
      <paraID>3FE5C66B</paraID>
      <start>14</start>
      <end>15</end>
      <status>unmodified</status>
      <modifiedWord/>
      <trackRevisions>false</trackRevisions>
    </reviewItem>
    <reviewItem>
      <errorID>aca71d2f-58c4-4c23-939b-669e720d40df</errorID>
      <errorWord>（</errorWord>
      <group>L1_Punc</group>
      <groupName>标点问题</groupName>
      <ability>L2_Punc</ability>
      <abilityName>标点符号检查</abilityName>
      <candidateList/>
      <explain/>
      <paraID>25AABA57</paraID>
      <start>63</start>
      <end>64</end>
      <status>unmodified</status>
      <modifiedWord/>
      <trackRevisions>false</trackRevisions>
    </reviewItem>
    <reviewItem>
      <errorID>4684aaae-6335-470a-b9e5-edf11f9cb7dd</errorID>
      <errorWord>上线</errorWord>
      <group>L1_Word</group>
      <groupName>字词问题</groupName>
      <ability>L2_Typo</ability>
      <abilityName>字词错误</abilityName>
      <candidateList>
        <item>上限</item>
      </candidateList>
      <explain/>
      <paraID>5A7A841E</paraID>
      <start>123</start>
      <end>125</end>
      <status>unmodified</status>
      <modifiedWord/>
      <trackRevisions>false</trackRevisions>
    </reviewItem>
    <reviewItem>
      <errorID>ccd0d594-e316-4d14-8539-0b0717f00b52</errorID>
      <errorWord>监测和</errorWord>
      <group>L1_Word</group>
      <groupName>字词问题</groupName>
      <ability>L2_Typo</ability>
      <abilityName>字词错误</abilityName>
      <candidateList>
        <item>监测</item>
      </candidateList>
      <explain/>
      <paraID>43E3A0E5</paraID>
      <start>103</start>
      <end>106</end>
      <status>unmodified</status>
      <modifiedWord/>
      <trackRevisions>false</trackRevisions>
    </reviewItem>
    <reviewItem>
      <errorID>b4bb3d3b-5a91-4421-9dac-b8d761690453</errorID>
      <errorWord>&lt;</errorWord>
      <group>L1_Format</group>
      <groupName>格式问题</groupName>
      <ability>L2_HalfPunc</ability>
      <abilityName>全半角检查</abilityName>
      <candidateList>
        <item>〈</item>
      </candidateList>
      <explain>文本全半角错误。</explain>
      <paraID>794D9337</paraID>
      <start>25</start>
      <end>26</end>
      <status>unmodified</status>
      <modifiedWord/>
      <trackRevisions>false</trackRevisions>
    </reviewItem>
    <reviewItem>
      <errorID>992ef954-a894-4d9f-8a81-ba3c287613c9</errorID>
      <errorWord>&gt;</errorWord>
      <group>L1_Format</group>
      <groupName>格式问题</groupName>
      <ability>L2_HalfPunc</ability>
      <abilityName>全半角检查</abilityName>
      <candidateList>
        <item>〉</item>
      </candidateList>
      <explain>文本全半角错误。</explain>
      <paraID>794D9337</paraID>
      <start>59</start>
      <end>60</end>
      <status>unmodified</status>
      <modifiedWord/>
      <trackRevisions>false</trackRevisions>
    </reviewItem>
    <reviewItem>
      <errorID>92c32568-acd3-4ebd-b431-71d96e3e8064</errorID>
      <errorWord>“乌</errorWord>
      <group>L1_Word</group>
      <groupName>字词问题</groupName>
      <ability>L2_Typo</ability>
      <abilityName>字词错误</abilityName>
      <candidateList>
        <item>“</item>
      </candidateList>
      <explain/>
      <paraID>39FC8887</paraID>
      <start>43</start>
      <end>45</end>
      <status>unmodified</status>
      <modifiedWord/>
      <trackRevisions>false</trackRevisions>
    </reviewItem>
    <reviewItem>
      <errorID>6a91411b-0444-4d71-b072-cfe3066d6c15</errorID>
      <errorWord>上线</errorWord>
      <group>L1_Word</group>
      <groupName>字词问题</groupName>
      <ability>L2_Typo</ability>
      <abilityName>字词错误</abilityName>
      <candidateList>
        <item>上限</item>
      </candidateList>
      <explain/>
      <paraID>1AFA3AF7</paraID>
      <start>12</start>
      <end>14</end>
      <status>unmodified</status>
      <modifiedWord/>
      <trackRevisions>false</trackRevisions>
    </reviewItem>
    <reviewItem>
      <errorID>61e982aa-e682-41e8-8cbf-68de30754b86</errorID>
      <errorWord>.；</errorWord>
      <group>L1_Punc</group>
      <groupName>标点问题</groupName>
      <ability>L2_Punc</ability>
      <abilityName>标点符号检查</abilityName>
      <candidateList>
        <item>.</item>
      </candidateList>
      <explain/>
      <paraID>409F851B</paraID>
      <start>1</start>
      <end>3</end>
      <status>unmodified</status>
      <modifiedWord/>
      <trackRevisions>false</trackRevisions>
    </reviewItem>
    <reviewItem>
      <errorID>30f11438-cd58-4119-9078-45adc6ea46c5</errorID>
      <errorWord>“</errorWord>
      <group>L1_Punc</group>
      <groupName>标点问题</groupName>
      <ability>L2_Punc</ability>
      <abilityName>标点符号检查</abilityName>
      <candidateList/>
      <explain/>
      <paraID>4922E389</paraID>
      <start>26</start>
      <end>27</end>
      <status>unmodified</status>
      <modifiedWord/>
      <trackRevisions>false</trackRevisions>
    </reviewItem>
    <reviewItem>
      <errorID>db8c5b6f-9381-4290-83dd-3ced556cebd7</errorID>
      <errorWord>“</errorWord>
      <group>L1_Punc</group>
      <groupName>标点问题</groupName>
      <ability>L2_Punc</ability>
      <abilityName>标点符号检查</abilityName>
      <candidateList/>
      <explain/>
      <paraID>3B2FCE65</paraID>
      <start>6</start>
      <end>7</end>
      <status>unmodified</status>
      <modifiedWord/>
      <trackRevisions>false</trackRevisions>
    </reviewItem>
    <reviewItem>
      <errorID>76a6519f-4b21-4f6f-bd10-8401f4d8591a</errorID>
      <errorWord>大气污染处理</errorWord>
      <group>L1_Knowledge</group>
      <groupName>知识性问题</groupName>
      <ability>L2_Term</ability>
      <abilityName>专业术语</abilityName>
      <candidateList>
        <item>大气污染治理</item>
      </candidateList>
      <explain/>
      <paraID>3AEC29B0</paraID>
      <start>182</start>
      <end>188</end>
      <status>unmodified</status>
      <modifiedWord/>
      <trackRevisions>false</trackRevisions>
    </reviewItem>
    <reviewItem>
      <errorID>08fc5abc-85cd-4c58-8989-347437085e95</errorID>
      <errorWord>（</errorWord>
      <group>L1_Punc</group>
      <groupName>标点问题</groupName>
      <ability>L2_Punc</ability>
      <abilityName>标点符号检查</abilityName>
      <candidateList/>
      <explain>同一形式括号套用。</explain>
      <paraID>471647BE</paraID>
      <start>94</start>
      <end>95</end>
      <status>unmodified</status>
      <modifiedWord/>
      <trackRevisions>false</trackRevisions>
    </reviewItem>
    <reviewItem>
      <errorID>70f1ac79-9127-4b39-9f0a-03e63aa65c3a</errorID>
      <errorWord>）</errorWord>
      <group>L1_Punc</group>
      <groupName>标点问题</groupName>
      <ability>L2_Punc</ability>
      <abilityName>标点符号检查</abilityName>
      <candidateList/>
      <explain>同一形式括号套用。</explain>
      <paraID>471647BE</paraID>
      <start>96</start>
      <end>97</end>
      <status>unmodified</status>
      <modifiedWord/>
      <trackRevisions>false</trackRevisions>
    </reviewItem>
    <reviewItem>
      <errorID>f11d4fe6-5618-4fce-a87e-f5c39a80c4e8</errorID>
      <errorWord>（</errorWord>
      <group>L1_Punc</group>
      <groupName>标点问题</groupName>
      <ability>L2_Punc</ability>
      <abilityName>标点符号检查</abilityName>
      <candidateList/>
      <explain>同一形式括号套用。</explain>
      <paraID>471647BE</paraID>
      <start>100</start>
      <end>101</end>
      <status>unmodified</status>
      <modifiedWord/>
      <trackRevisions>false</trackRevisions>
    </reviewItem>
    <reviewItem>
      <errorID>2f87fc77-1c4f-406d-af67-862da43d164d</errorID>
      <errorWord>）</errorWord>
      <group>L1_Punc</group>
      <groupName>标点问题</groupName>
      <ability>L2_Punc</ability>
      <abilityName>标点符号检查</abilityName>
      <candidateList/>
      <explain>同一形式括号套用。</explain>
      <paraID>471647BE</paraID>
      <start>109</start>
      <end>110</end>
      <status>unmodified</status>
      <modifiedWord/>
      <trackRevisions>false</trackRevisions>
    </reviewItem>
    <reviewItem>
      <errorID>9208d954-d93b-4486-b075-a42b6c6c52e4</errorID>
      <errorWord>（</errorWord>
      <group>L1_Format</group>
      <groupName>格式问题</groupName>
      <ability>L2_HalfPunc</ability>
      <abilityName>全半角检查</abilityName>
      <candidateList>
        <item>(</item>
      </candidateList>
      <explain>文本全半角错误。</explain>
      <paraID>20B73683</paraID>
      <start>0</start>
      <end>1</end>
      <status>unmodified</status>
      <modifiedWord/>
      <trackRevisions>false</trackRevisions>
    </reviewItem>
    <reviewItem>
      <errorID>06293db3-577b-43e2-8f15-c99f3ae51ec5</errorID>
      <errorWord>）</errorWord>
      <group>L1_Format</group>
      <groupName>格式问题</groupName>
      <ability>L2_HalfPunc</ability>
      <abilityName>全半角检查</abilityName>
      <candidateList>
        <item>)</item>
      </candidateList>
      <explain>文本全半角错误。</explain>
      <paraID>20B73683</paraID>
      <start>15</start>
      <end>16</end>
      <status>unmodified</status>
      <modifiedWord/>
      <trackRevisions>false</trackRevisions>
    </reviewItem>
    <reviewItem>
      <errorID>c5537f8b-2a2a-4ff2-9c97-965e5848d656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4F61234F</paraID>
      <start>10</start>
      <end>11</end>
      <status>unmodified</status>
      <modifiedWord/>
      <trackRevisions>false</trackRevisions>
    </reviewItem>
    <reviewItem>
      <errorID>f9927560-d8e2-455e-ad41-47e342e91530</errorID>
      <errorWord>组份</errorWord>
      <group>L1_Word</group>
      <groupName>字词问题</groupName>
      <ability>L2_Variant</ability>
      <abilityName>异形词</abilityName>
      <candidateList>
        <item>组分</item>
      </candidateList>
      <explain>词汇[组份]的规范词形写作[组分]。</explain>
      <paraID>1507AC2A</paraID>
      <start>5</start>
      <end>7</end>
      <status>unmodified</status>
      <modifiedWord/>
      <trackRevisions>false</trackRevisions>
    </reviewItem>
    <reviewItem>
      <errorID>7ec5a956-1877-46e3-9fcf-b66f7578f9d6</errorID>
      <errorWord>组份</errorWord>
      <group>L1_Word</group>
      <groupName>字词问题</groupName>
      <ability>L2_Variant</ability>
      <abilityName>异形词</abilityName>
      <candidateList>
        <item>组分</item>
      </candidateList>
      <explain>词汇[组份]的规范词形写作[组分]。</explain>
      <paraID>16CACABE</paraID>
      <start>5</start>
      <end>7</end>
      <status>unmodified</status>
      <modifiedWord/>
      <trackRevisions>false</trackRevisions>
    </reviewItem>
    <reviewItem>
      <errorID>6b9bcedf-817a-4501-98a7-265b60226e90</errorID>
      <errorWord>组份</errorWord>
      <group>L1_Word</group>
      <groupName>字词问题</groupName>
      <ability>L2_Variant</ability>
      <abilityName>异形词</abilityName>
      <candidateList>
        <item>组分</item>
      </candidateList>
      <explain>词汇[组份]的规范词形写作[组分]。</explain>
      <paraID>60E1843E</paraID>
      <start>12</start>
      <end>14</end>
      <status>unmodified</status>
      <modifiedWord/>
      <trackRevisions>false</trackRevisions>
    </reviewItem>
    <reviewItem>
      <errorID>f7818a70-ecf8-4ed6-a44e-63086b02c087</errorID>
      <errorWord>组份</errorWord>
      <group>L1_Word</group>
      <groupName>字词问题</groupName>
      <ability>L2_Variant</ability>
      <abilityName>异形词</abilityName>
      <candidateList>
        <item>组分</item>
      </candidateList>
      <explain>词汇[组份]的规范词形写作[组分]。</explain>
      <paraID>3B826E3E</paraID>
      <start>12</start>
      <end>14</end>
      <status>unmodified</status>
      <modifiedWord/>
      <trackRevisions>false</trackRevisions>
    </reviewItem>
    <reviewItem>
      <errorID>0f7e2daf-6c58-4e53-88d9-a00ec4057012</errorID>
      <errorWord>(</errorWord>
      <group>L1_Format</group>
      <groupName>格式问题</groupName>
      <ability>L2_HalfPunc</ability>
      <abilityName>全半角检查</abilityName>
      <candidateList>
        <item>（</item>
      </candidateList>
      <explain>文本全半角错误。</explain>
      <paraID>3B826E3E</paraID>
      <start>58</start>
      <end>59</end>
      <status>unmodified</status>
      <modifiedWord/>
      <trackRevisions>false</trackRevisions>
    </reviewItem>
    <reviewItem>
      <errorID>79f2fd72-945f-4a8a-84ef-92bd5a275c18</errorID>
      <errorWord>组份</errorWord>
      <group>L1_Word</group>
      <groupName>字词问题</groupName>
      <ability>L2_Variant</ability>
      <abilityName>异形词</abilityName>
      <candidateList>
        <item>组分</item>
      </candidateList>
      <explain>词汇[组份]的规范词形写作[组分]。</explain>
      <paraID>7C2F0ED2</paraID>
      <start>11</start>
      <end>13</end>
      <status>unmodified</status>
      <modifiedWord/>
      <trackRevisions>false</trackRevisions>
    </reviewItem>
    <reviewItem>
      <errorID>4444303b-31c8-45f2-84a6-ccca873fc2fd</errorID>
      <errorWord>）</errorWord>
      <group>L1_Format</group>
      <groupName>格式问题</groupName>
      <ability>L2_HalfPunc</ability>
      <abilityName>全半角检查</abilityName>
      <candidateList>
        <item>)</item>
      </candidateList>
      <explain>文本全半角错误。</explain>
      <paraID> C03CBC8</paraID>
      <start>58</start>
      <end>59</end>
      <status>unmodified</status>
      <modifiedWord/>
      <trackRevisions>false</trackRevisions>
    </reviewItem>
    <reviewItem>
      <errorID>4baccd89-01df-413d-aa2a-95d3be049e25</errorID>
      <errorWord>组份</errorWord>
      <group>L1_Word</group>
      <groupName>字词问题</groupName>
      <ability>L2_Variant</ability>
      <abilityName>异形词</abilityName>
      <candidateList>
        <item>组分</item>
      </candidateList>
      <explain>词汇[组份]的规范词形写作[组分]。</explain>
      <paraID>173AD404</paraID>
      <start>24</start>
      <end>26</end>
      <status>unmodified</status>
      <modifiedWord/>
      <trackRevisions>false</trackRevisions>
    </reviewItem>
    <reviewItem>
      <errorID>926ad7af-9ad4-4250-971f-142100d205c7</errorID>
      <errorWord>办公用</errorWord>
      <group>L1_Word</group>
      <groupName>字词问题</groupName>
      <ability>L2_Typo</ability>
      <abilityName>字词错误</abilityName>
      <candidateList>
        <item>办公</item>
      </candidateList>
      <explain>〈动〉办理公务；处理公事：～会议｜星期天照常～。</explain>
      <paraID>25EC4558</paraID>
      <start>41</start>
      <end>44</end>
      <status>unmodified</status>
      <modifiedWord/>
      <trackRevisions>false</trackRevisions>
    </reviewItem>
    <reviewItem>
      <errorID>82ad705c-1aa1-44b5-8eda-56cc147c0ee2</errorID>
      <errorWord>组份</errorWord>
      <group>L1_Word</group>
      <groupName>字词问题</groupName>
      <ability>L2_Variant</ability>
      <abilityName>异形词</abilityName>
      <candidateList>
        <item>组分</item>
      </candidateList>
      <explain>词汇[组份]的规范词形写作[组分]。</explain>
      <paraID>27EEA719</paraID>
      <start>5</start>
      <end>7</end>
      <status>unmodified</status>
      <modifiedWord/>
      <trackRevisions>false</trackRevisions>
    </reviewItem>
    <reviewItem>
      <errorID>81958c4b-69ad-46bd-8ef4-6e738ca46855</errorID>
      <errorWord>组份</errorWord>
      <group>L1_Word</group>
      <groupName>字词问题</groupName>
      <ability>L2_Variant</ability>
      <abilityName>异形词</abilityName>
      <candidateList>
        <item>组分</item>
      </candidateList>
      <explain>词汇[组份]的规范词形写作[组分]。</explain>
      <paraID>3255742D</paraID>
      <start>5</start>
      <end>7</end>
      <status>unmodified</status>
      <modifiedWord/>
      <trackRevisions>false</trackRevisions>
    </reviewItem>
    <reviewItem>
      <errorID>e863bd58-2c95-4852-bb44-d8cae67d8cdc</errorID>
      <errorWord>“</errorWord>
      <group>L1_Punc</group>
      <groupName>标点问题</groupName>
      <ability>L2_Punc</ability>
      <abilityName>标点符号检查</abilityName>
      <candidateList/>
      <explain/>
      <paraID>7548907E</paraID>
      <start>71</start>
      <end>72</end>
      <status>unmodified</status>
      <modifiedWord/>
      <trackRevisions>false</trackRevisions>
    </reviewItem>
    <reviewItem>
      <errorID>d29beed5-da30-412c-9ce8-f33591531474</errorID>
      <errorWord>“</errorWord>
      <group>L1_Punc</group>
      <groupName>标点问题</groupName>
      <ability>L2_Punc</ability>
      <abilityName>标点符号检查</abilityName>
      <candidateList/>
      <explain/>
      <paraID>7548907E</paraID>
      <start>99</start>
      <end>100</end>
      <status>unmodified</status>
      <modifiedWord/>
      <trackRevisions>false</trackRevisions>
    </reviewItem>
    <reviewItem>
      <errorID>301a3ff4-5b2d-4b2a-9ece-24cd35d7cbbb</errorID>
      <errorWord>《</errorWord>
      <group>L1_Punc</group>
      <groupName>标点问题</groupName>
      <ability>L2_Punc</ability>
      <abilityName>标点符号检查</abilityName>
      <candidateList/>
      <explain/>
      <paraID>11CBE25F</paraID>
      <start>24</start>
      <end>25</end>
      <status>unmodified</status>
      <modifiedWord/>
      <trackRevisions>false</trackRevisions>
    </reviewItem>
    <reviewItem>
      <errorID>ac7cbc92-0cb1-439f-8c88-7a515b6b6081</errorID>
      <errorWord>》</errorWord>
      <group>L1_Punc</group>
      <groupName>标点问题</groupName>
      <ability>L2_Punc</ability>
      <abilityName>标点符号检查</abilityName>
      <candidateList/>
      <explain/>
      <paraID>7E2CFB5B</paraID>
      <start>14</start>
      <end>15</end>
      <status>unmodified</status>
      <modifiedWord/>
      <trackRevisions>false</trackRevisions>
    </reviewItem>
    <reviewItem>
      <errorID>b5d9a388-bb34-43ce-ab63-642fdfe3ca1a</errorID>
      <errorWord>洒</errorWord>
      <group>L1_Word</group>
      <groupName>字词问题</groupName>
      <ability>L2_Typo</ability>
      <abilityName>字词错误</abilityName>
      <candidateList>
        <item>撒</item>
      </candidateList>
      <explain>存在发音相同字词的误用。</explain>
      <paraID> A31E6C2</paraID>
      <start>26</start>
      <end>27</end>
      <status>unmodified</status>
      <modifiedWord/>
      <trackRevisions>false</trackRevisions>
    </reviewItem>
    <reviewItem>
      <errorID>5ee6ff9b-9cc6-4b74-98f8-cf673f2563fe</errorID>
      <errorWord>漏撒</errorWord>
      <group>L1_Word</group>
      <groupName>字词问题</groupName>
      <ability>L2_Typo</ability>
      <abilityName>字词错误</abilityName>
      <candidateList>
        <item>抛撒</item>
      </candidateList>
      <explain/>
      <paraID>3D590FCE</paraID>
      <start>32</start>
      <end>34</end>
      <status>unmodified</status>
      <modifiedWord/>
      <trackRevisions>false</trackRevisions>
    </reviewItem>
    <reviewItem>
      <errorID>93043764-2e93-4c15-97d1-2a978fa1869c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748AEE47</paraID>
      <start>292</start>
      <end>293</end>
      <status>unmodified</status>
      <modifiedWord/>
      <trackRevisions>false</trackRevisions>
    </reviewItem>
    <reviewItem>
      <errorID>6cbb4486-adb9-4741-9ffd-cbb5e3596ecd</errorID>
      <errorWord>其它</errorWord>
      <group>L1_Word</group>
      <groupName>字词问题</groupName>
      <ability>L2_Alias</ability>
      <abilityName>也作/曾用词</abilityName>
      <candidateList>
        <item>其他</item>
      </candidateList>
      <explain>词汇[其它]为不规范表述或旧称，其规范书面表述为[其他]。</explain>
      <paraID>6213B842</paraID>
      <start>40</start>
      <end>42</end>
      <status>unmodified</status>
      <modifiedWord/>
      <trackRevisions>false</trackRevisions>
    </reviewItem>
    <reviewItem>
      <errorID>4c3fd614-b250-46f6-b43b-59b284d308f6</errorID>
      <errorWord>组份</errorWord>
      <group>L1_Word</group>
      <groupName>字词问题</groupName>
      <ability>L2_Variant</ability>
      <abilityName>异形词</abilityName>
      <candidateList>
        <item>组分</item>
      </candidateList>
      <explain>词汇[组份]的规范词形写作[组分]。</explain>
      <paraID>11D050D8</paraID>
      <start>42</start>
      <end>44</end>
      <status>unmodified</status>
      <modifiedWord/>
      <trackRevisions>false</trackRevisions>
    </reviewItem>
    <reviewItem>
      <errorID>da8b6499-9656-44ef-82a5-8a599ae11018</errorID>
      <errorWord>（</errorWord>
      <group>L1_Punc</group>
      <groupName>标点问题</groupName>
      <ability>L2_Punc</ability>
      <abilityName>标点符号检查</abilityName>
      <candidateList/>
      <explain>同一形式括号套用。</explain>
      <paraID>11D050D8</paraID>
      <start>45</start>
      <end>46</end>
      <status>unmodified</status>
      <modifiedWord/>
      <trackRevisions>false</trackRevisions>
    </reviewItem>
    <reviewItem>
      <errorID>e7d4ae80-8426-4397-bdee-cca4807689cf</errorID>
      <errorWord>）</errorWord>
      <group>L1_Punc</group>
      <groupName>标点问题</groupName>
      <ability>L2_Punc</ability>
      <abilityName>标点符号检查</abilityName>
      <candidateList/>
      <explain>同一形式括号套用。</explain>
      <paraID>11D050D8</paraID>
      <start>48</start>
      <end>49</end>
      <status>unmodified</status>
      <modifiedWord/>
      <trackRevisions>false</trackRevisions>
    </reviewItem>
    <reviewItem>
      <errorID>67b1faa9-da2b-475e-863d-144d5314eb3e</errorID>
      <errorWord>组份</errorWord>
      <group>L1_Word</group>
      <groupName>字词问题</groupName>
      <ability>L2_Variant</ability>
      <abilityName>异形词</abilityName>
      <candidateList>
        <item>组分</item>
      </candidateList>
      <explain>词汇[组份]的规范词形写作[组分]。</explain>
      <paraID>11D050D8</paraID>
      <start>68</start>
      <end>70</end>
      <status>unmodified</status>
      <modifiedWord/>
      <trackRevisions>false</trackRevisions>
    </reviewItem>
    <reviewItem>
      <errorID>6253f564-b489-47a9-8742-2d42b56c68a3</errorID>
      <errorWord>（</errorWord>
      <group>L1_Punc</group>
      <groupName>标点问题</groupName>
      <ability>L2_Punc</ability>
      <abilityName>标点符号检查</abilityName>
      <candidateList/>
      <explain>同一形式括号套用。</explain>
      <paraID>11D050D8</paraID>
      <start>71</start>
      <end>72</end>
      <status>unmodified</status>
      <modifiedWord/>
      <trackRevisions>false</trackRevisions>
    </reviewItem>
    <reviewItem>
      <errorID>9f63b24a-5dfa-4deb-8098-f7ac1cb847d0</errorID>
      <errorWord>）</errorWord>
      <group>L1_Punc</group>
      <groupName>标点问题</groupName>
      <ability>L2_Punc</ability>
      <abilityName>标点符号检查</abilityName>
      <candidateList/>
      <explain>同一形式括号套用。</explain>
      <paraID>11D050D8</paraID>
      <start>75</start>
      <end>76</end>
      <status>unmodified</status>
      <modifiedWord/>
      <trackRevisions>false</trackRevisions>
    </reviewItem>
    <reviewItem>
      <errorID>e8fc6a3e-dfa1-445e-bca2-2dbb3b37fbec</errorID>
      <errorWord>II</errorWord>
      <group>L1_Knowledge</group>
      <groupName>知识性问题</groupName>
      <ability>L2_Knowledge</ability>
      <abilityName>其他知识</abilityName>
      <candidateList>
        <item>Ⅱ</item>
      </candidateList>
      <explain/>
      <paraID>4755ED6C</paraID>
      <start>21</start>
      <end>23</end>
      <status>unmodified</status>
      <modifiedWord/>
      <trackRevisions>false</trackRevisions>
    </reviewItem>
    <reviewItem>
      <errorID>2605db44-1348-4cbe-8e34-038c702d0484</errorID>
      <errorWord>组份</errorWord>
      <group>L1_Word</group>
      <groupName>字词问题</groupName>
      <ability>L2_Variant</ability>
      <abilityName>异形词</abilityName>
      <candidateList>
        <item>组分</item>
      </candidateList>
      <explain>词汇[组份]的规范词形写作[组分]。</explain>
      <paraID>4755ED6C</paraID>
      <start>23</start>
      <end>25</end>
      <status>unmodified</status>
      <modifiedWord/>
      <trackRevisions>false</trackRevisions>
    </reviewItem>
    <reviewItem>
      <errorID>0a3235e7-292d-4081-829c-934a2cf2e5be</errorID>
      <errorWord>II</errorWord>
      <group>L1_Knowledge</group>
      <groupName>知识性问题</groupName>
      <ability>L2_Knowledge</ability>
      <abilityName>其他知识</abilityName>
      <candidateList>
        <item>Ⅱ</item>
      </candidateList>
      <explain/>
      <paraID>7C7B224E</paraID>
      <start>11</start>
      <end>13</end>
      <status>unmodified</status>
      <modifiedWord/>
      <trackRevisions>false</trackRevisions>
    </reviewItem>
    <reviewItem>
      <errorID>25b16a78-b543-468e-b497-562afb1e9308</errorID>
      <errorWord>组份</errorWord>
      <group>L1_Word</group>
      <groupName>字词问题</groupName>
      <ability>L2_Variant</ability>
      <abilityName>异形词</abilityName>
      <candidateList>
        <item>组分</item>
      </candidateList>
      <explain>词汇[组份]的规范词形写作[组分]。</explain>
      <paraID>7C7B224E</paraID>
      <start>13</start>
      <end>15</end>
      <status>unmodified</status>
      <modifiedWord/>
      <trackRevisions>false</trackRevisions>
    </reviewItem>
    <reviewItem>
      <errorID>2e12f2c9-2dd1-455d-8f35-a59bbfdd5c43</errorID>
      <errorWord>II</errorWord>
      <group>L1_Knowledge</group>
      <groupName>知识性问题</groupName>
      <ability>L2_Knowledge</ability>
      <abilityName>其他知识</abilityName>
      <candidateList>
        <item>Ⅱ</item>
      </candidateList>
      <explain/>
      <paraID> 26B0E2F</paraID>
      <start>35</start>
      <end>37</end>
      <status>unmodified</status>
      <modifiedWord/>
      <trackRevisions>false</trackRevisions>
    </reviewItem>
    <reviewItem>
      <errorID>deb3dfc2-6f4e-4154-8eca-46f31b7c2630</errorID>
      <errorWord>计</errorWord>
      <group>L1_Word</group>
      <groupName>字词问题</groupName>
      <ability>L2_Typo</ability>
      <abilityName>字词错误</abilityName>
      <candidateList>
        <item>计算</item>
      </candidateList>
      <explain/>
      <paraID>73395261</paraID>
      <start>89</start>
      <end>90</end>
      <status>unmodified</status>
      <modifiedWord/>
      <trackRevisions>false</trackRevisions>
    </reviewItem>
    <reviewItem>
      <errorID>9f059a65-a35b-467a-9f0f-421abf22f9c4</errorID>
      <errorWord>计</errorWord>
      <group>L1_Word</group>
      <groupName>字词问题</groupName>
      <ability>L2_Typo</ability>
      <abilityName>字词错误</abilityName>
      <candidateList>
        <item>计算</item>
      </candidateList>
      <explain/>
      <paraID>30B46790</paraID>
      <start>131</start>
      <end>132</end>
      <status>unmodified</status>
      <modifiedWord/>
      <trackRevisions>false</trackRevisions>
    </reviewItem>
    <reviewItem>
      <errorID>718369af-89e0-4f5a-9429-566d307ce8cf</errorID>
      <errorWord>的颗粒物</errorWord>
      <group>L1_Knowledge</group>
      <groupName>知识性问题</groupName>
      <ability>L2_Term</ability>
      <abilityName>专业术语</abilityName>
      <candidateList>
        <item>细颗粒物</item>
      </candidateList>
      <explain/>
      <paraID>1B923366</paraID>
      <start>49</start>
      <end>53</end>
      <status>unmodified</status>
      <modifiedWord/>
      <trackRevisions>false</trackRevisions>
    </reviewItem>
    <reviewItem>
      <errorID>68421b70-9a05-40a6-b188-0807fd242c1a</errorID>
      <errorWord>漆物</errorWord>
      <group>L1_Word</group>
      <groupName>字词问题</groupName>
      <ability>L2_Typo</ability>
      <abilityName>字词错误</abilityName>
      <candidateList>
        <item>漆污</item>
      </candidateList>
      <explain/>
      <paraID>7E8FA941</paraID>
      <start>16</start>
      <end>18</end>
      <status>unmodified</status>
      <modifiedWord/>
      <trackRevisions>false</trackRevisions>
    </reviewItem>
    <reviewItem>
      <errorID>f93578fc-2e56-4fc2-8be0-c1489c6c2fdb</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265CE705</paraID>
      <start>57</start>
      <end>58</end>
      <status>unmodified</status>
      <modifiedWord/>
      <trackRevisions>false</trackRevisions>
    </reviewItem>
    <reviewItem>
      <errorID>d2f35abe-d9fc-44db-9ea5-ec718ff34901</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265CE705</paraID>
      <start>60</start>
      <end>61</end>
      <status>unmodified</status>
      <modifiedWord/>
      <trackRevisions>false</trackRevisions>
    </reviewItem>
    <reviewItem>
      <errorID>bf26c65f-e391-4238-a08c-2ab007ba137f</errorID>
      <errorWord>(</errorWord>
      <group>L1_Format</group>
      <groupName>格式问题</groupName>
      <ability>L2_HalfPunc</ability>
      <abilityName>全半角检查</abilityName>
      <candidateList>
        <item>（</item>
      </candidateList>
      <explain>文本全半角错误。</explain>
      <paraID> C92E34C</paraID>
      <start>2</start>
      <end>3</end>
      <status>unmodified</status>
      <modifiedWord/>
      <trackRevisions>false</trackRevisions>
    </reviewItem>
    <reviewItem>
      <errorID>930d6fb5-4022-442f-8c69-fcd3f4b49dc3</errorID>
      <errorWord>)</errorWord>
      <group>L1_Format</group>
      <groupName>格式问题</groupName>
      <ability>L2_HalfPunc</ability>
      <abilityName>全半角检查</abilityName>
      <candidateList>
        <item>）</item>
      </candidateList>
      <explain>文本全半角错误。</explain>
      <paraID> C92E34C</paraID>
      <start>4</start>
      <end>5</end>
      <status>unmodified</status>
      <modifiedWord/>
      <trackRevisions>false</trackRevisions>
    </reviewItem>
    <reviewItem>
      <errorID>63fcce56-fdf9-4c7e-9df9-29155bb8cb44</errorID>
      <errorWord>(</errorWord>
      <group>L1_Format</group>
      <groupName>格式问题</groupName>
      <ability>L2_HalfPunc</ability>
      <abilityName>全半角检查</abilityName>
      <candidateList>
        <item>（</item>
      </candidateList>
      <explain>文本全半角错误。</explain>
      <paraID>14AB8B99</paraID>
      <start>1</start>
      <end>2</end>
      <status>unmodified</status>
      <modifiedWord/>
      <trackRevisions>false</trackRevisions>
    </reviewItem>
    <reviewItem>
      <errorID>c0666157-c533-4b55-b719-a3bee6e828a5</errorID>
      <errorWord>)</errorWord>
      <group>L1_Format</group>
      <groupName>格式问题</groupName>
      <ability>L2_HalfPunc</ability>
      <abilityName>全半角检查</abilityName>
      <candidateList>
        <item>）</item>
      </candidateList>
      <explain>文本全半角错误。</explain>
      <paraID>14AB8B99</paraID>
      <start>13</start>
      <end>14</end>
      <status>unmodified</status>
      <modifiedWord/>
      <trackRevisions>false</trackRevisions>
    </reviewItem>
    <reviewItem>
      <errorID>07212bfd-90e1-416f-a838-5b1c0743cbdb</errorID>
      <errorWord>最少</errorWord>
      <group>L1_Word</group>
      <groupName>字词问题</groupName>
      <ability>L2_Typo</ability>
      <abilityName>字词错误</abilityName>
      <candidateList>
        <item>最小</item>
      </candidateList>
      <explain>存在字形相近字词的误用。</explain>
      <paraID>301FE29D</paraID>
      <start>78</start>
      <end>80</end>
      <status>unmodified</status>
      <modifiedWord/>
      <trackRevisions>false</trackRevisions>
    </reviewItem>
    <reviewItem>
      <errorID>feb81437-7898-4ee3-a36a-80554ffafe28</errorID>
      <errorWord>便</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 A7EEB6D</paraID>
      <start>67</start>
      <end>68</end>
      <status>unmodified</status>
      <modifiedWord/>
      <trackRevisions>false</trackRevisions>
    </reviewItem>
    <reviewItem>
      <errorID>057da4be-b451-407d-9d74-c29b122389d0</errorID>
      <errorWord>海拔高度</errorWord>
      <group>L1_Word</group>
      <groupName>字词问题</groupName>
      <ability>L2_Typo</ability>
      <abilityName>字词错误</abilityName>
      <candidateList>
        <item>海拔</item>
      </candidateList>
      <explain>〈名〉从平均海平面起算的高度。</explain>
      <paraID>72644B72</paraID>
      <start>0</start>
      <end>4</end>
      <status>unmodified</status>
      <modifiedWord/>
      <trackRevisions>false</trackRevisions>
    </reviewItem>
    <reviewItem>
      <errorID>c7c41847-743b-4280-8ea4-f72288c401cf</errorID>
      <errorWord>（</errorWord>
      <group>L1_Format</group>
      <groupName>格式问题</groupName>
      <ability>L2_HalfPunc</ability>
      <abilityName>全半角检查</abilityName>
      <candidateList>
        <item>(</item>
      </candidateList>
      <explain>文本全半角错误。</explain>
      <paraID>47F2B0A7</paraID>
      <start>4</start>
      <end>5</end>
      <status>unmodified</status>
      <modifiedWord/>
      <trackRevisions>false</trackRevisions>
    </reviewItem>
    <reviewItem>
      <errorID>19c0a03c-b572-4856-b21c-0479a5f986d2</errorID>
      <errorWord>）</errorWord>
      <group>L1_Format</group>
      <groupName>格式问题</groupName>
      <ability>L2_HalfPunc</ability>
      <abilityName>全半角检查</abilityName>
      <candidateList>
        <item>)</item>
      </candidateList>
      <explain>文本全半角错误。</explain>
      <paraID>47F2B0A7</paraID>
      <start>10</start>
      <end>11</end>
      <status>unmodified</status>
      <modifiedWord/>
      <trackRevisions>false</trackRevisions>
    </reviewItem>
    <reviewItem>
      <errorID>178b4285-f8c3-4be8-a590-75f1a8e3aad9</errorID>
      <errorWord>,</errorWord>
      <group>L1_Format</group>
      <groupName>格式问题</groupName>
      <ability>L2_HalfPunc</ability>
      <abilityName>全半角检查</abilityName>
      <candidateList>
        <item>，</item>
      </candidateList>
      <explain>文本全半角错误。</explain>
      <paraID> C95C728</paraID>
      <start>25</start>
      <end>26</end>
      <status>unmodified</status>
      <modifiedWord/>
      <trackRevisions>false</trackRevisions>
    </reviewItem>
    <reviewItem>
      <errorID>3b4a76cf-14de-4622-bd68-b97fd3fb69c7</errorID>
      <errorWord>"</errorWord>
      <group>L1_Format</group>
      <groupName>格式问题</groupName>
      <ability>L2_HalfPunc</ability>
      <abilityName>全半角检查</abilityName>
      <candidateList/>
      <explain>文本全半角错误。</explain>
      <paraID> C95C728</paraID>
      <start>43</start>
      <end>44</end>
      <status>unmodified</status>
      <modifiedWord/>
      <trackRevisions>false</trackRevisions>
    </reviewItem>
    <reviewItem>
      <errorID>f09a4035-e29f-4bb1-b328-7f6aaea0c35a</errorID>
      <errorWord>"</errorWord>
      <group>L1_Format</group>
      <groupName>格式问题</groupName>
      <ability>L2_HalfPunc</ability>
      <abilityName>全半角检查</abilityName>
      <candidateList>
        <item>”</item>
      </candidateList>
      <explain>文本全半角错误。</explain>
      <paraID> C95C728</paraID>
      <start>54</start>
      <end>55</end>
      <status>unmodified</status>
      <modifiedWord/>
      <trackRevisions>false</trackRevisions>
    </reviewItem>
    <reviewItem>
      <errorID>54c82dfa-2d4b-452b-9cf2-c1c908c86379</errorID>
      <errorWord>(</errorWord>
      <group>L1_Format</group>
      <groupName>格式问题</groupName>
      <ability>L2_HalfPunc</ability>
      <abilityName>全半角检查</abilityName>
      <candidateList>
        <item>（</item>
      </candidateList>
      <explain>文本全半角错误。</explain>
      <paraID> C95C728</paraID>
      <start>113</start>
      <end>114</end>
      <status>unmodified</status>
      <modifiedWord/>
      <trackRevisions>false</trackRevisions>
    </reviewItem>
    <reviewItem>
      <errorID>1871186a-cf15-4b22-a228-9296f22c6af9</errorID>
      <errorWord>)</errorWord>
      <group>L1_Format</group>
      <groupName>格式问题</groupName>
      <ability>L2_HalfPunc</ability>
      <abilityName>全半角检查</abilityName>
      <candidateList>
        <item>）</item>
      </candidateList>
      <explain>文本全半角错误。</explain>
      <paraID> C95C728</paraID>
      <start>126</start>
      <end>127</end>
      <status>unmodified</status>
      <modifiedWord/>
      <trackRevisions>false</trackRevisions>
    </reviewItem>
    <reviewItem>
      <errorID>4387c866-b998-4cbc-827e-582c0d30e515</errorID>
      <errorWord>（</errorWord>
      <group>L1_Punc</group>
      <groupName>标点问题</groupName>
      <ability>L2_Punc</ability>
      <abilityName>标点符号检查</abilityName>
      <candidateList/>
      <explain>同一形式括号套用。</explain>
      <paraID>42BEEC1B</paraID>
      <start>134</start>
      <end>135</end>
      <status>unmodified</status>
      <modifiedWord/>
      <trackRevisions>false</trackRevisions>
    </reviewItem>
    <reviewItem>
      <errorID>5bfe8c67-02c8-4c37-81af-b100d8966b1e</errorID>
      <errorWord>）</errorWord>
      <group>L1_Punc</group>
      <groupName>标点问题</groupName>
      <ability>L2_Punc</ability>
      <abilityName>标点符号检查</abilityName>
      <candidateList/>
      <explain>同一形式括号套用。</explain>
      <paraID>42BEEC1B</paraID>
      <start>136</start>
      <end>137</end>
      <status>unmodified</status>
      <modifiedWord/>
      <trackRevisions>false</trackRevisions>
    </reviewItem>
    <reviewItem>
      <errorID>c8cd3299-ddd3-411d-912c-0e594099efe4</errorID>
      <errorWord>（</errorWord>
      <group>L1_Punc</group>
      <groupName>标点问题</groupName>
      <ability>L2_Punc</ability>
      <abilityName>标点符号检查</abilityName>
      <candidateList/>
      <explain>同一形式括号套用。</explain>
      <paraID>42BEEC1B</paraID>
      <start>145</start>
      <end>146</end>
      <status>unmodified</status>
      <modifiedWord/>
      <trackRevisions>false</trackRevisions>
    </reviewItem>
    <reviewItem>
      <errorID>83356d78-8ae6-4ef4-ae75-a00958c6baed</errorID>
      <errorWord>）</errorWord>
      <group>L1_Punc</group>
      <groupName>标点问题</groupName>
      <ability>L2_Punc</ability>
      <abilityName>标点符号检查</abilityName>
      <candidateList/>
      <explain>同一形式括号套用。</explain>
      <paraID>42BEEC1B</paraID>
      <start>147</start>
      <end>148</end>
      <status>unmodified</status>
      <modifiedWord/>
      <trackRevisions>false</trackRevisions>
    </reviewItem>
    <reviewItem>
      <errorID>663887c6-9052-45e7-9512-52fabf8da455</errorID>
      <errorWord>做为</errorWord>
      <group>L1_Word</group>
      <groupName>字词问题</groupName>
      <ability>L2_Typo</ability>
      <abilityName>字词错误</abilityName>
      <candidateList>
        <item>作为</item>
      </candidateList>
      <explain>存在发音相同字词的误用。</explain>
      <paraID> FBD5262</paraID>
      <start>49</start>
      <end>51</end>
      <status>unmodified</status>
      <modifiedWord/>
      <trackRevisions>false</trackRevisions>
    </reviewItem>
    <reviewItem>
      <errorID>8b123ea7-3963-4298-9d8c-a80c7f0f67ee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FBD5262</paraID>
      <start>171</start>
      <end>172</end>
      <status>unmodified</status>
      <modifiedWord/>
      <trackRevisions>false</trackRevisions>
    </reviewItem>
    <reviewItem>
      <errorID>25885dbf-3eaa-4510-a342-a5fb38fc3655</errorID>
      <errorWord>组份</errorWord>
      <group>L1_Word</group>
      <groupName>字词问题</groupName>
      <ability>L2_Variant</ability>
      <abilityName>异形词</abilityName>
      <candidateList>
        <item>组分</item>
      </candidateList>
      <explain>词汇[组份]的规范词形写作[组分]。</explain>
      <paraID>1CD83AD5</paraID>
      <start>61</start>
      <end>63</end>
      <status>unmodified</status>
      <modifiedWord/>
      <trackRevisions>false</trackRevisions>
    </reviewItem>
    <reviewItem>
      <errorID>087423bd-0633-40f2-a6ed-693399a7b0ae</errorID>
      <errorWord>（</errorWord>
      <group>L1_Punc</group>
      <groupName>标点问题</groupName>
      <ability>L2_Punc</ability>
      <abilityName>标点符号检查</abilityName>
      <candidateList/>
      <explain>同一形式括号套用。</explain>
      <paraID>1CD83AD5</paraID>
      <start>64</start>
      <end>65</end>
      <status>unmodified</status>
      <modifiedWord/>
      <trackRevisions>false</trackRevisions>
    </reviewItem>
    <reviewItem>
      <errorID>133ed7fd-656d-4230-aa35-38e28dfc8e0b</errorID>
      <errorWord>）</errorWord>
      <group>L1_Punc</group>
      <groupName>标点问题</groupName>
      <ability>L2_Punc</ability>
      <abilityName>标点符号检查</abilityName>
      <candidateList/>
      <explain>同一形式括号套用。</explain>
      <paraID>1CD83AD5</paraID>
      <start>67</start>
      <end>68</end>
      <status>unmodified</status>
      <modifiedWord/>
      <trackRevisions>false</trackRevisions>
    </reviewItem>
    <reviewItem>
      <errorID>95bd5a99-2d81-432e-99ba-e6e49d9d5e23</errorID>
      <errorWord>组份</errorWord>
      <group>L1_Word</group>
      <groupName>字词问题</groupName>
      <ability>L2_Variant</ability>
      <abilityName>异形词</abilityName>
      <candidateList>
        <item>组分</item>
      </candidateList>
      <explain>词汇[组份]的规范词形写作[组分]。</explain>
      <paraID>1CD83AD5</paraID>
      <start>87</start>
      <end>89</end>
      <status>unmodified</status>
      <modifiedWord/>
      <trackRevisions>false</trackRevisions>
    </reviewItem>
    <reviewItem>
      <errorID>a578155a-8bec-4d94-95f6-d124b1d9ea5b</errorID>
      <errorWord>（</errorWord>
      <group>L1_Punc</group>
      <groupName>标点问题</groupName>
      <ability>L2_Punc</ability>
      <abilityName>标点符号检查</abilityName>
      <candidateList/>
      <explain>同一形式括号套用。</explain>
      <paraID>1CD83AD5</paraID>
      <start>90</start>
      <end>91</end>
      <status>unmodified</status>
      <modifiedWord/>
      <trackRevisions>false</trackRevisions>
    </reviewItem>
    <reviewItem>
      <errorID>30311c34-d879-4b85-9856-ebbeec3a34ab</errorID>
      <errorWord>）</errorWord>
      <group>L1_Punc</group>
      <groupName>标点问题</groupName>
      <ability>L2_Punc</ability>
      <abilityName>标点符号检查</abilityName>
      <candidateList/>
      <explain>同一形式括号套用。</explain>
      <paraID>1CD83AD5</paraID>
      <start>94</start>
      <end>95</end>
      <status>unmodified</status>
      <modifiedWord/>
      <trackRevisions>false</trackRevisions>
    </reviewItem>
    <reviewItem>
      <errorID>ec5a9264-cc3f-4054-8379-7ba53fe96750</errorID>
      <errorWord>组份</errorWord>
      <group>L1_Word</group>
      <groupName>字词问题</groupName>
      <ability>L2_Variant</ability>
      <abilityName>异形词</abilityName>
      <candidateList>
        <item>组分</item>
      </candidateList>
      <explain>词汇[组份]的规范词形写作[组分]。</explain>
      <paraID>1CD83AD5</paraID>
      <start>160</start>
      <end>162</end>
      <status>unmodified</status>
      <modifiedWord/>
      <trackRevisions>false</trackRevisions>
    </reviewItem>
    <reviewItem>
      <errorID>5da1218a-a0fc-4281-9cf4-089c5a4c7345</errorID>
      <errorWord>最少</errorWord>
      <group>L1_Word</group>
      <groupName>字词问题</groupName>
      <ability>L2_Typo</ability>
      <abilityName>字词错误</abilityName>
      <candidateList>
        <item>最小</item>
      </candidateList>
      <explain>存在字形相近字词的误用。</explain>
      <paraID> 5EEC0BE</paraID>
      <start>129</start>
      <end>131</end>
      <status>unmodified</status>
      <modifiedWord/>
      <trackRevisions>false</trackRevisions>
    </reviewItem>
    <reviewItem>
      <errorID>4424f750-4a37-4d3f-a8f8-b842c4482d5d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3C50B152</paraID>
      <start>125</start>
      <end>126</end>
      <status>unmodified</status>
      <modifiedWord/>
      <trackRevisions>false</trackRevisions>
    </reviewItem>
    <reviewItem>
      <errorID>8fc3b636-07b3-4eee-aa14-3ae8c9373abb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3C50B152</paraID>
      <start>164</start>
      <end>165</end>
      <status>unmodified</status>
      <modifiedWord/>
      <trackRevisions>false</trackRevisions>
    </reviewItem>
    <reviewItem>
      <errorID>3d057437-a0e0-46b4-995d-927a2cb4e385</errorID>
      <errorWord>设施都</errorWord>
      <group>L1_Word</group>
      <groupName>字词问题</groupName>
      <ability>L2_Typo</ability>
      <abilityName>字词错误</abilityName>
      <candidateList>
        <item>设施</item>
      </candidateList>
      <explain/>
      <paraID>486D1DE6</paraID>
      <start>7</start>
      <end>10</end>
      <status>unmodified</status>
      <modifiedWord/>
      <trackRevisions>false</trackRevisions>
    </reviewItem>
    <reviewItem>
      <errorID>f215d92a-79dc-46a0-add9-88c36b55c2d2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318CF216</paraID>
      <start>161</start>
      <end>162</end>
      <status>unmodified</status>
      <modifiedWord/>
      <trackRevisions>false</trackRevisions>
    </reviewItem>
    <reviewItem>
      <errorID>326bd973-e8d0-45d3-8cd9-1fc037edaaa6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318CF216</paraID>
      <start>200</start>
      <end>201</end>
      <status>unmodified</status>
      <modifiedWord/>
      <trackRevisions>false</trackRevisions>
    </reviewItem>
    <reviewItem>
      <errorID>72cb9364-e3e0-4f05-ac8f-0b355b9d758b</errorID>
      <errorWord>：/</errorWord>
      <group>L1_Punc</group>
      <groupName>标点问题</groupName>
      <ability>L2_Punc</ability>
      <abilityName>标点符号检查</abilityName>
      <candidateList>
        <item>：</item>
      </candidateList>
      <explain/>
      <paraID>12368F8A</paraID>
      <start>3</start>
      <end>5</end>
      <status>unmodified</status>
      <modifiedWord/>
      <trackRevisions>false</trackRevisions>
    </reviewItem>
    <reviewItem>
      <errorID>4b2bd67d-dbd4-42bc-baf9-ee96995d67a3</errorID>
      <errorWord>粘稠</errorWord>
      <group>L1_Word</group>
      <groupName>字词问题</groupName>
      <ability>L2_Typo</ability>
      <abilityName>字词错误</abilityName>
      <candidateList>
        <item>黏稠</item>
      </candidateList>
      <explain>存在发音相同字词的误用。</explain>
      <paraID>6C11E07F</paraID>
      <start>3</start>
      <end>5</end>
      <status>unmodified</status>
      <modifiedWord/>
      <trackRevisions>false</trackRevisions>
    </reviewItem>
    <reviewItem>
      <errorID>b1c7b4b3-8be9-4cb0-9b6a-6b812d338c92</errorID>
      <errorWord>综合症</errorWord>
      <group>L1_Word</group>
      <groupName>字词问题</groupName>
      <ability>L2_Typo</ability>
      <abilityName>字词错误</abilityName>
      <candidateList>
        <item>综合征</item>
      </candidateList>
      <explain/>
      <paraID>1021B63B</paraID>
      <start>62</start>
      <end>65</end>
      <status>unmodified</status>
      <modifiedWord/>
      <trackRevisions>false</trackRevisions>
    </reviewItem>
    <reviewItem>
      <errorID>69409d3e-6ad7-479a-bf2b-ef770e47ab66</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1021B63B</paraID>
      <start>71</start>
      <end>74</end>
      <status>unmodified</status>
      <modifiedWord/>
      <trackRevisions>false</trackRevisions>
    </reviewItem>
    <reviewItem>
      <errorID>5af090ce-9140-4d8e-86d1-3808547a4145</errorID>
      <errorWord>泄露</errorWord>
      <group>L1_Word</group>
      <groupName>字词问题</groupName>
      <ability>L2_Typo</ability>
      <abilityName>字词错误</abilityName>
      <candidateList>
        <item>泄漏</item>
      </candidateList>
      <explain>存在发音相同字词的误用。</explain>
      <paraID>1AC28647</paraID>
      <start>68</start>
      <end>70</end>
      <status>unmodified</status>
      <modifiedWord/>
      <trackRevisions>false</trackRevisions>
    </reviewItem>
    <reviewItem>
      <errorID>37a0aebb-f32a-4602-88f1-e4d796f781fd</errorID>
      <errorWord>泄露</errorWord>
      <group>L1_Word</group>
      <groupName>字词问题</groupName>
      <ability>L2_Typo</ability>
      <abilityName>字词错误</abilityName>
      <candidateList>
        <item>泄漏</item>
      </candidateList>
      <explain>存在发音相同字词的误用。</explain>
      <paraID>392E660A</paraID>
      <start>3</start>
      <end>5</end>
      <status>unmodified</status>
      <modifiedWord/>
      <trackRevisions>false</trackRevisions>
    </reviewItem>
    <reviewItem>
      <errorID>0f2dfd0b-6a74-4521-81ad-3b405e5c6377</errorID>
      <errorWord>问题上</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34417BE4</paraID>
      <start>29</start>
      <end>32</end>
      <status>unmodified</status>
      <modifiedWord/>
      <trackRevisions>false</trackRevisions>
    </reviewItem>
    <reviewItem>
      <errorID>c87b750c-1307-47ac-bd0b-0ad3fea9c66f</errorID>
      <errorWord>，而</errorWord>
      <group>L1_Word</group>
      <groupName>字词问题</groupName>
      <ability>L2_Typo</ability>
      <abilityName>字词错误</abilityName>
      <candidateList>
        <item>，</item>
      </candidateList>
      <explain/>
      <paraID> 3C0E6A3</paraID>
      <start>94</start>
      <end>96</end>
      <status>unmodified</status>
      <modifiedWord/>
      <trackRevisions>false</trackRevisions>
    </reviewItem>
    <reviewItem>
      <errorID>3d13b6df-ca59-4ec6-a1e2-6cd4d580cd67</errorID>
      <errorWord>，</errorWord>
      <group>L1_Word</group>
      <groupName>字词问题</groupName>
      <ability>L2_Typo</ability>
      <abilityName>字词错误</abilityName>
      <candidateList>
        <item>，在</item>
      </candidateList>
      <explain/>
      <paraID>182A5A57</paraID>
      <start>62</start>
      <end>63</end>
      <status>unmodified</status>
      <modifiedWord/>
      <trackRevisions>false</trackRevisions>
    </reviewItem>
    <reviewItem>
      <errorID>b8ab6c44-0e2a-4194-93e9-a1bf9038a5a3</errorID>
      <errorWord>，</errorWord>
      <group>L1_Word</group>
      <groupName>字词问题</groupName>
      <ability>L2_Typo</ability>
      <abilityName>字词错误</abilityName>
      <candidateList>
        <item>，在</item>
      </candidateList>
      <explain/>
      <paraID>7895E5F5</paraID>
      <start>58</start>
      <end>59</end>
      <status>unmodified</status>
      <modifiedWord/>
      <trackRevisions>false</trackRevisions>
    </reviewItem>
    <reviewItem>
      <errorID>0f8a8e55-4e21-4201-98f0-a90acf0acb18</errorID>
      <errorWord>提高</errorWord>
      <group>L1_Grammar</group>
      <groupName>语法问题</groupName>
      <ability>L2_Grammar</ability>
      <abilityName>语法错误</abilityName>
      <candidateList>
        <item>增强</item>
      </candidateList>
      <explain>“提高～意识”搭配不当，建议修改为“增强～意识”。</explain>
      <paraID>438EC121</paraID>
      <start>21</start>
      <end>23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2b0c94-61ab-4b33-887d-da6f641672f0}">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24066</Words>
  <Characters>26014</Characters>
  <Lines>0</Lines>
  <Paragraphs>0</Paragraphs>
  <TotalTime>147</TotalTime>
  <ScaleCrop>false</ScaleCrop>
  <LinksUpToDate>false</LinksUpToDate>
  <CharactersWithSpaces>26121</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2025-12-16T08:35:00Z</dcterms:created>
  <dc:creator>岁月静</dc:creator>
  <cp:lastModifiedBy>Administrator</cp:lastModifiedBy>
  <dcterms:modified xsi:type="dcterms:W3CDTF">2026-02-11T03:15:58Z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108578A3E01B410B9A2D3DEC341A7FF2_13</vt:lpwstr>
  </property>
  <property fmtid="{D5CDD505-2E9C-101B-9397-08002B2CF9AE}" pid="4" name="KSOTemplateDocerSaveRecord">
    <vt:lpwstr>eyJoZGlkIjoiOTUwNjczZTEyYWFhMTE0MTUwMDdjNTkyZTRhZDk5Y2IiLCJ1c2VySWQiOiIyNDIxNjkzMTAifQ==</vt:lpwstr>
  </property>
</Properties>
</file>