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华文中宋" w:cs="Times New Roman"/>
          <w:color w:val="000000" w:themeColor="text1"/>
          <w:sz w:val="36"/>
          <w:szCs w:val="36"/>
          <w14:textFill>
            <w14:solidFill>
              <w14:schemeClr w14:val="tx1"/>
            </w14:solidFill>
          </w14:textFill>
        </w:rPr>
      </w:pPr>
      <w:bookmarkStart w:id="0" w:name="_Hlk57883707"/>
    </w:p>
    <w:p>
      <w:pPr>
        <w:rPr>
          <w:rFonts w:hint="default" w:ascii="Times New Roman" w:hAnsi="Times New Roman" w:eastAsia="华文中宋" w:cs="Times New Roman"/>
          <w:color w:val="000000" w:themeColor="text1"/>
          <w:sz w:val="36"/>
          <w:szCs w:val="36"/>
          <w14:textFill>
            <w14:solidFill>
              <w14:schemeClr w14:val="tx1"/>
            </w14:solidFill>
          </w14:textFill>
        </w:rPr>
      </w:pPr>
    </w:p>
    <w:p>
      <w:pPr>
        <w:rPr>
          <w:rFonts w:hint="default" w:ascii="Times New Roman" w:hAnsi="Times New Roman" w:eastAsia="华文中宋" w:cs="Times New Roman"/>
          <w:color w:val="000000" w:themeColor="text1"/>
          <w:sz w:val="36"/>
          <w:szCs w:val="36"/>
          <w14:textFill>
            <w14:solidFill>
              <w14:schemeClr w14:val="tx1"/>
            </w14:solidFill>
          </w14:textFill>
        </w:rPr>
      </w:pPr>
    </w:p>
    <w:p>
      <w:pPr>
        <w:rPr>
          <w:rFonts w:hint="default" w:ascii="Times New Roman" w:hAnsi="Times New Roman" w:eastAsia="华文中宋" w:cs="Times New Roman"/>
          <w:color w:val="000000" w:themeColor="text1"/>
          <w:sz w:val="36"/>
          <w:szCs w:val="36"/>
          <w14:textFill>
            <w14:solidFill>
              <w14:schemeClr w14:val="tx1"/>
            </w14:solidFill>
          </w14:textFill>
        </w:rPr>
      </w:pPr>
    </w:p>
    <w:bookmarkEnd w:id="0"/>
    <w:p>
      <w:pPr>
        <w:adjustRightInd w:val="0"/>
        <w:snapToGrid w:val="0"/>
        <w:spacing w:line="240" w:lineRule="auto"/>
        <w:ind w:left="0" w:leftChars="0" w:firstLine="0" w:firstLineChars="0"/>
        <w:jc w:val="center"/>
        <w:outlineLvl w:val="0"/>
        <w:rPr>
          <w:rFonts w:hint="default" w:ascii="Times New Roman" w:hAnsi="Times New Roman" w:eastAsia="华文中宋" w:cs="Times New Roman"/>
          <w:bCs/>
          <w:color w:val="000000" w:themeColor="text1"/>
          <w:sz w:val="72"/>
          <w:szCs w:val="72"/>
          <w14:textFill>
            <w14:solidFill>
              <w14:schemeClr w14:val="tx1"/>
            </w14:solidFill>
          </w14:textFill>
        </w:rPr>
      </w:pPr>
      <w:bookmarkStart w:id="1" w:name="_Toc25901"/>
      <w:bookmarkStart w:id="2" w:name="_Toc21422"/>
      <w:bookmarkStart w:id="3" w:name="_Toc26675"/>
      <w:bookmarkStart w:id="4" w:name="_Toc14528"/>
      <w:r>
        <w:rPr>
          <w:rFonts w:hint="default" w:ascii="Times New Roman" w:hAnsi="Times New Roman" w:eastAsia="华文中宋" w:cs="Times New Roman"/>
          <w:bCs/>
          <w:color w:val="000000" w:themeColor="text1"/>
          <w:sz w:val="72"/>
          <w:szCs w:val="72"/>
          <w14:textFill>
            <w14:solidFill>
              <w14:schemeClr w14:val="tx1"/>
            </w14:solidFill>
          </w14:textFill>
        </w:rPr>
        <w:t>建设项目环境影响报告表</w:t>
      </w:r>
      <w:bookmarkEnd w:id="1"/>
      <w:bookmarkEnd w:id="2"/>
      <w:bookmarkEnd w:id="3"/>
      <w:bookmarkEnd w:id="4"/>
    </w:p>
    <w:p>
      <w:pPr>
        <w:keepNext w:val="0"/>
        <w:keepLines w:val="0"/>
        <w:pageBreakBefore w:val="0"/>
        <w:widowControl w:val="0"/>
        <w:kinsoku/>
        <w:wordWrap/>
        <w:overflowPunct/>
        <w:topLinePunct w:val="0"/>
        <w:autoSpaceDE/>
        <w:autoSpaceDN/>
        <w:bidi w:val="0"/>
        <w:adjustRightInd w:val="0"/>
        <w:snapToGrid w:val="0"/>
        <w:spacing w:before="192" w:beforeLines="80"/>
        <w:ind w:firstLine="0" w:firstLineChars="0"/>
        <w:jc w:val="center"/>
        <w:textAlignment w:val="auto"/>
        <w:rPr>
          <w:rFonts w:hint="default" w:ascii="Times New Roman" w:hAnsi="Times New Roman" w:eastAsia="华文中宋" w:cs="Times New Roman"/>
          <w:bCs/>
          <w:color w:val="000000" w:themeColor="text1"/>
          <w:sz w:val="48"/>
          <w:szCs w:val="48"/>
          <w14:textFill>
            <w14:solidFill>
              <w14:schemeClr w14:val="tx1"/>
            </w14:solidFill>
          </w14:textFill>
        </w:rPr>
      </w:pPr>
      <w:r>
        <w:rPr>
          <w:rFonts w:hint="default" w:ascii="Times New Roman" w:hAnsi="Times New Roman" w:eastAsia="华文中宋" w:cs="Times New Roman"/>
          <w:bCs/>
          <w:color w:val="000000" w:themeColor="text1"/>
          <w:sz w:val="48"/>
          <w:szCs w:val="48"/>
          <w14:textFill>
            <w14:solidFill>
              <w14:schemeClr w14:val="tx1"/>
            </w14:solidFill>
          </w14:textFill>
        </w:rPr>
        <w:t>（生态影响类）</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华文中宋" w:cs="Times New Roman"/>
          <w:color w:val="000000" w:themeColor="text1"/>
          <w:sz w:val="18"/>
          <w:szCs w:val="18"/>
          <w:lang w:val="en-US" w:eastAsia="zh-CN"/>
          <w14:textFill>
            <w14:solidFill>
              <w14:schemeClr w14:val="tx1"/>
            </w14:solidFill>
          </w14:textFill>
        </w:rPr>
      </w:pPr>
      <w:bookmarkStart w:id="5" w:name="_Hlk57883728"/>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华文中宋" w:cs="Times New Roman"/>
          <w:color w:val="000000" w:themeColor="text1"/>
          <w:sz w:val="36"/>
          <w:szCs w:val="36"/>
          <w:lang w:val="en-US" w:eastAsia="zh-CN"/>
          <w14:textFill>
            <w14:solidFill>
              <w14:schemeClr w14:val="tx1"/>
            </w14:solidFill>
          </w14:textFill>
        </w:rPr>
      </w:pPr>
      <w:r>
        <w:rPr>
          <w:rFonts w:hint="default" w:ascii="Times New Roman" w:hAnsi="Times New Roman" w:eastAsia="华文中宋" w:cs="Times New Roman"/>
          <w:color w:val="000000" w:themeColor="text1"/>
          <w:sz w:val="36"/>
          <w:szCs w:val="36"/>
          <w:lang w:val="en-US" w:eastAsia="zh-CN"/>
          <w14:textFill>
            <w14:solidFill>
              <w14:schemeClr w14:val="tx1"/>
            </w14:solidFill>
          </w14:textFill>
        </w:rPr>
        <w:t>（送审版）</w:t>
      </w:r>
    </w:p>
    <w:p>
      <w:pPr>
        <w:tabs>
          <w:tab w:val="left" w:pos="6085"/>
        </w:tabs>
        <w:adjustRightInd w:val="0"/>
        <w:snapToGrid w:val="0"/>
        <w:spacing w:line="288" w:lineRule="auto"/>
        <w:ind w:firstLine="1040"/>
        <w:rPr>
          <w:rFonts w:hint="default" w:ascii="Times New Roman" w:hAnsi="Times New Roman" w:eastAsia="华文中宋" w:cs="Times New Roman"/>
          <w:color w:val="000000" w:themeColor="text1"/>
          <w:sz w:val="36"/>
          <w:szCs w:val="36"/>
          <w:lang w:eastAsia="zh-CN"/>
          <w14:textFill>
            <w14:solidFill>
              <w14:schemeClr w14:val="tx1"/>
            </w14:solidFill>
          </w14:textFill>
        </w:rPr>
      </w:pPr>
      <w:r>
        <w:rPr>
          <w:rFonts w:hint="default" w:ascii="Times New Roman" w:hAnsi="Times New Roman" w:eastAsia="华文中宋" w:cs="Times New Roman"/>
          <w:color w:val="000000" w:themeColor="text1"/>
          <w:sz w:val="36"/>
          <w:szCs w:val="36"/>
          <w:lang w:eastAsia="zh-CN"/>
          <w14:textFill>
            <w14:solidFill>
              <w14:schemeClr w14:val="tx1"/>
            </w14:solidFill>
          </w14:textFill>
        </w:rPr>
        <w:tab/>
      </w:r>
    </w:p>
    <w:p>
      <w:pPr>
        <w:adjustRightInd w:val="0"/>
        <w:snapToGrid w:val="0"/>
        <w:spacing w:line="288" w:lineRule="auto"/>
        <w:ind w:firstLine="1040"/>
        <w:rPr>
          <w:rFonts w:hint="default" w:ascii="Times New Roman" w:hAnsi="Times New Roman" w:eastAsia="华文中宋" w:cs="Times New Roman"/>
          <w:color w:val="000000" w:themeColor="text1"/>
          <w:sz w:val="36"/>
          <w:szCs w:val="36"/>
          <w14:textFill>
            <w14:solidFill>
              <w14:schemeClr w14:val="tx1"/>
            </w14:solidFill>
          </w14:textFill>
        </w:rPr>
      </w:pPr>
    </w:p>
    <w:p>
      <w:pPr>
        <w:adjustRightInd w:val="0"/>
        <w:snapToGrid w:val="0"/>
        <w:spacing w:line="288" w:lineRule="auto"/>
        <w:ind w:firstLine="1040"/>
        <w:rPr>
          <w:rFonts w:hint="default" w:ascii="Times New Roman" w:hAnsi="Times New Roman" w:eastAsia="华文中宋" w:cs="Times New Roman"/>
          <w:color w:val="000000" w:themeColor="text1"/>
          <w:sz w:val="36"/>
          <w:szCs w:val="36"/>
          <w14:textFill>
            <w14:solidFill>
              <w14:schemeClr w14:val="tx1"/>
            </w14:solidFill>
          </w14:textFill>
        </w:rPr>
      </w:pPr>
    </w:p>
    <w:p>
      <w:pPr>
        <w:adjustRightInd w:val="0"/>
        <w:snapToGrid w:val="0"/>
        <w:spacing w:line="288" w:lineRule="auto"/>
        <w:ind w:firstLine="1040"/>
        <w:rPr>
          <w:rFonts w:hint="default" w:ascii="Times New Roman" w:hAnsi="Times New Roman" w:eastAsia="华文中宋" w:cs="Times New Roman"/>
          <w:color w:val="000000" w:themeColor="text1"/>
          <w:sz w:val="36"/>
          <w:szCs w:val="36"/>
          <w14:textFill>
            <w14:solidFill>
              <w14:schemeClr w14:val="tx1"/>
            </w14:solidFill>
          </w14:textFill>
        </w:rPr>
      </w:pPr>
    </w:p>
    <w:p>
      <w:pPr>
        <w:adjustRightInd w:val="0"/>
        <w:snapToGrid w:val="0"/>
        <w:spacing w:line="288" w:lineRule="auto"/>
        <w:ind w:firstLine="1040"/>
        <w:rPr>
          <w:rFonts w:hint="default" w:ascii="Times New Roman" w:hAnsi="Times New Roman" w:eastAsia="华文中宋" w:cs="Times New Roman"/>
          <w:color w:val="000000" w:themeColor="text1"/>
          <w:sz w:val="36"/>
          <w:szCs w:val="36"/>
          <w14:textFill>
            <w14:solidFill>
              <w14:schemeClr w14:val="tx1"/>
            </w14:solidFill>
          </w14:textFill>
        </w:rPr>
      </w:pPr>
    </w:p>
    <w:bookmarkEnd w:id="5"/>
    <w:p>
      <w:pPr>
        <w:adjustRightInd w:val="0"/>
        <w:snapToGrid w:val="0"/>
        <w:spacing w:line="288" w:lineRule="auto"/>
        <w:ind w:left="2320" w:leftChars="300" w:hanging="1600" w:hangingChars="500"/>
        <w:rPr>
          <w:rFonts w:hint="default" w:ascii="Times New Roman" w:hAnsi="Times New Roman" w:eastAsia="华文中宋" w:cs="Times New Roman"/>
          <w:color w:val="000000" w:themeColor="text1"/>
          <w:sz w:val="32"/>
          <w:szCs w:val="32"/>
          <w:u w:val="single"/>
          <w:lang w:val="en-US" w:eastAsia="zh-CN"/>
          <w14:textFill>
            <w14:solidFill>
              <w14:schemeClr w14:val="tx1"/>
            </w14:solidFill>
          </w14:textFill>
        </w:rPr>
      </w:pPr>
      <w:r>
        <w:rPr>
          <w:rFonts w:hint="default" w:ascii="Times New Roman" w:hAnsi="Times New Roman" w:eastAsia="华文中宋" w:cs="Times New Roman"/>
          <w:color w:val="000000" w:themeColor="text1"/>
          <w:sz w:val="32"/>
          <w:szCs w:val="32"/>
          <w14:textFill>
            <w14:solidFill>
              <w14:schemeClr w14:val="tx1"/>
            </w14:solidFill>
          </w14:textFill>
        </w:rPr>
        <w:t>项目名称：</w:t>
      </w:r>
      <w:r>
        <w:rPr>
          <w:rFonts w:hint="default" w:ascii="Times New Roman" w:hAnsi="Times New Roman" w:eastAsia="华文中宋" w:cs="Times New Roman"/>
          <w:color w:val="000000" w:themeColor="text1"/>
          <w:sz w:val="32"/>
          <w:szCs w:val="32"/>
          <w:u w:val="single"/>
          <w14:textFill>
            <w14:solidFill>
              <w14:schemeClr w14:val="tx1"/>
            </w14:solidFill>
          </w14:textFill>
        </w:rPr>
        <w:t>且末县苏盖提坎铜镍矿勘探</w:t>
      </w:r>
    </w:p>
    <w:p>
      <w:pPr>
        <w:adjustRightInd w:val="0"/>
        <w:snapToGrid w:val="0"/>
        <w:spacing w:line="288" w:lineRule="auto"/>
        <w:ind w:left="2320" w:leftChars="300" w:hanging="1600" w:hangingChars="500"/>
        <w:jc w:val="left"/>
        <w:rPr>
          <w:rFonts w:hint="default" w:ascii="Times New Roman" w:hAnsi="Times New Roman" w:eastAsia="华文中宋" w:cs="Times New Roman"/>
          <w:color w:val="000000" w:themeColor="text1"/>
          <w:sz w:val="32"/>
          <w:szCs w:val="32"/>
          <w:u w:val="single"/>
          <w:lang w:val="en-US" w:eastAsia="zh-CN"/>
          <w14:textFill>
            <w14:solidFill>
              <w14:schemeClr w14:val="tx1"/>
            </w14:solidFill>
          </w14:textFill>
        </w:rPr>
      </w:pPr>
      <w:r>
        <w:rPr>
          <w:rFonts w:hint="default" w:ascii="Times New Roman" w:hAnsi="Times New Roman" w:eastAsia="华文中宋" w:cs="Times New Roman"/>
          <w:color w:val="000000" w:themeColor="text1"/>
          <w:sz w:val="32"/>
          <w:szCs w:val="32"/>
          <w14:textFill>
            <w14:solidFill>
              <w14:schemeClr w14:val="tx1"/>
            </w14:solidFill>
          </w14:textFill>
        </w:rPr>
        <w:t>建设单位（盖章）：</w:t>
      </w:r>
      <w:r>
        <w:rPr>
          <w:rFonts w:hint="default" w:ascii="Times New Roman" w:hAnsi="Times New Roman" w:eastAsia="华文中宋" w:cs="Times New Roman"/>
          <w:color w:val="000000" w:themeColor="text1"/>
          <w:sz w:val="32"/>
          <w:szCs w:val="32"/>
          <w:u w:val="single"/>
          <w14:textFill>
            <w14:solidFill>
              <w14:schemeClr w14:val="tx1"/>
            </w14:solidFill>
          </w14:textFill>
        </w:rPr>
        <w:t>且末县铨谊矿业有限公司</w:t>
      </w:r>
    </w:p>
    <w:p>
      <w:pPr>
        <w:adjustRightInd w:val="0"/>
        <w:snapToGrid w:val="0"/>
        <w:spacing w:line="288" w:lineRule="auto"/>
        <w:jc w:val="left"/>
        <w:rPr>
          <w:rFonts w:hint="default" w:ascii="Times New Roman" w:hAnsi="Times New Roman" w:eastAsia="华文中宋" w:cs="Times New Roman"/>
          <w:color w:val="000000" w:themeColor="text1"/>
          <w:sz w:val="32"/>
          <w:szCs w:val="32"/>
          <w:u w:val="single"/>
          <w:lang w:val="en-US"/>
          <w14:textFill>
            <w14:solidFill>
              <w14:schemeClr w14:val="tx1"/>
            </w14:solidFill>
          </w14:textFill>
        </w:rPr>
      </w:pPr>
    </w:p>
    <w:p>
      <w:pPr>
        <w:adjustRightInd w:val="0"/>
        <w:snapToGrid w:val="0"/>
        <w:spacing w:line="288" w:lineRule="auto"/>
        <w:ind w:firstLine="1040"/>
        <w:rPr>
          <w:rFonts w:hint="default" w:ascii="Times New Roman" w:hAnsi="Times New Roman" w:eastAsia="华文中宋" w:cs="Times New Roman"/>
          <w:color w:val="000000" w:themeColor="text1"/>
          <w:sz w:val="32"/>
          <w:szCs w:val="32"/>
          <w:u w:val="single"/>
          <w:lang w:val="en-US" w:eastAsia="zh-CN"/>
          <w14:textFill>
            <w14:solidFill>
              <w14:schemeClr w14:val="tx1"/>
            </w14:solidFill>
          </w14:textFill>
        </w:rPr>
      </w:pPr>
      <w:r>
        <w:rPr>
          <w:rFonts w:hint="default" w:ascii="Times New Roman" w:hAnsi="Times New Roman" w:eastAsia="华文中宋" w:cs="Times New Roman"/>
          <w:color w:val="000000" w:themeColor="text1"/>
          <w:sz w:val="32"/>
          <w:szCs w:val="32"/>
          <w14:textFill>
            <w14:solidFill>
              <w14:schemeClr w14:val="tx1"/>
            </w14:solidFill>
          </w14:textFill>
        </w:rPr>
        <w:t>编制日期：</w:t>
      </w:r>
      <w:r>
        <w:rPr>
          <w:rFonts w:hint="default" w:ascii="Times New Roman" w:hAnsi="Times New Roman" w:eastAsia="华文中宋" w:cs="Times New Roman"/>
          <w:color w:val="000000" w:themeColor="text1"/>
          <w:sz w:val="32"/>
          <w:szCs w:val="32"/>
          <w:u w:val="single"/>
          <w14:textFill>
            <w14:solidFill>
              <w14:schemeClr w14:val="tx1"/>
            </w14:solidFill>
          </w14:textFill>
        </w:rPr>
        <w:t xml:space="preserve">   </w:t>
      </w:r>
      <w:r>
        <w:rPr>
          <w:rFonts w:hint="default" w:ascii="Times New Roman" w:hAnsi="Times New Roman" w:eastAsia="华文中宋" w:cs="Times New Roman"/>
          <w:color w:val="000000" w:themeColor="text1"/>
          <w:sz w:val="32"/>
          <w:szCs w:val="32"/>
          <w:u w:val="single"/>
          <w:lang w:val="en-US" w:eastAsia="zh-CN"/>
          <w14:textFill>
            <w14:solidFill>
              <w14:schemeClr w14:val="tx1"/>
            </w14:solidFill>
          </w14:textFill>
        </w:rPr>
        <w:t xml:space="preserve">     2026年4月</w:t>
      </w:r>
      <w:r>
        <w:rPr>
          <w:rFonts w:hint="default" w:ascii="Times New Roman" w:hAnsi="Times New Roman" w:eastAsia="华文中宋" w:cs="Times New Roman"/>
          <w:color w:val="000000" w:themeColor="text1"/>
          <w:sz w:val="32"/>
          <w:szCs w:val="32"/>
          <w:u w:val="single"/>
          <w14:textFill>
            <w14:solidFill>
              <w14:schemeClr w14:val="tx1"/>
            </w14:solidFill>
          </w14:textFill>
        </w:rPr>
        <w:t xml:space="preserve">             </w:t>
      </w:r>
      <w:r>
        <w:rPr>
          <w:rFonts w:hint="default" w:ascii="Times New Roman" w:hAnsi="Times New Roman" w:eastAsia="华文中宋" w:cs="Times New Roman"/>
          <w:color w:val="000000" w:themeColor="text1"/>
          <w:sz w:val="32"/>
          <w:szCs w:val="32"/>
          <w:u w:val="none"/>
          <w:lang w:val="en-US" w:eastAsia="zh-CN"/>
          <w14:textFill>
            <w14:solidFill>
              <w14:schemeClr w14:val="tx1"/>
            </w14:solidFill>
          </w14:textFill>
        </w:rPr>
        <w:t xml:space="preserve">      </w:t>
      </w:r>
    </w:p>
    <w:p>
      <w:pPr>
        <w:adjustRightInd w:val="0"/>
        <w:snapToGrid w:val="0"/>
        <w:spacing w:line="288" w:lineRule="auto"/>
        <w:ind w:firstLine="1040"/>
        <w:rPr>
          <w:rFonts w:hint="default" w:ascii="Times New Roman" w:hAnsi="Times New Roman" w:eastAsia="华文中宋" w:cs="Times New Roman"/>
          <w:color w:val="000000" w:themeColor="text1"/>
          <w:sz w:val="32"/>
          <w:szCs w:val="32"/>
          <w:u w:val="single"/>
          <w14:textFill>
            <w14:solidFill>
              <w14:schemeClr w14:val="tx1"/>
            </w14:solidFill>
          </w14:textFill>
        </w:rPr>
      </w:pPr>
    </w:p>
    <w:p>
      <w:pPr>
        <w:adjustRightInd w:val="0"/>
        <w:snapToGrid w:val="0"/>
        <w:spacing w:line="288" w:lineRule="auto"/>
        <w:ind w:firstLine="1040"/>
        <w:rPr>
          <w:rFonts w:hint="default" w:ascii="Times New Roman" w:hAnsi="Times New Roman" w:eastAsia="华文中宋" w:cs="Times New Roman"/>
          <w:color w:val="000000" w:themeColor="text1"/>
          <w:sz w:val="32"/>
          <w:szCs w:val="32"/>
          <w14:textFill>
            <w14:solidFill>
              <w14:schemeClr w14:val="tx1"/>
            </w14:solidFill>
          </w14:textFill>
        </w:rPr>
      </w:pPr>
    </w:p>
    <w:p>
      <w:pPr>
        <w:adjustRightInd w:val="0"/>
        <w:snapToGrid w:val="0"/>
        <w:spacing w:line="288" w:lineRule="auto"/>
        <w:ind w:firstLine="1040"/>
        <w:rPr>
          <w:rFonts w:hint="default" w:ascii="Times New Roman" w:hAnsi="Times New Roman" w:eastAsia="华文中宋" w:cs="Times New Roman"/>
          <w:color w:val="000000" w:themeColor="text1"/>
          <w:sz w:val="36"/>
          <w:szCs w:val="36"/>
          <w14:textFill>
            <w14:solidFill>
              <w14:schemeClr w14:val="tx1"/>
            </w14:solidFill>
          </w14:textFill>
        </w:rPr>
      </w:pPr>
    </w:p>
    <w:p>
      <w:pPr>
        <w:adjustRightInd w:val="0"/>
        <w:snapToGrid w:val="0"/>
        <w:spacing w:line="288" w:lineRule="auto"/>
        <w:ind w:firstLine="1040"/>
        <w:rPr>
          <w:rFonts w:hint="default" w:ascii="Times New Roman" w:hAnsi="Times New Roman" w:eastAsia="华文中宋" w:cs="Times New Roman"/>
          <w:color w:val="000000" w:themeColor="text1"/>
          <w:sz w:val="36"/>
          <w:szCs w:val="36"/>
          <w14:textFill>
            <w14:solidFill>
              <w14:schemeClr w14:val="tx1"/>
            </w14:solidFill>
          </w14:textFill>
        </w:rPr>
      </w:pPr>
    </w:p>
    <w:p>
      <w:pPr>
        <w:adjustRightInd w:val="0"/>
        <w:snapToGrid w:val="0"/>
        <w:spacing w:line="288" w:lineRule="auto"/>
        <w:ind w:firstLine="1040"/>
        <w:rPr>
          <w:rFonts w:hint="default" w:ascii="Times New Roman" w:hAnsi="Times New Roman" w:eastAsia="华文中宋" w:cs="Times New Roman"/>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default" w:ascii="Times New Roman" w:hAnsi="Times New Roman" w:eastAsia="华文中宋" w:cs="Times New Roman"/>
          <w:color w:val="000000" w:themeColor="text1"/>
          <w:sz w:val="36"/>
          <w:szCs w:val="36"/>
          <w14:textFill>
            <w14:solidFill>
              <w14:schemeClr w14:val="tx1"/>
            </w14:solidFill>
          </w14:textFill>
        </w:rPr>
      </w:pPr>
      <w:bookmarkStart w:id="6" w:name="_Toc31018"/>
      <w:bookmarkStart w:id="7" w:name="_Toc10085"/>
      <w:bookmarkStart w:id="8" w:name="_Toc13883"/>
      <w:bookmarkStart w:id="9" w:name="_Toc26077"/>
      <w:r>
        <w:rPr>
          <w:rFonts w:hint="default" w:ascii="Times New Roman" w:hAnsi="Times New Roman" w:eastAsia="华文中宋" w:cs="Times New Roman"/>
          <w:color w:val="000000" w:themeColor="text1"/>
          <w:sz w:val="36"/>
          <w:szCs w:val="36"/>
          <w14:textFill>
            <w14:solidFill>
              <w14:schemeClr w14:val="tx1"/>
            </w14:solidFill>
          </w14:textFill>
        </w:rPr>
        <w:t>中华人民共和国生态环境部制</w:t>
      </w:r>
      <w:bookmarkEnd w:id="6"/>
      <w:bookmarkEnd w:id="7"/>
      <w:bookmarkEnd w:id="8"/>
      <w:bookmarkEnd w:id="9"/>
    </w:p>
    <w:p>
      <w:pPr>
        <w:adjustRightInd w:val="0"/>
        <w:snapToGrid w:val="0"/>
        <w:spacing w:line="288" w:lineRule="auto"/>
        <w:ind w:firstLine="1040"/>
        <w:rPr>
          <w:rFonts w:hint="default" w:ascii="Times New Roman" w:hAnsi="Times New Roman" w:eastAsia="华文中宋" w:cs="Times New Roman"/>
          <w:color w:val="000000" w:themeColor="text1"/>
          <w:sz w:val="36"/>
          <w:szCs w:val="36"/>
          <w14:textFill>
            <w14:solidFill>
              <w14:schemeClr w14:val="tx1"/>
            </w14:solidFill>
          </w14:textFill>
        </w:rPr>
        <w:sectPr>
          <w:headerReference r:id="rId5" w:type="default"/>
          <w:footerReference r:id="rId6" w:type="default"/>
          <w:footerReference r:id="rId7" w:type="even"/>
          <w:pgSz w:w="11906" w:h="16838"/>
          <w:pgMar w:top="1701" w:right="1531" w:bottom="1701" w:left="1531" w:header="851" w:footer="1077" w:gutter="0"/>
          <w:pgBorders>
            <w:top w:val="none" w:sz="0" w:space="0"/>
            <w:left w:val="none" w:sz="0" w:space="0"/>
            <w:bottom w:val="none" w:sz="0" w:space="0"/>
            <w:right w:val="none" w:sz="0" w:space="0"/>
          </w:pgBorders>
          <w:pgNumType w:fmt="decimal" w:start="21"/>
          <w:cols w:space="720" w:num="1"/>
          <w:docGrid w:linePitch="312" w:charSpace="0"/>
        </w:sectPr>
      </w:pPr>
    </w:p>
    <w:p>
      <w:pPr>
        <w:spacing w:before="0" w:beforeLines="0" w:after="0" w:afterLines="0" w:line="240" w:lineRule="auto"/>
        <w:ind w:left="0" w:leftChars="0" w:right="0" w:rightChars="0" w:firstLine="0" w:firstLineChars="0"/>
        <w:jc w:val="center"/>
        <w:rPr>
          <w:rFonts w:hint="default" w:ascii="Times New Roman" w:hAnsi="Times New Roman" w:eastAsia="华文中宋" w:cs="Times New Roman"/>
          <w:b/>
          <w:bCs/>
          <w:color w:val="000000" w:themeColor="text1"/>
          <w:sz w:val="32"/>
          <w:szCs w:val="32"/>
          <w14:textFill>
            <w14:solidFill>
              <w14:schemeClr w14:val="tx1"/>
            </w14:solidFill>
          </w14:textFill>
        </w:rPr>
      </w:pPr>
      <w:r>
        <w:rPr>
          <w:rFonts w:hint="default" w:ascii="Times New Roman" w:hAnsi="Times New Roman" w:eastAsia="华文中宋" w:cs="Times New Roman"/>
          <w:b/>
          <w:bCs/>
          <w:color w:val="000000" w:themeColor="text1"/>
          <w:sz w:val="32"/>
          <w:szCs w:val="32"/>
          <w14:textFill>
            <w14:solidFill>
              <w14:schemeClr w14:val="tx1"/>
            </w14:solidFill>
          </w14:textFill>
        </w:rPr>
        <w:t>目录</w:t>
      </w:r>
    </w:p>
    <w:p>
      <w:pPr>
        <w:pStyle w:val="22"/>
        <w:tabs>
          <w:tab w:val="right" w:leader="dot" w:pos="8844"/>
        </w:tabs>
      </w:pPr>
      <w:r>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fldChar w:fldCharType="begin"/>
      </w:r>
      <w:r>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instrText xml:space="preserve">TOC \o "1-1" \h \u </w:instrText>
      </w:r>
      <w:r>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fldChar w:fldCharType="separate"/>
      </w:r>
    </w:p>
    <w:p>
      <w:pPr>
        <w:pStyle w:val="22"/>
        <w:tabs>
          <w:tab w:val="right" w:leader="dot" w:pos="8844"/>
        </w:tabs>
      </w:pPr>
      <w:r>
        <w:rPr>
          <w:rFonts w:hint="default" w:ascii="Times New Roman" w:hAnsi="Times New Roman" w:eastAsia="华文中宋" w:cs="Times New Roman"/>
          <w:color w:val="000000" w:themeColor="text1"/>
          <w:kern w:val="0"/>
          <w:szCs w:val="24"/>
          <w:lang w:val="en-US" w:eastAsia="zh-CN" w:bidi="ar"/>
          <w14:textFill>
            <w14:solidFill>
              <w14:schemeClr w14:val="tx1"/>
            </w14:solidFill>
          </w14:textFill>
        </w:rPr>
        <w:fldChar w:fldCharType="begin"/>
      </w:r>
      <w:r>
        <w:rPr>
          <w:rFonts w:hint="default" w:ascii="Times New Roman" w:hAnsi="Times New Roman" w:eastAsia="华文中宋" w:cs="Times New Roman"/>
          <w:kern w:val="0"/>
          <w:szCs w:val="24"/>
          <w:lang w:val="en-US" w:eastAsia="zh-CN" w:bidi="ar"/>
        </w:rPr>
        <w:instrText xml:space="preserve"> HYPERLINK \l _Toc14823 </w:instrText>
      </w:r>
      <w:r>
        <w:rPr>
          <w:rFonts w:hint="default" w:ascii="Times New Roman" w:hAnsi="Times New Roman" w:eastAsia="华文中宋" w:cs="Times New Roman"/>
          <w:kern w:val="0"/>
          <w:szCs w:val="24"/>
          <w:lang w:val="en-US" w:eastAsia="zh-CN" w:bidi="ar"/>
        </w:rPr>
        <w:fldChar w:fldCharType="separate"/>
      </w:r>
      <w:r>
        <w:rPr>
          <w:rFonts w:hint="default" w:ascii="Times New Roman" w:hAnsi="Times New Roman" w:eastAsia="华文中宋" w:cs="Times New Roman"/>
          <w:bCs/>
          <w:lang w:val="en-US" w:eastAsia="zh-CN"/>
        </w:rPr>
        <w:t>一、建设项目基本情况</w:t>
      </w:r>
      <w:r>
        <w:tab/>
      </w:r>
      <w:r>
        <w:fldChar w:fldCharType="begin"/>
      </w:r>
      <w:r>
        <w:instrText xml:space="preserve"> PAGEREF _Toc14823 \h </w:instrText>
      </w:r>
      <w:r>
        <w:fldChar w:fldCharType="separate"/>
      </w:r>
      <w:r>
        <w:t>1</w:t>
      </w:r>
      <w:r>
        <w:fldChar w:fldCharType="end"/>
      </w:r>
      <w:r>
        <w:rPr>
          <w:rFonts w:hint="default" w:ascii="Times New Roman" w:hAnsi="Times New Roman" w:eastAsia="华文中宋" w:cs="Times New Roman"/>
          <w:color w:val="000000" w:themeColor="text1"/>
          <w:kern w:val="0"/>
          <w:szCs w:val="24"/>
          <w:lang w:val="en-US" w:eastAsia="zh-CN" w:bidi="ar"/>
          <w14:textFill>
            <w14:solidFill>
              <w14:schemeClr w14:val="tx1"/>
            </w14:solidFill>
          </w14:textFill>
        </w:rPr>
        <w:fldChar w:fldCharType="end"/>
      </w:r>
    </w:p>
    <w:p>
      <w:pPr>
        <w:pStyle w:val="22"/>
        <w:tabs>
          <w:tab w:val="right" w:leader="dot" w:pos="8844"/>
        </w:tabs>
      </w:pPr>
      <w:r>
        <w:rPr>
          <w:rFonts w:hint="default" w:ascii="Times New Roman" w:hAnsi="Times New Roman" w:eastAsia="华文中宋" w:cs="Times New Roman"/>
          <w:color w:val="000000" w:themeColor="text1"/>
          <w:kern w:val="0"/>
          <w:szCs w:val="24"/>
          <w:lang w:val="en-US" w:eastAsia="zh-CN" w:bidi="ar"/>
          <w14:textFill>
            <w14:solidFill>
              <w14:schemeClr w14:val="tx1"/>
            </w14:solidFill>
          </w14:textFill>
        </w:rPr>
        <w:fldChar w:fldCharType="begin"/>
      </w:r>
      <w:r>
        <w:rPr>
          <w:rFonts w:hint="default" w:ascii="Times New Roman" w:hAnsi="Times New Roman" w:eastAsia="华文中宋" w:cs="Times New Roman"/>
          <w:kern w:val="0"/>
          <w:szCs w:val="24"/>
          <w:lang w:val="en-US" w:eastAsia="zh-CN" w:bidi="ar"/>
        </w:rPr>
        <w:instrText xml:space="preserve"> HYPERLINK \l _Toc25239 </w:instrText>
      </w:r>
      <w:r>
        <w:rPr>
          <w:rFonts w:hint="default" w:ascii="Times New Roman" w:hAnsi="Times New Roman" w:eastAsia="华文中宋" w:cs="Times New Roman"/>
          <w:kern w:val="0"/>
          <w:szCs w:val="24"/>
          <w:lang w:val="en-US" w:eastAsia="zh-CN" w:bidi="ar"/>
        </w:rPr>
        <w:fldChar w:fldCharType="separate"/>
      </w:r>
      <w:r>
        <w:rPr>
          <w:rFonts w:hint="default" w:ascii="Times New Roman" w:hAnsi="Times New Roman" w:eastAsia="华文中宋" w:cs="Times New Roman"/>
          <w:bCs/>
          <w:lang w:val="en-US" w:eastAsia="zh-CN"/>
        </w:rPr>
        <w:t>二、建设内容</w:t>
      </w:r>
      <w:r>
        <w:tab/>
      </w:r>
      <w:r>
        <w:fldChar w:fldCharType="begin"/>
      </w:r>
      <w:r>
        <w:instrText xml:space="preserve"> PAGEREF _Toc25239 \h </w:instrText>
      </w:r>
      <w:r>
        <w:fldChar w:fldCharType="separate"/>
      </w:r>
      <w:r>
        <w:t>15</w:t>
      </w:r>
      <w:r>
        <w:fldChar w:fldCharType="end"/>
      </w:r>
      <w:r>
        <w:rPr>
          <w:rFonts w:hint="default" w:ascii="Times New Roman" w:hAnsi="Times New Roman" w:eastAsia="华文中宋" w:cs="Times New Roman"/>
          <w:color w:val="000000" w:themeColor="text1"/>
          <w:kern w:val="0"/>
          <w:szCs w:val="24"/>
          <w:lang w:val="en-US" w:eastAsia="zh-CN" w:bidi="ar"/>
          <w14:textFill>
            <w14:solidFill>
              <w14:schemeClr w14:val="tx1"/>
            </w14:solidFill>
          </w14:textFill>
        </w:rPr>
        <w:fldChar w:fldCharType="end"/>
      </w:r>
    </w:p>
    <w:p>
      <w:pPr>
        <w:pStyle w:val="22"/>
        <w:tabs>
          <w:tab w:val="right" w:leader="dot" w:pos="8844"/>
        </w:tabs>
      </w:pPr>
      <w:r>
        <w:rPr>
          <w:rFonts w:hint="default" w:ascii="Times New Roman" w:hAnsi="Times New Roman" w:eastAsia="华文中宋" w:cs="Times New Roman"/>
          <w:color w:val="000000" w:themeColor="text1"/>
          <w:kern w:val="0"/>
          <w:szCs w:val="24"/>
          <w:lang w:val="en-US" w:eastAsia="zh-CN" w:bidi="ar"/>
          <w14:textFill>
            <w14:solidFill>
              <w14:schemeClr w14:val="tx1"/>
            </w14:solidFill>
          </w14:textFill>
        </w:rPr>
        <w:fldChar w:fldCharType="begin"/>
      </w:r>
      <w:r>
        <w:rPr>
          <w:rFonts w:hint="default" w:ascii="Times New Roman" w:hAnsi="Times New Roman" w:eastAsia="华文中宋" w:cs="Times New Roman"/>
          <w:kern w:val="0"/>
          <w:szCs w:val="24"/>
          <w:lang w:val="en-US" w:eastAsia="zh-CN" w:bidi="ar"/>
        </w:rPr>
        <w:instrText xml:space="preserve"> HYPERLINK \l _Toc5457 </w:instrText>
      </w:r>
      <w:r>
        <w:rPr>
          <w:rFonts w:hint="default" w:ascii="Times New Roman" w:hAnsi="Times New Roman" w:eastAsia="华文中宋" w:cs="Times New Roman"/>
          <w:kern w:val="0"/>
          <w:szCs w:val="24"/>
          <w:lang w:val="en-US" w:eastAsia="zh-CN" w:bidi="ar"/>
        </w:rPr>
        <w:fldChar w:fldCharType="separate"/>
      </w:r>
      <w:r>
        <w:rPr>
          <w:rFonts w:hint="default" w:ascii="Times New Roman" w:hAnsi="Times New Roman" w:eastAsia="华文中宋" w:cs="Times New Roman"/>
          <w:bCs/>
          <w:lang w:val="en-US" w:eastAsia="zh-CN"/>
        </w:rPr>
        <w:t>三、生态环境现状、保护目标及评价标准</w:t>
      </w:r>
      <w:r>
        <w:tab/>
      </w:r>
      <w:r>
        <w:fldChar w:fldCharType="begin"/>
      </w:r>
      <w:r>
        <w:instrText xml:space="preserve"> PAGEREF _Toc5457 \h </w:instrText>
      </w:r>
      <w:r>
        <w:fldChar w:fldCharType="separate"/>
      </w:r>
      <w:r>
        <w:t>24</w:t>
      </w:r>
      <w:r>
        <w:fldChar w:fldCharType="end"/>
      </w:r>
      <w:r>
        <w:rPr>
          <w:rFonts w:hint="default" w:ascii="Times New Roman" w:hAnsi="Times New Roman" w:eastAsia="华文中宋" w:cs="Times New Roman"/>
          <w:color w:val="000000" w:themeColor="text1"/>
          <w:kern w:val="0"/>
          <w:szCs w:val="24"/>
          <w:lang w:val="en-US" w:eastAsia="zh-CN" w:bidi="ar"/>
          <w14:textFill>
            <w14:solidFill>
              <w14:schemeClr w14:val="tx1"/>
            </w14:solidFill>
          </w14:textFill>
        </w:rPr>
        <w:fldChar w:fldCharType="end"/>
      </w:r>
    </w:p>
    <w:p>
      <w:pPr>
        <w:pStyle w:val="22"/>
        <w:tabs>
          <w:tab w:val="right" w:leader="dot" w:pos="8844"/>
        </w:tabs>
      </w:pPr>
      <w:r>
        <w:rPr>
          <w:rFonts w:hint="default" w:ascii="Times New Roman" w:hAnsi="Times New Roman" w:eastAsia="华文中宋" w:cs="Times New Roman"/>
          <w:color w:val="000000" w:themeColor="text1"/>
          <w:kern w:val="0"/>
          <w:szCs w:val="24"/>
          <w:lang w:val="en-US" w:eastAsia="zh-CN" w:bidi="ar"/>
          <w14:textFill>
            <w14:solidFill>
              <w14:schemeClr w14:val="tx1"/>
            </w14:solidFill>
          </w14:textFill>
        </w:rPr>
        <w:fldChar w:fldCharType="begin"/>
      </w:r>
      <w:r>
        <w:rPr>
          <w:rFonts w:hint="default" w:ascii="Times New Roman" w:hAnsi="Times New Roman" w:eastAsia="华文中宋" w:cs="Times New Roman"/>
          <w:kern w:val="0"/>
          <w:szCs w:val="24"/>
          <w:lang w:val="en-US" w:eastAsia="zh-CN" w:bidi="ar"/>
        </w:rPr>
        <w:instrText xml:space="preserve"> HYPERLINK \l _Toc25911 </w:instrText>
      </w:r>
      <w:r>
        <w:rPr>
          <w:rFonts w:hint="default" w:ascii="Times New Roman" w:hAnsi="Times New Roman" w:eastAsia="华文中宋" w:cs="Times New Roman"/>
          <w:kern w:val="0"/>
          <w:szCs w:val="24"/>
          <w:lang w:val="en-US" w:eastAsia="zh-CN" w:bidi="ar"/>
        </w:rPr>
        <w:fldChar w:fldCharType="separate"/>
      </w:r>
      <w:r>
        <w:rPr>
          <w:rFonts w:hint="default" w:ascii="Times New Roman" w:hAnsi="Times New Roman" w:eastAsia="华文中宋" w:cs="Times New Roman"/>
          <w:bCs/>
          <w:lang w:val="en-US" w:eastAsia="zh-CN"/>
        </w:rPr>
        <w:t>四、生态环境影响分析</w:t>
      </w:r>
      <w:r>
        <w:tab/>
      </w:r>
      <w:r>
        <w:fldChar w:fldCharType="begin"/>
      </w:r>
      <w:r>
        <w:instrText xml:space="preserve"> PAGEREF _Toc25911 \h </w:instrText>
      </w:r>
      <w:r>
        <w:fldChar w:fldCharType="separate"/>
      </w:r>
      <w:r>
        <w:t>29</w:t>
      </w:r>
      <w:r>
        <w:fldChar w:fldCharType="end"/>
      </w:r>
      <w:r>
        <w:rPr>
          <w:rFonts w:hint="default" w:ascii="Times New Roman" w:hAnsi="Times New Roman" w:eastAsia="华文中宋" w:cs="Times New Roman"/>
          <w:color w:val="000000" w:themeColor="text1"/>
          <w:kern w:val="0"/>
          <w:szCs w:val="24"/>
          <w:lang w:val="en-US" w:eastAsia="zh-CN" w:bidi="ar"/>
          <w14:textFill>
            <w14:solidFill>
              <w14:schemeClr w14:val="tx1"/>
            </w14:solidFill>
          </w14:textFill>
        </w:rPr>
        <w:fldChar w:fldCharType="end"/>
      </w:r>
    </w:p>
    <w:p>
      <w:pPr>
        <w:pStyle w:val="22"/>
        <w:tabs>
          <w:tab w:val="right" w:leader="dot" w:pos="8844"/>
        </w:tabs>
      </w:pPr>
      <w:r>
        <w:rPr>
          <w:rFonts w:hint="default" w:ascii="Times New Roman" w:hAnsi="Times New Roman" w:eastAsia="华文中宋" w:cs="Times New Roman"/>
          <w:color w:val="000000" w:themeColor="text1"/>
          <w:kern w:val="0"/>
          <w:szCs w:val="24"/>
          <w:lang w:val="en-US" w:eastAsia="zh-CN" w:bidi="ar"/>
          <w14:textFill>
            <w14:solidFill>
              <w14:schemeClr w14:val="tx1"/>
            </w14:solidFill>
          </w14:textFill>
        </w:rPr>
        <w:fldChar w:fldCharType="begin"/>
      </w:r>
      <w:r>
        <w:rPr>
          <w:rFonts w:hint="default" w:ascii="Times New Roman" w:hAnsi="Times New Roman" w:eastAsia="华文中宋" w:cs="Times New Roman"/>
          <w:kern w:val="0"/>
          <w:szCs w:val="24"/>
          <w:lang w:val="en-US" w:eastAsia="zh-CN" w:bidi="ar"/>
        </w:rPr>
        <w:instrText xml:space="preserve"> HYPERLINK \l _Toc12788 </w:instrText>
      </w:r>
      <w:r>
        <w:rPr>
          <w:rFonts w:hint="default" w:ascii="Times New Roman" w:hAnsi="Times New Roman" w:eastAsia="华文中宋" w:cs="Times New Roman"/>
          <w:kern w:val="0"/>
          <w:szCs w:val="24"/>
          <w:lang w:val="en-US" w:eastAsia="zh-CN" w:bidi="ar"/>
        </w:rPr>
        <w:fldChar w:fldCharType="separate"/>
      </w:r>
      <w:r>
        <w:rPr>
          <w:rFonts w:hint="default" w:ascii="Times New Roman" w:hAnsi="Times New Roman" w:eastAsia="华文中宋" w:cs="Times New Roman"/>
          <w:bCs/>
          <w:lang w:val="en-US" w:eastAsia="zh-CN"/>
        </w:rPr>
        <w:t>五、主要生态环境保护措施</w:t>
      </w:r>
      <w:r>
        <w:tab/>
      </w:r>
      <w:r>
        <w:fldChar w:fldCharType="begin"/>
      </w:r>
      <w:r>
        <w:instrText xml:space="preserve"> PAGEREF _Toc12788 \h </w:instrText>
      </w:r>
      <w:r>
        <w:fldChar w:fldCharType="separate"/>
      </w:r>
      <w:r>
        <w:t>41</w:t>
      </w:r>
      <w:r>
        <w:fldChar w:fldCharType="end"/>
      </w:r>
      <w:r>
        <w:rPr>
          <w:rFonts w:hint="default" w:ascii="Times New Roman" w:hAnsi="Times New Roman" w:eastAsia="华文中宋" w:cs="Times New Roman"/>
          <w:color w:val="000000" w:themeColor="text1"/>
          <w:kern w:val="0"/>
          <w:szCs w:val="24"/>
          <w:lang w:val="en-US" w:eastAsia="zh-CN" w:bidi="ar"/>
          <w14:textFill>
            <w14:solidFill>
              <w14:schemeClr w14:val="tx1"/>
            </w14:solidFill>
          </w14:textFill>
        </w:rPr>
        <w:fldChar w:fldCharType="end"/>
      </w:r>
    </w:p>
    <w:p>
      <w:pPr>
        <w:pStyle w:val="22"/>
        <w:tabs>
          <w:tab w:val="right" w:leader="dot" w:pos="8844"/>
        </w:tabs>
      </w:pPr>
      <w:r>
        <w:rPr>
          <w:rFonts w:hint="default" w:ascii="Times New Roman" w:hAnsi="Times New Roman" w:eastAsia="华文中宋" w:cs="Times New Roman"/>
          <w:color w:val="000000" w:themeColor="text1"/>
          <w:kern w:val="0"/>
          <w:szCs w:val="24"/>
          <w:lang w:val="en-US" w:eastAsia="zh-CN" w:bidi="ar"/>
          <w14:textFill>
            <w14:solidFill>
              <w14:schemeClr w14:val="tx1"/>
            </w14:solidFill>
          </w14:textFill>
        </w:rPr>
        <w:fldChar w:fldCharType="begin"/>
      </w:r>
      <w:r>
        <w:rPr>
          <w:rFonts w:hint="default" w:ascii="Times New Roman" w:hAnsi="Times New Roman" w:eastAsia="华文中宋" w:cs="Times New Roman"/>
          <w:kern w:val="0"/>
          <w:szCs w:val="24"/>
          <w:lang w:val="en-US" w:eastAsia="zh-CN" w:bidi="ar"/>
        </w:rPr>
        <w:instrText xml:space="preserve"> HYPERLINK \l _Toc30816 </w:instrText>
      </w:r>
      <w:r>
        <w:rPr>
          <w:rFonts w:hint="default" w:ascii="Times New Roman" w:hAnsi="Times New Roman" w:eastAsia="华文中宋" w:cs="Times New Roman"/>
          <w:kern w:val="0"/>
          <w:szCs w:val="24"/>
          <w:lang w:val="en-US" w:eastAsia="zh-CN" w:bidi="ar"/>
        </w:rPr>
        <w:fldChar w:fldCharType="separate"/>
      </w:r>
      <w:r>
        <w:rPr>
          <w:rFonts w:hint="default" w:ascii="Times New Roman" w:hAnsi="Times New Roman" w:eastAsia="华文中宋" w:cs="Times New Roman"/>
          <w:bCs/>
          <w:lang w:val="en-US" w:eastAsia="zh-CN"/>
        </w:rPr>
        <w:t>六、生态环境保护措施监督检查清单</w:t>
      </w:r>
      <w:r>
        <w:tab/>
      </w:r>
      <w:r>
        <w:fldChar w:fldCharType="begin"/>
      </w:r>
      <w:r>
        <w:instrText xml:space="preserve"> PAGEREF _Toc30816 \h </w:instrText>
      </w:r>
      <w:r>
        <w:fldChar w:fldCharType="separate"/>
      </w:r>
      <w:r>
        <w:t>51</w:t>
      </w:r>
      <w:r>
        <w:fldChar w:fldCharType="end"/>
      </w:r>
      <w:r>
        <w:rPr>
          <w:rFonts w:hint="default" w:ascii="Times New Roman" w:hAnsi="Times New Roman" w:eastAsia="华文中宋" w:cs="Times New Roman"/>
          <w:color w:val="000000" w:themeColor="text1"/>
          <w:kern w:val="0"/>
          <w:szCs w:val="24"/>
          <w:lang w:val="en-US" w:eastAsia="zh-CN" w:bidi="ar"/>
          <w14:textFill>
            <w14:solidFill>
              <w14:schemeClr w14:val="tx1"/>
            </w14:solidFill>
          </w14:textFill>
        </w:rPr>
        <w:fldChar w:fldCharType="end"/>
      </w:r>
    </w:p>
    <w:p>
      <w:pPr>
        <w:pStyle w:val="22"/>
        <w:tabs>
          <w:tab w:val="right" w:leader="dot" w:pos="8844"/>
        </w:tabs>
      </w:pPr>
      <w:r>
        <w:rPr>
          <w:rFonts w:hint="default" w:ascii="Times New Roman" w:hAnsi="Times New Roman" w:eastAsia="华文中宋" w:cs="Times New Roman"/>
          <w:color w:val="000000" w:themeColor="text1"/>
          <w:kern w:val="0"/>
          <w:szCs w:val="24"/>
          <w:lang w:val="en-US" w:eastAsia="zh-CN" w:bidi="ar"/>
          <w14:textFill>
            <w14:solidFill>
              <w14:schemeClr w14:val="tx1"/>
            </w14:solidFill>
          </w14:textFill>
        </w:rPr>
        <w:fldChar w:fldCharType="begin"/>
      </w:r>
      <w:r>
        <w:rPr>
          <w:rFonts w:hint="default" w:ascii="Times New Roman" w:hAnsi="Times New Roman" w:eastAsia="华文中宋" w:cs="Times New Roman"/>
          <w:kern w:val="0"/>
          <w:szCs w:val="24"/>
          <w:lang w:val="en-US" w:eastAsia="zh-CN" w:bidi="ar"/>
        </w:rPr>
        <w:instrText xml:space="preserve"> HYPERLINK \l _Toc13394 </w:instrText>
      </w:r>
      <w:r>
        <w:rPr>
          <w:rFonts w:hint="default" w:ascii="Times New Roman" w:hAnsi="Times New Roman" w:eastAsia="华文中宋" w:cs="Times New Roman"/>
          <w:kern w:val="0"/>
          <w:szCs w:val="24"/>
          <w:lang w:val="en-US" w:eastAsia="zh-CN" w:bidi="ar"/>
        </w:rPr>
        <w:fldChar w:fldCharType="separate"/>
      </w:r>
      <w:r>
        <w:rPr>
          <w:rFonts w:hint="default" w:ascii="Times New Roman" w:hAnsi="Times New Roman" w:eastAsia="华文中宋" w:cs="Times New Roman"/>
          <w:bCs/>
          <w:lang w:val="en-US" w:eastAsia="zh-CN"/>
        </w:rPr>
        <w:t>七、结论</w:t>
      </w:r>
      <w:r>
        <w:tab/>
      </w:r>
      <w:r>
        <w:fldChar w:fldCharType="begin"/>
      </w:r>
      <w:r>
        <w:instrText xml:space="preserve"> PAGEREF _Toc13394 \h </w:instrText>
      </w:r>
      <w:r>
        <w:fldChar w:fldCharType="separate"/>
      </w:r>
      <w:r>
        <w:t>53</w:t>
      </w:r>
      <w:r>
        <w:fldChar w:fldCharType="end"/>
      </w:r>
      <w:r>
        <w:rPr>
          <w:rFonts w:hint="default" w:ascii="Times New Roman" w:hAnsi="Times New Roman" w:eastAsia="华文中宋" w:cs="Times New Roman"/>
          <w:color w:val="000000" w:themeColor="text1"/>
          <w:kern w:val="0"/>
          <w:szCs w:val="24"/>
          <w:lang w:val="en-US" w:eastAsia="zh-CN" w:bidi="ar"/>
          <w14:textFill>
            <w14:solidFill>
              <w14:schemeClr w14:val="tx1"/>
            </w14:solidFill>
          </w14:textFill>
        </w:rPr>
        <w:fldChar w:fldCharType="end"/>
      </w:r>
    </w:p>
    <w:p>
      <w:pPr>
        <w:keepNext w:val="0"/>
        <w:keepLines w:val="0"/>
        <w:widowControl/>
        <w:suppressLineNumbers w:val="0"/>
        <w:spacing w:line="360" w:lineRule="auto"/>
        <w:jc w:val="distribute"/>
        <w:rPr>
          <w:rFonts w:hint="default" w:ascii="Times New Roman" w:hAnsi="Times New Roman" w:eastAsia="华文中宋" w:cs="Times New Roman"/>
          <w:color w:val="000000" w:themeColor="text1"/>
          <w:kern w:val="0"/>
          <w:szCs w:val="24"/>
          <w:lang w:val="en-US" w:eastAsia="zh-CN" w:bidi="ar"/>
          <w14:textFill>
            <w14:solidFill>
              <w14:schemeClr w14:val="tx1"/>
            </w14:solidFill>
          </w14:textFill>
        </w:rPr>
      </w:pPr>
      <w:r>
        <w:rPr>
          <w:rFonts w:hint="default" w:ascii="Times New Roman" w:hAnsi="Times New Roman" w:eastAsia="华文中宋" w:cs="Times New Roman"/>
          <w:color w:val="000000" w:themeColor="text1"/>
          <w:kern w:val="0"/>
          <w:szCs w:val="24"/>
          <w:lang w:val="en-US" w:eastAsia="zh-CN" w:bidi="ar"/>
          <w14:textFill>
            <w14:solidFill>
              <w14:schemeClr w14:val="tx1"/>
            </w14:solidFill>
          </w14:textFill>
        </w:rPr>
        <w:fldChar w:fldCharType="end"/>
      </w:r>
    </w:p>
    <w:p>
      <w:pPr>
        <w:pStyle w:val="47"/>
        <w:rPr>
          <w:rFonts w:hint="default" w:ascii="Times New Roman" w:hAnsi="Times New Roman" w:eastAsia="华文中宋" w:cs="Times New Roman"/>
          <w:color w:val="000000" w:themeColor="text1"/>
          <w:lang w:val="en-US" w:eastAsia="zh-CN"/>
          <w14:textFill>
            <w14:solidFill>
              <w14:schemeClr w14:val="tx1"/>
            </w14:solidFill>
          </w14:textFill>
        </w:rPr>
      </w:pPr>
    </w:p>
    <w:p>
      <w:pPr>
        <w:keepNext w:val="0"/>
        <w:keepLines w:val="0"/>
        <w:widowControl/>
        <w:suppressLineNumbers w:val="0"/>
        <w:spacing w:line="360" w:lineRule="auto"/>
        <w:jc w:val="distribute"/>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360" w:lineRule="auto"/>
        <w:jc w:val="distribute"/>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360" w:lineRule="auto"/>
        <w:jc w:val="distribute"/>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360" w:lineRule="auto"/>
        <w:jc w:val="distribute"/>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360" w:lineRule="auto"/>
        <w:jc w:val="distribute"/>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360" w:lineRule="auto"/>
        <w:jc w:val="distribute"/>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1"/>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4"/>
        <w:widowControl w:val="0"/>
        <w:numPr>
          <w:ilvl w:val="0"/>
          <w:numId w:val="0"/>
        </w:numPr>
        <w:jc w:val="both"/>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4"/>
        <w:widowControl w:val="0"/>
        <w:numPr>
          <w:ilvl w:val="0"/>
          <w:numId w:val="0"/>
        </w:numPr>
        <w:jc w:val="both"/>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4"/>
        <w:widowControl w:val="0"/>
        <w:numPr>
          <w:ilvl w:val="0"/>
          <w:numId w:val="0"/>
        </w:numPr>
        <w:jc w:val="both"/>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4"/>
        <w:widowControl w:val="0"/>
        <w:numPr>
          <w:ilvl w:val="0"/>
          <w:numId w:val="0"/>
        </w:numPr>
        <w:jc w:val="both"/>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4"/>
        <w:widowControl w:val="0"/>
        <w:numPr>
          <w:ilvl w:val="0"/>
          <w:numId w:val="0"/>
        </w:numPr>
        <w:jc w:val="both"/>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4"/>
        <w:widowControl w:val="0"/>
        <w:numPr>
          <w:ilvl w:val="0"/>
          <w:numId w:val="0"/>
        </w:numPr>
        <w:jc w:val="both"/>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360" w:lineRule="auto"/>
        <w:jc w:val="distribute"/>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360" w:lineRule="auto"/>
        <w:jc w:val="distribute"/>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360" w:lineRule="auto"/>
        <w:jc w:val="distribute"/>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360" w:lineRule="auto"/>
        <w:jc w:val="distribute"/>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360" w:lineRule="auto"/>
        <w:jc w:val="distribute"/>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24"/>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Style w:val="36"/>
          <w:rFonts w:hint="default" w:ascii="Times New Roman" w:hAnsi="Times New Roman" w:eastAsia="华文中宋" w:cs="Times New Roman"/>
          <w:b/>
          <w:bCs/>
          <w:color w:val="000000" w:themeColor="text1"/>
          <w:lang w:val="en-US" w:eastAsia="zh-CN"/>
          <w14:textFill>
            <w14:solidFill>
              <w14:schemeClr w14:val="tx1"/>
            </w14:solidFill>
          </w14:textFill>
        </w:rPr>
        <w:sectPr>
          <w:footerReference r:id="rId8"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4"/>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Style w:val="36"/>
          <w:rFonts w:hint="default" w:ascii="Times New Roman" w:hAnsi="Times New Roman" w:eastAsia="华文中宋" w:cs="Times New Roman"/>
          <w:b/>
          <w:bCs/>
          <w:color w:val="000000" w:themeColor="text1"/>
          <w:lang w:val="en-US" w:eastAsia="zh-CN"/>
          <w14:textFill>
            <w14:solidFill>
              <w14:schemeClr w14:val="tx1"/>
            </w14:solidFill>
          </w14:textFill>
        </w:rPr>
      </w:pPr>
      <w:bookmarkStart w:id="10" w:name="_Toc14823"/>
      <w:r>
        <w:rPr>
          <w:rStyle w:val="36"/>
          <w:rFonts w:hint="default" w:ascii="Times New Roman" w:hAnsi="Times New Roman" w:eastAsia="华文中宋" w:cs="Times New Roman"/>
          <w:b/>
          <w:bCs/>
          <w:color w:val="000000" w:themeColor="text1"/>
          <w:lang w:val="en-US" w:eastAsia="zh-CN"/>
          <w14:textFill>
            <w14:solidFill>
              <w14:schemeClr w14:val="tx1"/>
            </w14:solidFill>
          </w14:textFill>
        </w:rPr>
        <w:t>一、建设项目基本情况</w:t>
      </w:r>
      <w:bookmarkEnd w:id="10"/>
    </w:p>
    <w:tbl>
      <w:tblPr>
        <w:tblStyle w:val="29"/>
        <w:tblW w:w="9117"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8"/>
        <w:gridCol w:w="1143"/>
        <w:gridCol w:w="2408"/>
        <w:gridCol w:w="2218"/>
        <w:gridCol w:w="10"/>
        <w:gridCol w:w="26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86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建设项目名称</w:t>
            </w:r>
          </w:p>
        </w:tc>
        <w:tc>
          <w:tcPr>
            <w:tcW w:w="7256" w:type="dxa"/>
            <w:gridSpan w:val="4"/>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且末县苏盖提坎铜镍矿勘探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86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项目代码</w:t>
            </w:r>
          </w:p>
        </w:tc>
        <w:tc>
          <w:tcPr>
            <w:tcW w:w="7256" w:type="dxa"/>
            <w:gridSpan w:val="4"/>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86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highlight w:val="none"/>
                <w14:textFill>
                  <w14:solidFill>
                    <w14:schemeClr w14:val="tx1"/>
                  </w14:solidFill>
                </w14:textFill>
              </w:rPr>
            </w:pPr>
            <w:r>
              <w:rPr>
                <w:rFonts w:hint="default" w:ascii="Times New Roman" w:hAnsi="Times New Roman" w:eastAsia="华文中宋" w:cs="Times New Roman"/>
                <w:color w:val="000000" w:themeColor="text1"/>
                <w:sz w:val="24"/>
                <w:szCs w:val="24"/>
                <w:highlight w:val="none"/>
                <w14:textFill>
                  <w14:solidFill>
                    <w14:schemeClr w14:val="tx1"/>
                  </w14:solidFill>
                </w14:textFill>
              </w:rPr>
              <w:t>建设单位联系人</w:t>
            </w:r>
          </w:p>
        </w:tc>
        <w:tc>
          <w:tcPr>
            <w:tcW w:w="2408" w:type="dxa"/>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pPr>
          </w:p>
        </w:tc>
        <w:tc>
          <w:tcPr>
            <w:tcW w:w="2228" w:type="dxa"/>
            <w:gridSpan w:val="2"/>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highlight w:val="none"/>
                <w14:textFill>
                  <w14:solidFill>
                    <w14:schemeClr w14:val="tx1"/>
                  </w14:solidFill>
                </w14:textFill>
              </w:rPr>
            </w:pPr>
          </w:p>
        </w:tc>
        <w:tc>
          <w:tcPr>
            <w:tcW w:w="2620" w:type="dxa"/>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86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建设地点</w:t>
            </w:r>
          </w:p>
        </w:tc>
        <w:tc>
          <w:tcPr>
            <w:tcW w:w="7256" w:type="dxa"/>
            <w:gridSpan w:val="4"/>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86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地理坐标</w:t>
            </w:r>
          </w:p>
        </w:tc>
        <w:tc>
          <w:tcPr>
            <w:tcW w:w="7256" w:type="dxa"/>
            <w:gridSpan w:val="4"/>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86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建设项目</w:t>
            </w:r>
          </w:p>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行业类别</w:t>
            </w:r>
          </w:p>
        </w:tc>
        <w:tc>
          <w:tcPr>
            <w:tcW w:w="2408" w:type="dxa"/>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四十六、专业技术服务业-99、陆地矿产资源地质勘查（含油气资源勘探）</w:t>
            </w:r>
          </w:p>
        </w:tc>
        <w:tc>
          <w:tcPr>
            <w:tcW w:w="2218" w:type="dxa"/>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用地（用海）面积（</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k</w:t>
            </w:r>
            <w:r>
              <w:rPr>
                <w:rFonts w:hint="default" w:ascii="Times New Roman" w:hAnsi="Times New Roman" w:eastAsia="华文中宋" w:cs="Times New Roman"/>
                <w:color w:val="000000" w:themeColor="text1"/>
                <w:sz w:val="24"/>
                <w:szCs w:val="24"/>
                <w14:textFill>
                  <w14:solidFill>
                    <w14:schemeClr w14:val="tx1"/>
                  </w14:solidFill>
                </w14:textFill>
              </w:rPr>
              <w:t>m</w:t>
            </w:r>
            <w:r>
              <w:rPr>
                <w:rFonts w:hint="default" w:ascii="Times New Roman" w:hAnsi="Times New Roman" w:eastAsia="华文中宋" w:cs="Times New Roman"/>
                <w:color w:val="000000" w:themeColor="text1"/>
                <w:sz w:val="24"/>
                <w:szCs w:val="24"/>
                <w:vertAlign w:val="superscript"/>
                <w14:textFill>
                  <w14:solidFill>
                    <w14:schemeClr w14:val="tx1"/>
                  </w14:solidFill>
                </w14:textFill>
              </w:rPr>
              <w:t>2</w:t>
            </w:r>
            <w:r>
              <w:rPr>
                <w:rFonts w:hint="default" w:ascii="Times New Roman" w:hAnsi="Times New Roman" w:eastAsia="华文中宋" w:cs="Times New Roman"/>
                <w:color w:val="000000" w:themeColor="text1"/>
                <w:sz w:val="24"/>
                <w:szCs w:val="24"/>
                <w14:textFill>
                  <w14:solidFill>
                    <w14:schemeClr w14:val="tx1"/>
                  </w14:solidFill>
                </w14:textFill>
              </w:rPr>
              <w:t>）/长度（km）</w:t>
            </w:r>
          </w:p>
        </w:tc>
        <w:tc>
          <w:tcPr>
            <w:tcW w:w="2630" w:type="dxa"/>
            <w:gridSpan w:val="2"/>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探矿区范围面积18.99km</w:t>
            </w:r>
            <w:r>
              <w:rPr>
                <w:rFonts w:hint="default" w:ascii="Times New Roman" w:hAnsi="Times New Roman" w:eastAsia="华文中宋" w:cs="Times New Roman"/>
                <w:color w:val="000000" w:themeColor="text1"/>
                <w:sz w:val="24"/>
                <w:szCs w:val="24"/>
                <w:vertAlign w:val="superscript"/>
                <w:lang w:val="en-US" w:eastAsia="zh-CN"/>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86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建设性质</w:t>
            </w:r>
          </w:p>
        </w:tc>
        <w:tc>
          <w:tcPr>
            <w:tcW w:w="2408" w:type="dxa"/>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left"/>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sym w:font="Wingdings 2" w:char="0052"/>
            </w:r>
            <w:r>
              <w:rPr>
                <w:rFonts w:hint="default" w:ascii="Times New Roman" w:hAnsi="Times New Roman" w:eastAsia="华文中宋" w:cs="Times New Roman"/>
                <w:color w:val="000000" w:themeColor="text1"/>
                <w:sz w:val="24"/>
                <w:szCs w:val="24"/>
                <w14:textFill>
                  <w14:solidFill>
                    <w14:schemeClr w14:val="tx1"/>
                  </w14:solidFill>
                </w14:textFill>
              </w:rPr>
              <w:t>新建（迁建）</w:t>
            </w:r>
          </w:p>
          <w:p>
            <w:pPr>
              <w:keepNext w:val="0"/>
              <w:keepLines w:val="0"/>
              <w:pageBreakBefore w:val="0"/>
              <w:widowControl w:val="0"/>
              <w:kinsoku/>
              <w:wordWrap/>
              <w:overflowPunct/>
              <w:topLinePunct w:val="0"/>
              <w:bidi w:val="0"/>
              <w:adjustRightInd w:val="0"/>
              <w:snapToGrid w:val="0"/>
              <w:spacing w:line="280" w:lineRule="exact"/>
              <w:ind w:firstLine="0" w:firstLineChars="0"/>
              <w:jc w:val="left"/>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□改建</w:t>
            </w:r>
          </w:p>
          <w:p>
            <w:pPr>
              <w:keepNext w:val="0"/>
              <w:keepLines w:val="0"/>
              <w:pageBreakBefore w:val="0"/>
              <w:widowControl w:val="0"/>
              <w:kinsoku/>
              <w:wordWrap/>
              <w:overflowPunct/>
              <w:topLinePunct w:val="0"/>
              <w:bidi w:val="0"/>
              <w:adjustRightInd w:val="0"/>
              <w:snapToGrid w:val="0"/>
              <w:spacing w:line="280" w:lineRule="exact"/>
              <w:ind w:firstLine="0" w:firstLineChars="0"/>
              <w:jc w:val="left"/>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□扩建</w:t>
            </w:r>
          </w:p>
          <w:p>
            <w:pPr>
              <w:keepNext w:val="0"/>
              <w:keepLines w:val="0"/>
              <w:pageBreakBefore w:val="0"/>
              <w:widowControl w:val="0"/>
              <w:kinsoku/>
              <w:wordWrap/>
              <w:overflowPunct/>
              <w:topLinePunct w:val="0"/>
              <w:bidi w:val="0"/>
              <w:adjustRightInd w:val="0"/>
              <w:snapToGrid w:val="0"/>
              <w:spacing w:line="280" w:lineRule="exact"/>
              <w:ind w:firstLine="0" w:firstLineChars="0"/>
              <w:jc w:val="left"/>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□技术改造</w:t>
            </w:r>
          </w:p>
        </w:tc>
        <w:tc>
          <w:tcPr>
            <w:tcW w:w="2218" w:type="dxa"/>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建设项目</w:t>
            </w:r>
          </w:p>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申报情形</w:t>
            </w:r>
          </w:p>
        </w:tc>
        <w:tc>
          <w:tcPr>
            <w:tcW w:w="2630" w:type="dxa"/>
            <w:gridSpan w:val="2"/>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left"/>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sym w:font="Wingdings 2" w:char="0052"/>
            </w:r>
            <w:r>
              <w:rPr>
                <w:rFonts w:hint="default" w:ascii="Times New Roman" w:hAnsi="Times New Roman" w:eastAsia="华文中宋" w:cs="Times New Roman"/>
                <w:color w:val="000000" w:themeColor="text1"/>
                <w:sz w:val="24"/>
                <w:szCs w:val="24"/>
                <w14:textFill>
                  <w14:solidFill>
                    <w14:schemeClr w14:val="tx1"/>
                  </w14:solidFill>
                </w14:textFill>
              </w:rPr>
              <w:t>首次申报项目</w:t>
            </w:r>
          </w:p>
          <w:p>
            <w:pPr>
              <w:keepNext w:val="0"/>
              <w:keepLines w:val="0"/>
              <w:pageBreakBefore w:val="0"/>
              <w:widowControl w:val="0"/>
              <w:kinsoku/>
              <w:wordWrap/>
              <w:overflowPunct/>
              <w:topLinePunct w:val="0"/>
              <w:bidi w:val="0"/>
              <w:adjustRightInd w:val="0"/>
              <w:snapToGrid w:val="0"/>
              <w:spacing w:line="280" w:lineRule="exact"/>
              <w:ind w:firstLine="0" w:firstLineChars="0"/>
              <w:jc w:val="left"/>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□不予批准后再次申报项目</w:t>
            </w:r>
          </w:p>
          <w:p>
            <w:pPr>
              <w:keepNext w:val="0"/>
              <w:keepLines w:val="0"/>
              <w:pageBreakBefore w:val="0"/>
              <w:widowControl w:val="0"/>
              <w:kinsoku/>
              <w:wordWrap/>
              <w:overflowPunct/>
              <w:topLinePunct w:val="0"/>
              <w:bidi w:val="0"/>
              <w:adjustRightInd w:val="0"/>
              <w:snapToGrid w:val="0"/>
              <w:spacing w:line="280" w:lineRule="exact"/>
              <w:ind w:firstLine="0" w:firstLineChars="0"/>
              <w:jc w:val="left"/>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□超五年重新审核项目</w:t>
            </w:r>
          </w:p>
          <w:p>
            <w:pPr>
              <w:keepNext w:val="0"/>
              <w:keepLines w:val="0"/>
              <w:pageBreakBefore w:val="0"/>
              <w:widowControl w:val="0"/>
              <w:kinsoku/>
              <w:wordWrap/>
              <w:overflowPunct/>
              <w:topLinePunct w:val="0"/>
              <w:bidi w:val="0"/>
              <w:adjustRightInd w:val="0"/>
              <w:snapToGrid w:val="0"/>
              <w:spacing w:line="280" w:lineRule="exact"/>
              <w:ind w:firstLine="0" w:firstLineChars="0"/>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86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项目审批（核准/</w:t>
            </w:r>
          </w:p>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备案）部门（选填）</w:t>
            </w:r>
          </w:p>
        </w:tc>
        <w:tc>
          <w:tcPr>
            <w:tcW w:w="2408" w:type="dxa"/>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w:t>
            </w:r>
          </w:p>
        </w:tc>
        <w:tc>
          <w:tcPr>
            <w:tcW w:w="2218" w:type="dxa"/>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项目审批（核准/</w:t>
            </w:r>
          </w:p>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备案）文号（选填）</w:t>
            </w:r>
          </w:p>
        </w:tc>
        <w:tc>
          <w:tcPr>
            <w:tcW w:w="2630" w:type="dxa"/>
            <w:gridSpan w:val="2"/>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86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总投资（万元）</w:t>
            </w:r>
          </w:p>
        </w:tc>
        <w:tc>
          <w:tcPr>
            <w:tcW w:w="2408" w:type="dxa"/>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338.56</w:t>
            </w:r>
          </w:p>
        </w:tc>
        <w:tc>
          <w:tcPr>
            <w:tcW w:w="2218"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环保投资（万元）</w:t>
            </w:r>
          </w:p>
        </w:tc>
        <w:tc>
          <w:tcPr>
            <w:tcW w:w="2630" w:type="dxa"/>
            <w:gridSpan w:val="2"/>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86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环保投资占比（%）</w:t>
            </w:r>
          </w:p>
        </w:tc>
        <w:tc>
          <w:tcPr>
            <w:tcW w:w="2408" w:type="dxa"/>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4.73</w:t>
            </w:r>
          </w:p>
        </w:tc>
        <w:tc>
          <w:tcPr>
            <w:tcW w:w="2218"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施工工期</w:t>
            </w:r>
          </w:p>
        </w:tc>
        <w:tc>
          <w:tcPr>
            <w:tcW w:w="2630" w:type="dxa"/>
            <w:gridSpan w:val="2"/>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6个月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861"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是否开工建设</w:t>
            </w:r>
          </w:p>
        </w:tc>
        <w:tc>
          <w:tcPr>
            <w:tcW w:w="7256" w:type="dxa"/>
            <w:gridSpan w:val="4"/>
            <w:noWrap w:val="0"/>
            <w:vAlign w:val="center"/>
          </w:tcPr>
          <w:p>
            <w:pPr>
              <w:keepNext w:val="0"/>
              <w:keepLines w:val="0"/>
              <w:pageBreakBefore w:val="0"/>
              <w:widowControl w:val="0"/>
              <w:kinsoku/>
              <w:wordWrap/>
              <w:overflowPunct/>
              <w:topLinePunct w:val="0"/>
              <w:bidi w:val="0"/>
              <w:adjustRightInd w:val="0"/>
              <w:snapToGrid w:val="0"/>
              <w:spacing w:line="280" w:lineRule="exact"/>
              <w:ind w:firstLine="0" w:firstLineChars="0"/>
              <w:jc w:val="left"/>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sym w:font="Wingdings 2" w:char="0052"/>
            </w:r>
            <w:r>
              <w:rPr>
                <w:rFonts w:hint="default" w:ascii="Times New Roman" w:hAnsi="Times New Roman" w:eastAsia="华文中宋" w:cs="Times New Roman"/>
                <w:color w:val="000000" w:themeColor="text1"/>
                <w:sz w:val="24"/>
                <w:szCs w:val="24"/>
                <w14:textFill>
                  <w14:solidFill>
                    <w14:schemeClr w14:val="tx1"/>
                  </w14:solidFill>
                </w14:textFill>
              </w:rPr>
              <w:t>否</w:t>
            </w:r>
          </w:p>
          <w:p>
            <w:pPr>
              <w:keepNext w:val="0"/>
              <w:keepLines w:val="0"/>
              <w:pageBreakBefore w:val="0"/>
              <w:widowControl w:val="0"/>
              <w:kinsoku/>
              <w:wordWrap/>
              <w:overflowPunct/>
              <w:topLinePunct w:val="0"/>
              <w:bidi w:val="0"/>
              <w:adjustRightInd w:val="0"/>
              <w:snapToGrid w:val="0"/>
              <w:spacing w:line="280" w:lineRule="exact"/>
              <w:ind w:firstLine="0" w:firstLineChars="0"/>
              <w:jc w:val="left"/>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□是：</w:t>
            </w:r>
            <w:r>
              <w:rPr>
                <w:rFonts w:hint="default" w:ascii="Times New Roman" w:hAnsi="Times New Roman" w:eastAsia="华文中宋" w:cs="Times New Roman"/>
                <w:color w:val="000000" w:themeColor="text1"/>
                <w:sz w:val="24"/>
                <w:szCs w:val="24"/>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1861" w:type="dxa"/>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kern w:val="0"/>
                <w:sz w:val="24"/>
                <w:szCs w:val="24"/>
                <w14:textFill>
                  <w14:solidFill>
                    <w14:schemeClr w14:val="tx1"/>
                  </w14:solidFill>
                </w14:textFill>
              </w:rPr>
            </w:pPr>
            <w:r>
              <w:rPr>
                <w:rFonts w:hint="default" w:ascii="Times New Roman" w:hAnsi="Times New Roman" w:eastAsia="华文中宋" w:cs="Times New Roman"/>
                <w:color w:val="000000" w:themeColor="text1"/>
                <w:kern w:val="0"/>
                <w:sz w:val="24"/>
                <w:szCs w:val="24"/>
                <w14:textFill>
                  <w14:solidFill>
                    <w14:schemeClr w14:val="tx1"/>
                  </w14:solidFill>
                </w14:textFill>
              </w:rPr>
              <w:t>专项评价设置情况</w:t>
            </w:r>
          </w:p>
        </w:tc>
        <w:tc>
          <w:tcPr>
            <w:tcW w:w="7256" w:type="dxa"/>
            <w:gridSpan w:val="4"/>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1861" w:type="dxa"/>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kern w:val="0"/>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规划情况</w:t>
            </w:r>
          </w:p>
        </w:tc>
        <w:tc>
          <w:tcPr>
            <w:tcW w:w="7256" w:type="dxa"/>
            <w:gridSpan w:val="4"/>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both"/>
              <w:textAlignment w:val="auto"/>
              <w:rPr>
                <w:rFonts w:hint="default" w:ascii="Times New Roman" w:hAnsi="Times New Roman" w:eastAsia="华文中宋" w:cs="Times New Roman"/>
                <w:color w:val="000000" w:themeColor="text1"/>
                <w:spacing w:val="0"/>
                <w:kern w:val="0"/>
                <w:sz w:val="24"/>
                <w:szCs w:val="24"/>
                <w:highlight w:val="none"/>
                <w:lang w:val="en-US" w:eastAsia="zh-CN"/>
                <w14:textFill>
                  <w14:solidFill>
                    <w14:schemeClr w14:val="tx1"/>
                  </w14:solidFill>
                </w14:textFill>
              </w:rPr>
            </w:pPr>
            <w:r>
              <w:rPr>
                <w:rFonts w:hint="default" w:ascii="Times New Roman" w:hAnsi="Times New Roman" w:eastAsia="华文中宋" w:cs="Times New Roman"/>
                <w:color w:val="000000" w:themeColor="text1"/>
                <w:spacing w:val="0"/>
                <w:kern w:val="0"/>
                <w:sz w:val="24"/>
                <w:szCs w:val="24"/>
                <w:highlight w:val="none"/>
                <w:lang w:val="en-US" w:eastAsia="zh-CN"/>
                <w14:textFill>
                  <w14:solidFill>
                    <w14:schemeClr w14:val="tx1"/>
                  </w14:solidFill>
                </w14:textFill>
              </w:rPr>
              <w:t>规划名称：《新疆维吾尔自治区矿产资源总体规划（2021-2025年）》；审批机关：自然资源部；</w:t>
            </w:r>
          </w:p>
          <w:p>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both"/>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pacing w:val="0"/>
                <w:kern w:val="0"/>
                <w:sz w:val="24"/>
                <w:szCs w:val="24"/>
                <w:highlight w:val="none"/>
                <w:lang w:val="en-US" w:eastAsia="zh-CN"/>
                <w14:textFill>
                  <w14:solidFill>
                    <w14:schemeClr w14:val="tx1"/>
                  </w14:solidFill>
                </w14:textFill>
              </w:rPr>
              <w:t>审批文号：自然资函〔2022〕1092号。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1861" w:type="dxa"/>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规划环境影响</w:t>
            </w:r>
          </w:p>
          <w:p>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kern w:val="0"/>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评价情况</w:t>
            </w:r>
          </w:p>
        </w:tc>
        <w:tc>
          <w:tcPr>
            <w:tcW w:w="7256" w:type="dxa"/>
            <w:gridSpan w:val="4"/>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88" w:lineRule="auto"/>
              <w:ind w:firstLine="0" w:firstLineChars="0"/>
              <w:jc w:val="both"/>
              <w:textAlignment w:val="auto"/>
              <w:rPr>
                <w:rFonts w:hint="default" w:ascii="Times New Roman" w:hAnsi="Times New Roman" w:eastAsia="华文中宋" w:cs="Times New Roman"/>
                <w:color w:val="000000" w:themeColor="text1"/>
                <w:spacing w:val="0"/>
                <w:kern w:val="0"/>
                <w:sz w:val="24"/>
                <w:szCs w:val="24"/>
                <w:highlight w:val="none"/>
                <w:lang w:val="en-US" w:eastAsia="zh-CN"/>
                <w14:textFill>
                  <w14:solidFill>
                    <w14:schemeClr w14:val="tx1"/>
                  </w14:solidFill>
                </w14:textFill>
              </w:rPr>
            </w:pPr>
            <w:r>
              <w:rPr>
                <w:rFonts w:hint="default" w:ascii="Times New Roman" w:hAnsi="Times New Roman" w:eastAsia="华文中宋" w:cs="Times New Roman"/>
                <w:color w:val="000000" w:themeColor="text1"/>
                <w:spacing w:val="0"/>
                <w:kern w:val="0"/>
                <w:sz w:val="24"/>
                <w:szCs w:val="24"/>
                <w:highlight w:val="none"/>
                <w:lang w:val="en-US" w:eastAsia="zh-CN"/>
                <w14:textFill>
                  <w14:solidFill>
                    <w14:schemeClr w14:val="tx1"/>
                  </w14:solidFill>
                </w14:textFill>
              </w:rPr>
              <w:t>环评文件名称：《新疆维吾尔自治区矿产资源总体规划（2021-2025 年）环境影响报告书》；</w:t>
            </w:r>
          </w:p>
          <w:p>
            <w:pPr>
              <w:keepNext w:val="0"/>
              <w:keepLines w:val="0"/>
              <w:pageBreakBefore w:val="0"/>
              <w:widowControl w:val="0"/>
              <w:kinsoku/>
              <w:wordWrap/>
              <w:overflowPunct/>
              <w:topLinePunct w:val="0"/>
              <w:bidi w:val="0"/>
              <w:adjustRightInd w:val="0"/>
              <w:snapToGrid w:val="0"/>
              <w:spacing w:line="288" w:lineRule="auto"/>
              <w:ind w:firstLine="0" w:firstLineChars="0"/>
              <w:jc w:val="both"/>
              <w:textAlignment w:val="auto"/>
              <w:rPr>
                <w:rFonts w:hint="default" w:ascii="Times New Roman" w:hAnsi="Times New Roman" w:eastAsia="华文中宋" w:cs="Times New Roman"/>
                <w:color w:val="000000" w:themeColor="text1"/>
                <w:spacing w:val="0"/>
                <w:kern w:val="0"/>
                <w:sz w:val="24"/>
                <w:szCs w:val="24"/>
                <w:highlight w:val="none"/>
                <w:lang w:val="en-US" w:eastAsia="zh-CN"/>
                <w14:textFill>
                  <w14:solidFill>
                    <w14:schemeClr w14:val="tx1"/>
                  </w14:solidFill>
                </w14:textFill>
              </w:rPr>
            </w:pPr>
            <w:r>
              <w:rPr>
                <w:rFonts w:hint="default" w:ascii="Times New Roman" w:hAnsi="Times New Roman" w:eastAsia="华文中宋" w:cs="Times New Roman"/>
                <w:color w:val="000000" w:themeColor="text1"/>
                <w:spacing w:val="0"/>
                <w:kern w:val="0"/>
                <w:sz w:val="24"/>
                <w:szCs w:val="24"/>
                <w:highlight w:val="none"/>
                <w:lang w:val="en-US" w:eastAsia="zh-CN"/>
                <w14:textFill>
                  <w14:solidFill>
                    <w14:schemeClr w14:val="tx1"/>
                  </w14:solidFill>
                </w14:textFill>
              </w:rPr>
              <w:t>审查机关：生态环境部；</w:t>
            </w:r>
          </w:p>
          <w:p>
            <w:pPr>
              <w:keepNext w:val="0"/>
              <w:keepLines w:val="0"/>
              <w:pageBreakBefore w:val="0"/>
              <w:widowControl w:val="0"/>
              <w:kinsoku/>
              <w:wordWrap/>
              <w:overflowPunct/>
              <w:topLinePunct w:val="0"/>
              <w:bidi w:val="0"/>
              <w:adjustRightInd w:val="0"/>
              <w:snapToGrid w:val="0"/>
              <w:spacing w:line="288" w:lineRule="auto"/>
              <w:ind w:firstLine="0" w:firstLineChars="0"/>
              <w:jc w:val="both"/>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pacing w:val="0"/>
                <w:kern w:val="0"/>
                <w:sz w:val="24"/>
                <w:szCs w:val="24"/>
                <w:highlight w:val="none"/>
                <w:lang w:val="en-US" w:eastAsia="zh-CN"/>
                <w14:textFill>
                  <w14:solidFill>
                    <w14:schemeClr w14:val="tx1"/>
                  </w14:solidFill>
                </w14:textFill>
              </w:rPr>
              <w:t>审查文件名称及文号：关于《新疆维吾尔自治区矿产资源总体规划（2021-2025年）环境影响报告书》的审查意见（环审〔2022〕124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861" w:type="dxa"/>
            <w:gridSpan w:val="2"/>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jc w:val="center"/>
              <w:textAlignment w:val="auto"/>
              <w:rPr>
                <w:rFonts w:hint="default" w:ascii="Times New Roman" w:hAnsi="Times New Roman" w:eastAsia="华文中宋" w:cs="Times New Roman"/>
                <w:color w:val="000000" w:themeColor="text1"/>
                <w:kern w:val="0"/>
                <w:sz w:val="24"/>
                <w:szCs w:val="24"/>
                <w14:textFill>
                  <w14:solidFill>
                    <w14:schemeClr w14:val="tx1"/>
                  </w14:solidFill>
                </w14:textFill>
              </w:rPr>
            </w:pPr>
            <w:r>
              <w:rPr>
                <w:rFonts w:hint="default" w:ascii="Times New Roman" w:hAnsi="Times New Roman" w:eastAsia="华文中宋" w:cs="Times New Roman"/>
                <w:color w:val="000000" w:themeColor="text1"/>
                <w:kern w:val="0"/>
                <w:sz w:val="24"/>
                <w:szCs w:val="24"/>
                <w14:textFill>
                  <w14:solidFill>
                    <w14:schemeClr w14:val="tx1"/>
                  </w14:solidFill>
                </w14:textFill>
              </w:rPr>
              <w:t>规划及</w:t>
            </w:r>
            <w:r>
              <w:rPr>
                <w:rFonts w:hint="default" w:ascii="Times New Roman" w:hAnsi="Times New Roman" w:eastAsia="华文中宋" w:cs="Times New Roman"/>
                <w:color w:val="000000" w:themeColor="text1"/>
                <w:sz w:val="24"/>
                <w:szCs w:val="24"/>
                <w14:textFill>
                  <w14:solidFill>
                    <w14:schemeClr w14:val="tx1"/>
                  </w14:solidFill>
                </w14:textFill>
              </w:rPr>
              <w:t>规划环境影响评价</w:t>
            </w:r>
            <w:r>
              <w:rPr>
                <w:rFonts w:hint="default" w:ascii="Times New Roman" w:hAnsi="Times New Roman" w:eastAsia="华文中宋" w:cs="Times New Roman"/>
                <w:color w:val="000000" w:themeColor="text1"/>
                <w:kern w:val="0"/>
                <w:sz w:val="24"/>
                <w:szCs w:val="24"/>
                <w14:textFill>
                  <w14:solidFill>
                    <w14:schemeClr w14:val="tx1"/>
                  </w14:solidFill>
                </w14:textFill>
              </w:rPr>
              <w:t>符合性分析</w:t>
            </w:r>
          </w:p>
        </w:tc>
        <w:tc>
          <w:tcPr>
            <w:tcW w:w="7256" w:type="dxa"/>
            <w:gridSpan w:val="4"/>
            <w:noWrap w:val="0"/>
            <w:tcMar>
              <w:top w:w="16" w:type="dxa"/>
              <w:left w:w="16" w:type="dxa"/>
              <w:right w:w="16" w:type="dxa"/>
            </w:tcMar>
            <w:vAlign w:val="center"/>
          </w:tcPr>
          <w:p>
            <w:pPr>
              <w:pStyle w:val="7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1、与</w:t>
            </w:r>
            <w:r>
              <w:rPr>
                <w:rFonts w:hint="default" w:ascii="Times New Roman" w:hAnsi="Times New Roman" w:eastAsia="华文中宋" w:cs="Times New Roman"/>
                <w:b/>
                <w:bCs/>
                <w:color w:val="000000" w:themeColor="text1"/>
                <w:sz w:val="24"/>
                <w:szCs w:val="24"/>
                <w14:textFill>
                  <w14:solidFill>
                    <w14:schemeClr w14:val="tx1"/>
                  </w14:solidFill>
                </w14:textFill>
              </w:rPr>
              <w:t>《新疆维吾尔自治区矿产资源总体规划</w:t>
            </w:r>
            <w:r>
              <w:rPr>
                <w:rFonts w:hint="default" w:ascii="Times New Roman" w:hAnsi="Times New Roman" w:eastAsia="华文中宋" w:cs="Times New Roman"/>
                <w:b/>
                <w:bCs/>
                <w:color w:val="000000" w:themeColor="text1"/>
                <w:sz w:val="24"/>
                <w:szCs w:val="24"/>
                <w:lang w:eastAsia="zh-CN"/>
                <w14:textFill>
                  <w14:solidFill>
                    <w14:schemeClr w14:val="tx1"/>
                  </w14:solidFill>
                </w14:textFill>
              </w:rPr>
              <w:t>》</w:t>
            </w:r>
            <w:r>
              <w:rPr>
                <w:rFonts w:hint="default" w:ascii="Times New Roman" w:hAnsi="Times New Roman" w:eastAsia="华文中宋" w:cs="Times New Roman"/>
                <w:b/>
                <w:bCs/>
                <w:color w:val="000000" w:themeColor="text1"/>
                <w:sz w:val="24"/>
                <w:szCs w:val="24"/>
                <w14:textFill>
                  <w14:solidFill>
                    <w14:schemeClr w14:val="tx1"/>
                  </w14:solidFill>
                </w14:textFill>
              </w:rPr>
              <w:t>（20</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21</w:t>
            </w:r>
            <w:r>
              <w:rPr>
                <w:rFonts w:hint="default" w:ascii="Times New Roman" w:hAnsi="Times New Roman" w:eastAsia="华文中宋" w:cs="Times New Roman"/>
                <w:b/>
                <w:bCs/>
                <w:color w:val="000000" w:themeColor="text1"/>
                <w:sz w:val="24"/>
                <w:szCs w:val="24"/>
                <w14:textFill>
                  <w14:solidFill>
                    <w14:schemeClr w14:val="tx1"/>
                  </w14:solidFill>
                </w14:textFill>
              </w:rPr>
              <w:t>-202</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5</w:t>
            </w:r>
            <w:r>
              <w:rPr>
                <w:rFonts w:hint="default" w:ascii="Times New Roman" w:hAnsi="Times New Roman" w:eastAsia="华文中宋" w:cs="Times New Roman"/>
                <w:b/>
                <w:bCs/>
                <w:color w:val="000000" w:themeColor="text1"/>
                <w:sz w:val="24"/>
                <w:szCs w:val="24"/>
                <w14:textFill>
                  <w14:solidFill>
                    <w14:schemeClr w14:val="tx1"/>
                  </w14:solidFill>
                </w14:textFill>
              </w:rPr>
              <w:t>年）</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的符合性</w:t>
            </w:r>
          </w:p>
          <w:p>
            <w:pPr>
              <w:pStyle w:val="7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根据</w:t>
            </w:r>
            <w:r>
              <w:rPr>
                <w:rFonts w:hint="default" w:ascii="Times New Roman" w:hAnsi="Times New Roman" w:eastAsia="华文中宋" w:cs="Times New Roman"/>
                <w:color w:val="000000" w:themeColor="text1"/>
                <w:sz w:val="24"/>
                <w:szCs w:val="24"/>
                <w14:textFill>
                  <w14:solidFill>
                    <w14:schemeClr w14:val="tx1"/>
                  </w14:solidFill>
                </w14:textFill>
              </w:rPr>
              <w:t>《新疆维吾尔自治区矿产资源总体规划</w:t>
            </w:r>
            <w:r>
              <w:rPr>
                <w:rFonts w:hint="default" w:ascii="Times New Roman" w:hAnsi="Times New Roman" w:eastAsia="华文中宋" w:cs="Times New Roman"/>
                <w:color w:val="000000" w:themeColor="text1"/>
                <w:sz w:val="24"/>
                <w:szCs w:val="24"/>
                <w:lang w:eastAsia="zh-CN"/>
                <w14:textFill>
                  <w14:solidFill>
                    <w14:schemeClr w14:val="tx1"/>
                  </w14:solidFill>
                </w14:textFill>
              </w:rPr>
              <w:t>》</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要求“</w:t>
            </w:r>
            <w:r>
              <w:rPr>
                <w:rFonts w:hint="default" w:ascii="Times New Roman" w:hAnsi="Times New Roman" w:eastAsia="华文中宋" w:cs="Times New Roman"/>
                <w:color w:val="000000" w:themeColor="text1"/>
                <w:sz w:val="24"/>
                <w:szCs w:val="24"/>
                <w14:textFill>
                  <w14:solidFill>
                    <w14:schemeClr w14:val="tx1"/>
                  </w14:solidFill>
                </w14:textFill>
              </w:rPr>
              <w:t>落实国家能源资源安全战略，结合新疆实际，合理确定重点、限制、禁止勘查开采矿种。</w:t>
            </w:r>
          </w:p>
          <w:p>
            <w:pPr>
              <w:pStyle w:val="7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——重点勘查开采矿种：石油、天然气、页岩气、煤层气、煤、地热等能源矿产，铁、铬、锰、</w:t>
            </w:r>
            <w:r>
              <w:rPr>
                <w:rFonts w:hint="default" w:ascii="Times New Roman" w:hAnsi="Times New Roman" w:eastAsia="华文中宋" w:cs="Times New Roman"/>
                <w:b/>
                <w:bCs/>
                <w:color w:val="000000" w:themeColor="text1"/>
                <w:sz w:val="24"/>
                <w:szCs w:val="24"/>
                <w14:textFill>
                  <w14:solidFill>
                    <w14:schemeClr w14:val="tx1"/>
                  </w14:solidFill>
                </w14:textFill>
              </w:rPr>
              <w:t>铜、镍</w:t>
            </w:r>
            <w:r>
              <w:rPr>
                <w:rFonts w:hint="default" w:ascii="Times New Roman" w:hAnsi="Times New Roman" w:eastAsia="华文中宋" w:cs="Times New Roman"/>
                <w:color w:val="000000" w:themeColor="text1"/>
                <w:sz w:val="24"/>
                <w:szCs w:val="24"/>
                <w14:textFill>
                  <w14:solidFill>
                    <w14:schemeClr w14:val="tx1"/>
                  </w14:solidFill>
                </w14:textFill>
              </w:rPr>
              <w:t>、钴、铅锌、金、锂、铍、钒、钛等金属矿产，以及钾盐、萤石、硅质原料等非金属矿产。</w:t>
            </w:r>
          </w:p>
          <w:p>
            <w:pPr>
              <w:pStyle w:val="7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——限制开采矿种：砖瓦用粘土等矿产，严格控制钨、稀土等特定保护性开采矿产。“限粘”县市禁止新设砖瓦用粘土采矿权。</w:t>
            </w:r>
          </w:p>
          <w:p>
            <w:pPr>
              <w:pStyle w:val="7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限制开采矿种，除严格矿业权人准入条件外，应论证资源供需形势，对开采总量进行调控，同时严格资源环境承载力论证，保护环境。合理控制国家规定实行保护性开采的特定矿种开采强度。</w:t>
            </w:r>
          </w:p>
          <w:p>
            <w:pPr>
              <w:pStyle w:val="7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——禁止开采矿种：禁止开采砷和放射性等有毒有害物质超过规定标准的煤炭项目，砂铁、汞、可耕地砖瓦用粘土等矿产。除和田地区外其他地区禁止新设砂金开采项目，严格砂金开发项目环境影响评价。</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w:t>
            </w:r>
          </w:p>
          <w:p>
            <w:pPr>
              <w:pStyle w:val="7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本项目</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勘探</w:t>
            </w:r>
            <w:r>
              <w:rPr>
                <w:rFonts w:hint="default" w:ascii="Times New Roman" w:hAnsi="Times New Roman" w:eastAsia="华文中宋" w:cs="Times New Roman"/>
                <w:color w:val="000000" w:themeColor="text1"/>
                <w:sz w:val="24"/>
                <w:szCs w:val="24"/>
                <w14:textFill>
                  <w14:solidFill>
                    <w14:schemeClr w14:val="tx1"/>
                  </w14:solidFill>
                </w14:textFill>
              </w:rPr>
              <w:t>矿</w:t>
            </w:r>
            <w:r>
              <w:rPr>
                <w:rFonts w:hint="default" w:ascii="Times New Roman" w:hAnsi="Times New Roman" w:eastAsia="华文中宋" w:cs="Times New Roman"/>
                <w:color w:val="000000" w:themeColor="text1"/>
                <w:sz w:val="24"/>
                <w:szCs w:val="24"/>
                <w:highlight w:val="none"/>
                <w14:textFill>
                  <w14:solidFill>
                    <w14:schemeClr w14:val="tx1"/>
                  </w14:solidFill>
                </w14:textFill>
              </w:rPr>
              <w:t>种为</w:t>
            </w:r>
            <w:r>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t>铜镍矿</w:t>
            </w:r>
            <w:r>
              <w:rPr>
                <w:rFonts w:hint="default" w:ascii="Times New Roman" w:hAnsi="Times New Roman" w:eastAsia="华文中宋" w:cs="Times New Roman"/>
                <w:color w:val="000000" w:themeColor="text1"/>
                <w:sz w:val="24"/>
                <w:szCs w:val="24"/>
                <w:highlight w:val="none"/>
                <w14:textFill>
                  <w14:solidFill>
                    <w14:schemeClr w14:val="tx1"/>
                  </w14:solidFill>
                </w14:textFill>
              </w:rPr>
              <w:t>，铜</w:t>
            </w:r>
            <w:r>
              <w:rPr>
                <w:rFonts w:hint="default" w:ascii="Times New Roman" w:hAnsi="Times New Roman" w:eastAsia="华文中宋"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t>镍</w:t>
            </w:r>
            <w:r>
              <w:rPr>
                <w:rFonts w:hint="default" w:ascii="Times New Roman" w:hAnsi="Times New Roman" w:eastAsia="华文中宋" w:cs="Times New Roman"/>
                <w:color w:val="000000" w:themeColor="text1"/>
                <w:sz w:val="24"/>
                <w:szCs w:val="24"/>
                <w:highlight w:val="none"/>
                <w14:textFill>
                  <w14:solidFill>
                    <w14:schemeClr w14:val="tx1"/>
                  </w14:solidFill>
                </w14:textFill>
              </w:rPr>
              <w:t>矿属于重点勘查开采矿种。符合规划要求。因此，本项目符合《新疆维吾尔自治区矿产资源总体规划（2021-2025年）》。</w:t>
            </w:r>
          </w:p>
          <w:p>
            <w:pPr>
              <w:pStyle w:val="7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2、《巴音郭楞蒙古自治州矿产资源总体规划（2021-2025年）》的符合性</w:t>
            </w:r>
          </w:p>
          <w:p>
            <w:pPr>
              <w:pStyle w:val="16"/>
              <w:keepNext w:val="0"/>
              <w:keepLines w:val="0"/>
              <w:pageBreakBefore w:val="0"/>
              <w:widowControl w:val="0"/>
              <w:kinsoku/>
              <w:wordWrap/>
              <w:overflowPunct/>
              <w:topLinePunct w:val="0"/>
              <w:bidi w:val="0"/>
              <w:spacing w:line="500" w:lineRule="exact"/>
              <w:ind w:left="0" w:leftChars="0" w:firstLine="480" w:firstLineChars="200"/>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根据该规划可知，巴州矿产资源勘查调控方向：</w:t>
            </w:r>
          </w:p>
          <w:p>
            <w:pPr>
              <w:pStyle w:val="16"/>
              <w:keepNext w:val="0"/>
              <w:keepLines w:val="0"/>
              <w:pageBreakBefore w:val="0"/>
              <w:widowControl w:val="0"/>
              <w:kinsoku/>
              <w:wordWrap/>
              <w:overflowPunct/>
              <w:topLinePunct w:val="0"/>
              <w:bidi w:val="0"/>
              <w:spacing w:line="500" w:lineRule="exact"/>
              <w:ind w:left="0" w:leftChars="0" w:firstLine="480" w:firstLineChars="200"/>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（1）重点、限制、勘查矿种：</w:t>
            </w:r>
          </w:p>
          <w:p>
            <w:pPr>
              <w:pStyle w:val="16"/>
              <w:keepNext w:val="0"/>
              <w:keepLines w:val="0"/>
              <w:pageBreakBefore w:val="0"/>
              <w:widowControl w:val="0"/>
              <w:kinsoku/>
              <w:wordWrap/>
              <w:overflowPunct/>
              <w:topLinePunct w:val="0"/>
              <w:bidi w:val="0"/>
              <w:spacing w:line="500" w:lineRule="exact"/>
              <w:ind w:left="0" w:leftChars="0" w:firstLine="480" w:firstLineChars="200"/>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重点勘查矿种：页岩气、煤、煤层气、地热等能源矿产，铁、</w:t>
            </w:r>
            <w:r>
              <w:rPr>
                <w:rFonts w:hint="default" w:ascii="Times New Roman" w:hAnsi="Times New Roman" w:eastAsia="华文中宋" w:cs="Times New Roman"/>
                <w:b/>
                <w:bCs/>
                <w:color w:val="000000" w:themeColor="text1"/>
                <w:kern w:val="2"/>
                <w:sz w:val="24"/>
                <w:szCs w:val="24"/>
                <w:lang w:val="en-US" w:eastAsia="zh-CN" w:bidi="ar-SA"/>
                <w14:textFill>
                  <w14:solidFill>
                    <w14:schemeClr w14:val="tx1"/>
                  </w14:solidFill>
                </w14:textFill>
              </w:rPr>
              <w:t>铜、</w:t>
            </w: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铅锌、</w:t>
            </w:r>
            <w:r>
              <w:rPr>
                <w:rFonts w:hint="default" w:ascii="Times New Roman" w:hAnsi="Times New Roman" w:eastAsia="华文中宋" w:cs="Times New Roman"/>
                <w:b/>
                <w:bCs/>
                <w:color w:val="000000" w:themeColor="text1"/>
                <w:kern w:val="2"/>
                <w:sz w:val="24"/>
                <w:szCs w:val="24"/>
                <w:lang w:val="en-US" w:eastAsia="zh-CN" w:bidi="ar-SA"/>
                <w14:textFill>
                  <w14:solidFill>
                    <w14:schemeClr w14:val="tx1"/>
                  </w14:solidFill>
                </w14:textFill>
              </w:rPr>
              <w:t>镍</w:t>
            </w: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、锡、金、银、锂、铍、铌、钽等金属矿产，钾盐萤石、硅质原料、菱镁矿等非金属矿产。</w:t>
            </w:r>
          </w:p>
          <w:p>
            <w:pPr>
              <w:pStyle w:val="16"/>
              <w:keepNext w:val="0"/>
              <w:keepLines w:val="0"/>
              <w:pageBreakBefore w:val="0"/>
              <w:widowControl w:val="0"/>
              <w:kinsoku/>
              <w:wordWrap/>
              <w:overflowPunct/>
              <w:topLinePunct w:val="0"/>
              <w:bidi w:val="0"/>
              <w:spacing w:line="500" w:lineRule="exact"/>
              <w:ind w:left="0" w:leftChars="0" w:firstLine="480" w:firstLineChars="200"/>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限制勘查矿种：钨、稀土等国家规定实行保护性开采的特定矿种，高硫煤、石煤、硫铁矿、石棉等矿产，总量限制的非市场紧缺矿种等。</w:t>
            </w:r>
          </w:p>
          <w:p>
            <w:pPr>
              <w:pStyle w:val="16"/>
              <w:keepNext w:val="0"/>
              <w:keepLines w:val="0"/>
              <w:pageBreakBefore w:val="0"/>
              <w:widowControl w:val="0"/>
              <w:kinsoku/>
              <w:wordWrap/>
              <w:overflowPunct/>
              <w:topLinePunct w:val="0"/>
              <w:bidi w:val="0"/>
              <w:spacing w:line="500" w:lineRule="exact"/>
              <w:ind w:left="0" w:leftChars="0" w:firstLine="480" w:firstLineChars="200"/>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禁止勘查矿种：灰分大于40%或含硫大于3%的煤以及可耕地砖瓦用粘土、砂金、砂铁、汞等，放射性矿产等涉及国家战略利益的矿种。</w:t>
            </w:r>
          </w:p>
          <w:p>
            <w:pPr>
              <w:pStyle w:val="16"/>
              <w:keepNext w:val="0"/>
              <w:keepLines w:val="0"/>
              <w:pageBreakBefore w:val="0"/>
              <w:widowControl w:val="0"/>
              <w:kinsoku/>
              <w:wordWrap/>
              <w:overflowPunct/>
              <w:topLinePunct w:val="0"/>
              <w:bidi w:val="0"/>
              <w:spacing w:line="500" w:lineRule="exact"/>
              <w:ind w:left="0" w:leftChars="0" w:firstLine="480" w:firstLineChars="200"/>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对重点勘查矿种，加强财政资金投入，实施找矿突破战略实现新一轮找矿突破，优先投放探矿权，同时严格规范探矿权人准入条件，坚持绿色勘查，保护生态环境。</w:t>
            </w:r>
          </w:p>
          <w:p>
            <w:pPr>
              <w:pStyle w:val="16"/>
              <w:keepNext w:val="0"/>
              <w:keepLines w:val="0"/>
              <w:pageBreakBefore w:val="0"/>
              <w:widowControl w:val="0"/>
              <w:kinsoku/>
              <w:wordWrap/>
              <w:overflowPunct/>
              <w:topLinePunct w:val="0"/>
              <w:bidi w:val="0"/>
              <w:spacing w:line="500" w:lineRule="exact"/>
              <w:ind w:left="0" w:leftChars="0" w:firstLine="480" w:firstLineChars="200"/>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对限制勘查矿种，原则上不新设探矿权，确因经济发展和供需要求需要投放探矿权，除严格规范探矿权人准入条件外，要进行资源环境承载力论证，保护生态环境。禁止设置砂金探矿权。</w:t>
            </w:r>
          </w:p>
          <w:p>
            <w:pPr>
              <w:pStyle w:val="16"/>
              <w:keepNext w:val="0"/>
              <w:keepLines w:val="0"/>
              <w:pageBreakBefore w:val="0"/>
              <w:widowControl w:val="0"/>
              <w:kinsoku/>
              <w:wordWrap/>
              <w:overflowPunct/>
              <w:topLinePunct w:val="0"/>
              <w:bidi w:val="0"/>
              <w:spacing w:line="500" w:lineRule="exact"/>
              <w:ind w:left="0" w:leftChars="0" w:firstLine="480" w:firstLineChars="200"/>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本项目为铜镍矿勘探项目，其属于重点勘查矿种，符合《巴音郭楞蒙古自治州矿产资源总体规划（2021-2025年）》要求。</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ascii="Times New Roman" w:hAnsi="Times New Roman" w:eastAsia="华文中宋" w:cs="Times New Roman"/>
                <w:b/>
                <w:bCs/>
                <w:color w:val="000000" w:themeColor="text1"/>
                <w:sz w:val="24"/>
                <w:szCs w:val="24"/>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3、与《新疆维吾尔自治区矿产资源总体规划（2021-2025年）环境影响报告书》审查意见的符合性</w:t>
            </w:r>
          </w:p>
          <w:p>
            <w:pPr>
              <w:pStyle w:val="7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根据《新疆维吾尔自治区矿产资源总体规划（20</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21</w:t>
            </w:r>
            <w:r>
              <w:rPr>
                <w:rFonts w:hint="default" w:ascii="Times New Roman" w:hAnsi="Times New Roman" w:eastAsia="华文中宋" w:cs="Times New Roman"/>
                <w:color w:val="000000" w:themeColor="text1"/>
                <w:sz w:val="24"/>
                <w:szCs w:val="24"/>
                <w14:textFill>
                  <w14:solidFill>
                    <w14:schemeClr w14:val="tx1"/>
                  </w14:solidFill>
                </w14:textFill>
              </w:rPr>
              <w:t>-20</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25</w:t>
            </w:r>
            <w:r>
              <w:rPr>
                <w:rFonts w:hint="default" w:ascii="Times New Roman" w:hAnsi="Times New Roman" w:eastAsia="华文中宋" w:cs="Times New Roman"/>
                <w:color w:val="000000" w:themeColor="text1"/>
                <w:sz w:val="24"/>
                <w:szCs w:val="24"/>
                <w14:textFill>
                  <w14:solidFill>
                    <w14:schemeClr w14:val="tx1"/>
                  </w14:solidFill>
                </w14:textFill>
              </w:rPr>
              <w:t>年）环境影响报告书》于20</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22</w:t>
            </w:r>
            <w:r>
              <w:rPr>
                <w:rFonts w:hint="default" w:ascii="Times New Roman" w:hAnsi="Times New Roman" w:eastAsia="华文中宋" w:cs="Times New Roman"/>
                <w:color w:val="000000" w:themeColor="text1"/>
                <w:sz w:val="24"/>
                <w:szCs w:val="24"/>
                <w14:textFill>
                  <w14:solidFill>
                    <w14:schemeClr w14:val="tx1"/>
                  </w14:solidFill>
                </w14:textFill>
              </w:rPr>
              <w:t>年8月</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1</w:t>
            </w:r>
            <w:r>
              <w:rPr>
                <w:rFonts w:hint="default" w:ascii="Times New Roman" w:hAnsi="Times New Roman" w:eastAsia="华文中宋" w:cs="Times New Roman"/>
                <w:color w:val="000000" w:themeColor="text1"/>
                <w:sz w:val="24"/>
                <w:szCs w:val="24"/>
                <w14:textFill>
                  <w14:solidFill>
                    <w14:schemeClr w14:val="tx1"/>
                  </w14:solidFill>
                </w14:textFill>
              </w:rPr>
              <w:t>日取得</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生态环境部</w:t>
            </w:r>
            <w:r>
              <w:rPr>
                <w:rFonts w:hint="default" w:ascii="Times New Roman" w:hAnsi="Times New Roman" w:eastAsia="华文中宋" w:cs="Times New Roman"/>
                <w:color w:val="000000" w:themeColor="text1"/>
                <w:sz w:val="24"/>
                <w:szCs w:val="24"/>
                <w14:textFill>
                  <w14:solidFill>
                    <w14:schemeClr w14:val="tx1"/>
                  </w14:solidFill>
                </w14:textFill>
              </w:rPr>
              <w:t>审查意见（环审〔20</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22</w:t>
            </w:r>
            <w:r>
              <w:rPr>
                <w:rFonts w:hint="default" w:ascii="Times New Roman" w:hAnsi="Times New Roman" w:eastAsia="华文中宋" w:cs="Times New Roman"/>
                <w:color w:val="000000" w:themeColor="text1"/>
                <w:sz w:val="24"/>
                <w:szCs w:val="24"/>
                <w14:textFill>
                  <w14:solidFill>
                    <w14:schemeClr w14:val="tx1"/>
                  </w14:solidFill>
                </w14:textFill>
              </w:rPr>
              <w:t>〕1</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24</w:t>
            </w:r>
            <w:r>
              <w:rPr>
                <w:rFonts w:hint="default" w:ascii="Times New Roman" w:hAnsi="Times New Roman" w:eastAsia="华文中宋" w:cs="Times New Roman"/>
                <w:color w:val="000000" w:themeColor="text1"/>
                <w:sz w:val="24"/>
                <w:szCs w:val="24"/>
                <w14:textFill>
                  <w14:solidFill>
                    <w14:schemeClr w14:val="tx1"/>
                  </w14:solidFill>
                </w14:textFill>
              </w:rPr>
              <w:t>号）</w:t>
            </w:r>
            <w:r>
              <w:rPr>
                <w:rFonts w:hint="default" w:ascii="Times New Roman" w:hAnsi="Times New Roman" w:eastAsia="华文中宋" w:cs="Times New Roman"/>
                <w:color w:val="000000" w:themeColor="text1"/>
                <w:sz w:val="24"/>
                <w:szCs w:val="24"/>
                <w:lang w:eastAsia="zh-CN"/>
                <w14:textFill>
                  <w14:solidFill>
                    <w14:schemeClr w14:val="tx1"/>
                  </w14:solidFill>
                </w14:textFill>
              </w:rPr>
              <w:t>，</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其符合性分析见表1-1</w:t>
            </w:r>
            <w:r>
              <w:rPr>
                <w:rFonts w:hint="default" w:ascii="Times New Roman" w:hAnsi="Times New Roman" w:eastAsia="华文中宋" w:cs="Times New Roman"/>
                <w:color w:val="000000" w:themeColor="text1"/>
                <w:sz w:val="24"/>
                <w:szCs w:val="24"/>
                <w14:textFill>
                  <w14:solidFill>
                    <w14:schemeClr w14:val="tx1"/>
                  </w14:solidFill>
                </w14:textFill>
              </w:rPr>
              <w:t>。</w:t>
            </w:r>
          </w:p>
          <w:p>
            <w:pPr>
              <w:pStyle w:val="72"/>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表1-1  与环审〔2022〕124号文符合性分析</w:t>
            </w:r>
          </w:p>
          <w:tbl>
            <w:tblPr>
              <w:tblStyle w:val="30"/>
              <w:tblW w:w="49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85"/>
              <w:gridCol w:w="2270"/>
              <w:gridCol w:w="4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14:textFill>
                        <w14:solidFill>
                          <w14:schemeClr w14:val="tx1"/>
                        </w14:solidFill>
                      </w14:textFill>
                    </w:rPr>
                    <w:t>环审〔20</w:t>
                  </w: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22</w:t>
                  </w:r>
                  <w:r>
                    <w:rPr>
                      <w:rFonts w:hint="default" w:ascii="Times New Roman" w:hAnsi="Times New Roman" w:eastAsia="华文中宋" w:cs="Times New Roman"/>
                      <w:color w:val="000000" w:themeColor="text1"/>
                      <w:sz w:val="21"/>
                      <w:szCs w:val="21"/>
                      <w:vertAlign w:val="baseline"/>
                      <w14:textFill>
                        <w14:solidFill>
                          <w14:schemeClr w14:val="tx1"/>
                        </w14:solidFill>
                      </w14:textFill>
                    </w:rPr>
                    <w:t>〕1</w:t>
                  </w: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24</w:t>
                  </w:r>
                  <w:r>
                    <w:rPr>
                      <w:rFonts w:hint="default" w:ascii="Times New Roman" w:hAnsi="Times New Roman" w:eastAsia="华文中宋" w:cs="Times New Roman"/>
                      <w:color w:val="000000" w:themeColor="text1"/>
                      <w:sz w:val="21"/>
                      <w:szCs w:val="21"/>
                      <w:vertAlign w:val="baseline"/>
                      <w14:textFill>
                        <w14:solidFill>
                          <w14:schemeClr w14:val="tx1"/>
                        </w14:solidFill>
                      </w14:textFill>
                    </w:rPr>
                    <w:t>号</w:t>
                  </w: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文优化调整和实施的意见</w:t>
                  </w:r>
                </w:p>
              </w:tc>
              <w:tc>
                <w:tcPr>
                  <w:tcW w:w="15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项目情况</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华文中宋"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eastAsia="zh-CN"/>
                      <w14:textFill>
                        <w14:solidFill>
                          <w14:schemeClr w14:val="tx1"/>
                        </w14:solidFill>
                      </w14:textFill>
                    </w:rPr>
                    <w:t>（一）</w:t>
                  </w:r>
                  <w:r>
                    <w:rPr>
                      <w:rFonts w:hint="default" w:ascii="Times New Roman" w:hAnsi="Times New Roman" w:eastAsia="华文中宋" w:cs="Times New Roman"/>
                      <w:color w:val="000000" w:themeColor="text1"/>
                      <w:sz w:val="21"/>
                      <w:szCs w:val="21"/>
                      <w:vertAlign w:val="baseline"/>
                      <w14:textFill>
                        <w14:solidFill>
                          <w14:schemeClr w14:val="tx1"/>
                        </w14:solidFill>
                      </w14:textFill>
                    </w:rPr>
                    <w:t>坚持生态优先</w:t>
                  </w:r>
                  <w:r>
                    <w:rPr>
                      <w:rFonts w:hint="eastAsia" w:cs="Times New Roman"/>
                      <w:color w:val="000000" w:themeColor="text1"/>
                      <w:sz w:val="21"/>
                      <w:szCs w:val="21"/>
                      <w:vertAlign w:val="baseline"/>
                      <w:lang w:eastAsia="zh-CN"/>
                      <w14:textFill>
                        <w14:solidFill>
                          <w14:schemeClr w14:val="tx1"/>
                        </w14:solidFill>
                      </w14:textFill>
                    </w:rPr>
                    <w:t>、</w:t>
                  </w:r>
                  <w:bookmarkStart w:id="79" w:name="_GoBack"/>
                  <w:bookmarkEnd w:id="79"/>
                  <w:r>
                    <w:rPr>
                      <w:rFonts w:hint="default" w:ascii="Times New Roman" w:hAnsi="Times New Roman" w:eastAsia="华文中宋" w:cs="Times New Roman"/>
                      <w:color w:val="000000" w:themeColor="text1"/>
                      <w:sz w:val="21"/>
                      <w:szCs w:val="21"/>
                      <w:vertAlign w:val="baseline"/>
                      <w14:textFill>
                        <w14:solidFill>
                          <w14:schemeClr w14:val="tx1"/>
                        </w14:solidFill>
                      </w14:textFill>
                    </w:rPr>
                    <w:t>绿色发展。坚持以习近平生态文明思想为指导，严格落实绿水青山就是金山银山理念，立足于生态系统稳定和生态环境质量改善，处理好生态环境保护与矿产资源开发的关系，合理控制矿产资源开发规模与强度，不得占用依法应当禁止开发的区域，优先避让生态环境敏感区域。进一步强化《规划》的生态环境保护总体要求，将细化后的绿色开发、生态修复等相关目标、指标作为《规划》实施的硬约束。《规划》应严格执行国家矿产资源合理开发利用“三率”</w:t>
                  </w:r>
                  <w:r>
                    <w:rPr>
                      <w:rFonts w:hint="default" w:ascii="Times New Roman" w:hAnsi="Times New Roman" w:eastAsia="华文中宋" w:cs="Times New Roman"/>
                      <w:color w:val="000000" w:themeColor="text1"/>
                      <w:sz w:val="21"/>
                      <w:szCs w:val="21"/>
                      <w:vertAlign w:val="baseline"/>
                      <w:lang w:eastAsia="zh-CN"/>
                      <w14:textFill>
                        <w14:solidFill>
                          <w14:schemeClr w14:val="tx1"/>
                        </w14:solidFill>
                      </w14:textFill>
                    </w:rPr>
                    <w:t>（</w:t>
                  </w:r>
                  <w:r>
                    <w:rPr>
                      <w:rFonts w:hint="default" w:ascii="Times New Roman" w:hAnsi="Times New Roman" w:eastAsia="华文中宋" w:cs="Times New Roman"/>
                      <w:color w:val="000000" w:themeColor="text1"/>
                      <w:sz w:val="21"/>
                      <w:szCs w:val="21"/>
                      <w:vertAlign w:val="baseline"/>
                      <w14:textFill>
                        <w14:solidFill>
                          <w14:schemeClr w14:val="tx1"/>
                        </w14:solidFill>
                      </w14:textFill>
                    </w:rPr>
                    <w:t>即开采回采率、选矿回收率、综合利用率</w:t>
                  </w:r>
                  <w:r>
                    <w:rPr>
                      <w:rFonts w:hint="default" w:ascii="Times New Roman" w:hAnsi="Times New Roman" w:eastAsia="华文中宋" w:cs="Times New Roman"/>
                      <w:color w:val="000000" w:themeColor="text1"/>
                      <w:sz w:val="21"/>
                      <w:szCs w:val="21"/>
                      <w:vertAlign w:val="baseline"/>
                      <w:lang w:eastAsia="zh-CN"/>
                      <w14:textFill>
                        <w14:solidFill>
                          <w14:schemeClr w14:val="tx1"/>
                        </w14:solidFill>
                      </w14:textFill>
                    </w:rPr>
                    <w:t>）</w:t>
                  </w:r>
                  <w:r>
                    <w:rPr>
                      <w:rFonts w:hint="default" w:ascii="Times New Roman" w:hAnsi="Times New Roman" w:eastAsia="华文中宋" w:cs="Times New Roman"/>
                      <w:color w:val="000000" w:themeColor="text1"/>
                      <w:sz w:val="21"/>
                      <w:szCs w:val="21"/>
                      <w:vertAlign w:val="baseline"/>
                      <w14:textFill>
                        <w14:solidFill>
                          <w14:schemeClr w14:val="tx1"/>
                        </w14:solidFill>
                      </w14:textFill>
                    </w:rPr>
                    <w:t>相关要求，确保全区矿山整体“三率”水平达标率达到85%以上。优化并落实绿色矿山建设标准体系，到规划期末，全区大中型固体生产矿山基本达到绿色矿山建设水平。应进一步合理确定布局、规模、结构和开发时序，采取严格的生态保护和修复措施，确保优化后的《规划》符合绿色发展要求，推动生态环境保护与矿产资源开发目标同步实现</w:t>
                  </w:r>
                  <w:r>
                    <w:rPr>
                      <w:rFonts w:hint="default" w:ascii="Times New Roman" w:hAnsi="Times New Roman" w:eastAsia="华文中宋" w:cs="Times New Roman"/>
                      <w:color w:val="000000" w:themeColor="text1"/>
                      <w:sz w:val="21"/>
                      <w:szCs w:val="21"/>
                      <w:vertAlign w:val="baseline"/>
                      <w:lang w:eastAsia="zh-CN"/>
                      <w14:textFill>
                        <w14:solidFill>
                          <w14:schemeClr w14:val="tx1"/>
                        </w14:solidFill>
                      </w14:textFill>
                    </w:rPr>
                    <w:t>。</w:t>
                  </w:r>
                </w:p>
              </w:tc>
              <w:tc>
                <w:tcPr>
                  <w:tcW w:w="15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华文中宋" w:cs="Times New Roman"/>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本项目勘查工作严格按照《绿色勘查指南》和《绿色地质勘查工作规范》（DZ/T0374-2021）中要求开展。</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华文中宋" w:cs="Times New Roman"/>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华文中宋" w:cs="Times New Roman"/>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eastAsia="zh-CN"/>
                      <w14:textFill>
                        <w14:solidFill>
                          <w14:schemeClr w14:val="tx1"/>
                        </w14:solidFill>
                      </w14:textFill>
                    </w:rPr>
                    <w:t>（二）</w:t>
                  </w:r>
                  <w:r>
                    <w:rPr>
                      <w:rFonts w:hint="default" w:ascii="Times New Roman" w:hAnsi="Times New Roman" w:eastAsia="华文中宋" w:cs="Times New Roman"/>
                      <w:color w:val="000000" w:themeColor="text1"/>
                      <w:sz w:val="21"/>
                      <w:szCs w:val="21"/>
                      <w:vertAlign w:val="baseline"/>
                      <w14:textFill>
                        <w14:solidFill>
                          <w14:schemeClr w14:val="tx1"/>
                        </w14:solidFill>
                      </w14:textFill>
                    </w:rPr>
                    <w:t>严格保护生态空间，优化《规划》布局。将生态保护红线作为保障和维护区域生态安全的底线，应进一步优化矿业权设置和空间布局，依法依规对生态空间实施严格保护。与生态保护红线存在空间重叠的6个能源资源基地、24个国家规划矿区、22个重点勘查区、32个重点开采区等，后续设置矿业权时，应进一步优化布局，确保满足生态保护红线管控要求。与大气环境优先保护区（自然保护区、森林公园、世界遗产地等）存在空间重叠的90个勘查规划区块、25个开采规划区块，以及与水环境优先保护区存在空间重叠的462个勘查规划区块、153个开采规划区块和与农用地优先保护区存在空间重叠的28个勘查规划区块、8个开采规划区块等，后续设置矿业权时，应进一步优化布局、强化管控措施，确保满足生态环境分区管控及相关环境保护要求。</w:t>
                  </w:r>
                </w:p>
              </w:tc>
              <w:tc>
                <w:tcPr>
                  <w:tcW w:w="15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本项目勘查区不涉及生态红线，</w:t>
                  </w:r>
                  <w:r>
                    <w:rPr>
                      <w:rFonts w:hint="default" w:ascii="Times New Roman" w:hAnsi="Times New Roman" w:eastAsia="华文中宋" w:cs="Times New Roman"/>
                      <w:color w:val="000000" w:themeColor="text1"/>
                      <w:sz w:val="21"/>
                      <w:szCs w:val="21"/>
                      <w:highlight w:val="none"/>
                      <w:lang w:eastAsia="zh-CN"/>
                      <w14:textFill>
                        <w14:solidFill>
                          <w14:schemeClr w14:val="tx1"/>
                        </w14:solidFill>
                      </w14:textFill>
                    </w:rPr>
                    <w:t>为铜</w:t>
                  </w:r>
                  <w:r>
                    <w:rPr>
                      <w:rFonts w:hint="default" w:ascii="Times New Roman" w:hAnsi="Times New Roman" w:eastAsia="华文中宋" w:cs="Times New Roman"/>
                      <w:color w:val="000000" w:themeColor="text1"/>
                      <w:sz w:val="21"/>
                      <w:szCs w:val="21"/>
                      <w:highlight w:val="none"/>
                      <w:lang w:val="en-US" w:eastAsia="zh-CN"/>
                      <w14:textFill>
                        <w14:solidFill>
                          <w14:schemeClr w14:val="tx1"/>
                        </w14:solidFill>
                      </w14:textFill>
                    </w:rPr>
                    <w:t>镍</w:t>
                  </w:r>
                  <w:r>
                    <w:rPr>
                      <w:rFonts w:hint="default" w:ascii="Times New Roman" w:hAnsi="Times New Roman" w:eastAsia="华文中宋" w:cs="Times New Roman"/>
                      <w:color w:val="000000" w:themeColor="text1"/>
                      <w:sz w:val="21"/>
                      <w:szCs w:val="21"/>
                      <w:highlight w:val="none"/>
                      <w:lang w:eastAsia="zh-CN"/>
                      <w14:textFill>
                        <w14:solidFill>
                          <w14:schemeClr w14:val="tx1"/>
                        </w14:solidFill>
                      </w14:textFill>
                    </w:rPr>
                    <w:t>矿勘探项目，铜</w:t>
                  </w:r>
                  <w:r>
                    <w:rPr>
                      <w:rFonts w:hint="default" w:ascii="Times New Roman" w:hAnsi="Times New Roman" w:eastAsia="华文中宋" w:cs="Times New Roman"/>
                      <w:color w:val="000000" w:themeColor="text1"/>
                      <w:sz w:val="21"/>
                      <w:szCs w:val="21"/>
                      <w:highlight w:val="none"/>
                      <w:lang w:val="en-US" w:eastAsia="zh-CN"/>
                      <w14:textFill>
                        <w14:solidFill>
                          <w14:schemeClr w14:val="tx1"/>
                        </w14:solidFill>
                      </w14:textFill>
                    </w:rPr>
                    <w:t>镍</w:t>
                  </w:r>
                  <w:r>
                    <w:rPr>
                      <w:rFonts w:hint="default" w:ascii="Times New Roman" w:hAnsi="Times New Roman" w:eastAsia="华文中宋" w:cs="Times New Roman"/>
                      <w:color w:val="000000" w:themeColor="text1"/>
                      <w:sz w:val="21"/>
                      <w:szCs w:val="21"/>
                      <w:highlight w:val="none"/>
                      <w:lang w:eastAsia="zh-CN"/>
                      <w14:textFill>
                        <w14:solidFill>
                          <w14:schemeClr w14:val="tx1"/>
                        </w14:solidFill>
                      </w14:textFill>
                    </w:rPr>
                    <w:t>矿属于重点勘查矿种，项目已取得探矿许可证；项目建设符合生态环境分区管控要求及相关环境保护要求。</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华文中宋" w:cs="Times New Roman"/>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华文中宋" w:cs="Times New Roman"/>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14:textFill>
                        <w14:solidFill>
                          <w14:schemeClr w14:val="tx1"/>
                        </w14:solidFill>
                      </w14:textFill>
                    </w:rPr>
                    <w:t>（三）严格产业准入，合理控制矿山开采种类和规模。严格落实《规划》提出的重点矿种矿山最低开采规模准入要求；进一步控制矿山总数，提高大中型矿山比例，加大低效产能压减、无效产能腾退力度，逐步关闭退出安全隐患突出、生态环境问题明显、违法违规问题多的“小弱散”矿山和未达到最低生产规模的矿山。禁止开采砷和放射性等有毒有害物质超过规定标准的煤炭，以及砂铁、汞、可耕地砖瓦用粘土等矿产；限制开采硫铁矿、砖瓦用粘土等矿产；严格控制开采钨、稀土等特定保护性矿产。严格尾矿库的新建和管理，确保符合相关要求。</w:t>
                  </w:r>
                </w:p>
              </w:tc>
              <w:tc>
                <w:tcPr>
                  <w:tcW w:w="15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本项目属于矿产资源勘查项目，目前阶段不涉及矿山开采。</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华文中宋" w:cs="Times New Roman"/>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华文中宋" w:cs="Times New Roman"/>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14:textFill>
                        <w14:solidFill>
                          <w14:schemeClr w14:val="tx1"/>
                        </w14:solidFill>
                      </w14:textFill>
                    </w:rPr>
                    <w:t>（四）严格环境准入，保护区域生态功能。按照新疆维吾尔自治区生态环境分区管控方案、生态环境保护规划等新要求，与大气环境优先保护区、水环境优先保护区、农用地优先保护区等存在空间重叠的现有矿业权、勘查规划区块、开采规划区块，应严格执行相应管控要求，控制勘查、开采活动范围和强度，严格执行绿色勘查、开采及矿山环境生态保护修复相关要求，确保生态系统结构和主要功能不受破坏。严格控制涉及生物多样性保护优先区域、国家重点生态功能区、国家重要生态功能区、水源涵养区、水土流失重点防治区等区域矿产资源开发活动，并采取相应保护措施，防止加剧对重点生态功能区的不良环境影响。</w:t>
                  </w:r>
                </w:p>
              </w:tc>
              <w:tc>
                <w:tcPr>
                  <w:tcW w:w="15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本项目严格执行</w:t>
                  </w:r>
                  <w:r>
                    <w:rPr>
                      <w:rFonts w:hint="default" w:ascii="Times New Roman" w:hAnsi="Times New Roman" w:eastAsia="华文中宋" w:cs="Times New Roman"/>
                      <w:color w:val="000000" w:themeColor="text1"/>
                      <w:sz w:val="21"/>
                      <w:szCs w:val="21"/>
                      <w:vertAlign w:val="baseline"/>
                      <w14:textFill>
                        <w14:solidFill>
                          <w14:schemeClr w14:val="tx1"/>
                        </w14:solidFill>
                      </w14:textFill>
                    </w:rPr>
                    <w:t>新疆维吾尔自治区生态环境分区管控方案</w:t>
                  </w:r>
                  <w:r>
                    <w:rPr>
                      <w:rFonts w:hint="default" w:ascii="Times New Roman" w:hAnsi="Times New Roman" w:eastAsia="华文中宋" w:cs="Times New Roman"/>
                      <w:color w:val="000000" w:themeColor="text1"/>
                      <w:sz w:val="21"/>
                      <w:szCs w:val="21"/>
                      <w:vertAlign w:val="baseline"/>
                      <w:lang w:eastAsia="zh-CN"/>
                      <w14:textFill>
                        <w14:solidFill>
                          <w14:schemeClr w14:val="tx1"/>
                        </w14:solidFill>
                      </w14:textFill>
                    </w:rPr>
                    <w:t>、</w:t>
                  </w:r>
                  <w:r>
                    <w:rPr>
                      <w:rFonts w:hint="default" w:ascii="Times New Roman" w:hAnsi="Times New Roman" w:eastAsia="华文中宋" w:cs="Times New Roman"/>
                      <w:color w:val="000000" w:themeColor="text1"/>
                      <w:sz w:val="21"/>
                      <w:szCs w:val="21"/>
                      <w:vertAlign w:val="baseline"/>
                      <w14:textFill>
                        <w14:solidFill>
                          <w14:schemeClr w14:val="tx1"/>
                        </w14:solidFill>
                      </w14:textFill>
                    </w:rPr>
                    <w:t>生态环境保护规划</w:t>
                  </w:r>
                  <w:r>
                    <w:rPr>
                      <w:rFonts w:hint="default" w:ascii="Times New Roman" w:hAnsi="Times New Roman" w:eastAsia="华文中宋" w:cs="Times New Roman"/>
                      <w:color w:val="000000" w:themeColor="text1"/>
                      <w:sz w:val="21"/>
                      <w:szCs w:val="21"/>
                      <w:vertAlign w:val="baseline"/>
                      <w:lang w:eastAsia="zh-CN"/>
                      <w14:textFill>
                        <w14:solidFill>
                          <w14:schemeClr w14:val="tx1"/>
                        </w14:solidFill>
                      </w14:textFill>
                    </w:rPr>
                    <w:t>、</w:t>
                  </w: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巴州地区</w:t>
                  </w:r>
                  <w:r>
                    <w:rPr>
                      <w:rFonts w:hint="default" w:ascii="Times New Roman" w:hAnsi="Times New Roman" w:eastAsia="华文中宋" w:cs="Times New Roman"/>
                      <w:color w:val="000000" w:themeColor="text1"/>
                      <w:sz w:val="21"/>
                      <w:szCs w:val="21"/>
                      <w:vertAlign w:val="baseline"/>
                      <w14:textFill>
                        <w14:solidFill>
                          <w14:schemeClr w14:val="tx1"/>
                        </w14:solidFill>
                      </w14:textFill>
                    </w:rPr>
                    <w:t>生态环境分区管控方案</w:t>
                  </w: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和</w:t>
                  </w:r>
                  <w:r>
                    <w:rPr>
                      <w:rFonts w:hint="default" w:ascii="Times New Roman" w:hAnsi="Times New Roman" w:eastAsia="华文中宋" w:cs="Times New Roman"/>
                      <w:color w:val="000000" w:themeColor="text1"/>
                      <w:sz w:val="21"/>
                      <w:szCs w:val="21"/>
                      <w:vertAlign w:val="baseline"/>
                      <w14:textFill>
                        <w14:solidFill>
                          <w14:schemeClr w14:val="tx1"/>
                        </w14:solidFill>
                      </w14:textFill>
                    </w:rPr>
                    <w:t>生态环境保护规划</w:t>
                  </w: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中相关要求。严格执行绿色勘查工作要求。</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华文中宋" w:cs="Times New Roman"/>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华文中宋" w:cs="Times New Roman"/>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14:textFill>
                        <w14:solidFill>
                          <w14:schemeClr w14:val="tx1"/>
                        </w14:solidFill>
                      </w14:textFill>
                    </w:rPr>
                    <w:t>（五）加强矿山生态修复和环境治理。结合区域生态环境质量改善目标和主要生态环境问题，分区域、分矿种确定矿山生态修复和环境治理总体要求，将目标任务分解细化到具体矿区、矿山，确保“</w:t>
                  </w: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十</w:t>
                  </w:r>
                  <w:r>
                    <w:rPr>
                      <w:rFonts w:hint="default" w:ascii="Times New Roman" w:hAnsi="Times New Roman" w:eastAsia="华文中宋" w:cs="Times New Roman"/>
                      <w:color w:val="000000" w:themeColor="text1"/>
                      <w:sz w:val="21"/>
                      <w:szCs w:val="21"/>
                      <w:vertAlign w:val="baseline"/>
                      <w14:textFill>
                        <w14:solidFill>
                          <w14:schemeClr w14:val="tx1"/>
                        </w14:solidFill>
                      </w14:textFill>
                    </w:rPr>
                    <w:t>四五”规划期矿山生态修复治理面积不低于11000公顷。重视关闭矿山及历史遗留矿山的生态环境问题，明确污染治理、生态修复的任务、要求和完成时限。对可能造成重金属污染等环境问题的矿区，进一步优化开发方式，推进结构调整，加大治理投入。</w:t>
                  </w:r>
                </w:p>
              </w:tc>
              <w:tc>
                <w:tcPr>
                  <w:tcW w:w="15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本项目属于矿产资源勘查项目，目前不涉及矿山开采，勘查结束后，对扰动区域进行地表恢复工作。</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华文中宋" w:cs="Times New Roman"/>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华文中宋" w:cs="Times New Roman"/>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14:textFill>
                        <w14:solidFill>
                          <w14:schemeClr w14:val="tx1"/>
                        </w14:solidFill>
                      </w14:textFill>
                    </w:rPr>
                    <w:t>（六）加强生态环境保护监测和预警。结合生态保护、饮用水水源保护区及水环境功能区水质保护及改善要求、土壤污染防治目标等，推进重点矿区建立生态、地表水、地下水、土壤等环境要素的长期监测监控体系，明确责任主体、强化资金保障，其中，在用尾矿库100%安装在线监测装置；组织开展主要矿种集中开采区域生态修复效果评估，并根据监测和评估结果增加和优化必要的保护措施。针对地表水环境及土壤环境累积影响、地下水环境质量下降、生态退化等情形，建立预警机制。</w:t>
                  </w:r>
                </w:p>
              </w:tc>
              <w:tc>
                <w:tcPr>
                  <w:tcW w:w="15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本项目属于矿产资源勘查项目，本项目制定了生态环境保护措施内容、实施效果及实施保障。</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符合</w:t>
                  </w:r>
                </w:p>
              </w:tc>
            </w:tr>
          </w:tbl>
          <w:p>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718" w:type="dxa"/>
            <w:noWrap w:val="0"/>
            <w:tcMar>
              <w:top w:w="16" w:type="dxa"/>
              <w:left w:w="16" w:type="dxa"/>
              <w:right w:w="16" w:type="dxa"/>
            </w:tcMar>
            <w:vAlign w:val="center"/>
          </w:tcPr>
          <w:p>
            <w:pPr>
              <w:autoSpaceDE w:val="0"/>
              <w:autoSpaceDN w:val="0"/>
              <w:adjustRightInd w:val="0"/>
              <w:snapToGrid w:val="0"/>
              <w:ind w:left="0" w:leftChars="0" w:firstLine="0" w:firstLineChars="0"/>
              <w:jc w:val="both"/>
              <w:rPr>
                <w:rFonts w:hint="default" w:ascii="Times New Roman" w:hAnsi="Times New Roman" w:eastAsia="华文中宋" w:cs="Times New Roman"/>
                <w:color w:val="000000" w:themeColor="text1"/>
                <w:kern w:val="0"/>
                <w:sz w:val="24"/>
                <w:szCs w:val="24"/>
                <w14:textFill>
                  <w14:solidFill>
                    <w14:schemeClr w14:val="tx1"/>
                  </w14:solidFill>
                </w14:textFill>
              </w:rPr>
            </w:pPr>
            <w:bookmarkStart w:id="11" w:name="_Hlk56690880"/>
            <w:r>
              <w:rPr>
                <w:rFonts w:hint="default" w:ascii="Times New Roman" w:hAnsi="Times New Roman" w:eastAsia="华文中宋" w:cs="Times New Roman"/>
                <w:color w:val="000000" w:themeColor="text1"/>
                <w:kern w:val="0"/>
                <w:sz w:val="24"/>
                <w:szCs w:val="24"/>
                <w14:textFill>
                  <w14:solidFill>
                    <w14:schemeClr w14:val="tx1"/>
                  </w14:solidFill>
                </w14:textFill>
              </w:rPr>
              <w:t>其他符合性分析</w:t>
            </w:r>
            <w:bookmarkEnd w:id="11"/>
          </w:p>
        </w:tc>
        <w:tc>
          <w:tcPr>
            <w:tcW w:w="8399" w:type="dxa"/>
            <w:gridSpan w:val="5"/>
            <w:noWrap w:val="0"/>
            <w:tcMar>
              <w:top w:w="16" w:type="dxa"/>
              <w:left w:w="16" w:type="dxa"/>
              <w:right w:w="16" w:type="dxa"/>
            </w:tcMar>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华文中宋" w:cs="Times New Roman"/>
                <w:b/>
                <w:bCs/>
                <w:color w:val="000000" w:themeColor="text1"/>
                <w:sz w:val="24"/>
                <w:szCs w:val="32"/>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32"/>
                <w:lang w:val="en-US" w:eastAsia="zh-CN"/>
                <w14:textFill>
                  <w14:solidFill>
                    <w14:schemeClr w14:val="tx1"/>
                  </w14:solidFill>
                </w14:textFill>
              </w:rPr>
              <w:t>1、产业政策符合性</w:t>
            </w:r>
          </w:p>
          <w:p>
            <w:pPr>
              <w:pStyle w:val="16"/>
              <w:keepNext w:val="0"/>
              <w:keepLines w:val="0"/>
              <w:pageBreakBefore w:val="0"/>
              <w:widowControl w:val="0"/>
              <w:kinsoku/>
              <w:wordWrap/>
              <w:overflowPunct/>
              <w:topLinePunct w:val="0"/>
              <w:bidi w:val="0"/>
              <w:spacing w:line="500" w:lineRule="exact"/>
              <w:ind w:left="0" w:leftChars="0" w:firstLine="480" w:firstLineChars="200"/>
              <w:textAlignment w:val="auto"/>
              <w:rPr>
                <w:rFonts w:hint="default" w:ascii="Times New Roman" w:hAnsi="Times New Roman" w:eastAsia="华文中宋" w:cs="Times New Roman"/>
                <w:color w:val="000000" w:themeColor="text1"/>
                <w:kern w:val="2"/>
                <w:sz w:val="24"/>
                <w:szCs w:val="32"/>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32"/>
                <w:lang w:val="en-US" w:eastAsia="zh-CN" w:bidi="ar-SA"/>
                <w14:textFill>
                  <w14:solidFill>
                    <w14:schemeClr w14:val="tx1"/>
                  </w14:solidFill>
                </w14:textFill>
              </w:rPr>
              <w:t>根据《产业结构调整指导目录（2024年本）》，本项目不属于“鼓励类”“限制类”“淘汰类”项目。因此，视为“允许类”项目，本项目的建设符合产业政策要求。</w:t>
            </w:r>
          </w:p>
          <w:p>
            <w:pPr>
              <w:pStyle w:val="7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ascii="Times New Roman" w:hAnsi="Times New Roman" w:eastAsia="华文中宋" w:cs="Times New Roman"/>
                <w:b/>
                <w:bCs/>
                <w:color w:val="000000" w:themeColor="text1"/>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Cs w:val="24"/>
                <w:lang w:val="en-US" w:eastAsia="zh-CN"/>
                <w14:textFill>
                  <w14:solidFill>
                    <w14:schemeClr w14:val="tx1"/>
                  </w14:solidFill>
                </w14:textFill>
              </w:rPr>
              <w:t>2、生态环境分区管控符合性</w:t>
            </w:r>
          </w:p>
          <w:p>
            <w:pPr>
              <w:pStyle w:val="7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ascii="Times New Roman" w:hAnsi="Times New Roman" w:eastAsia="华文中宋" w:cs="Times New Roman"/>
                <w:color w:val="000000" w:themeColor="text1"/>
                <w:szCs w:val="24"/>
                <w:lang w:val="en-US" w:eastAsia="zh-CN"/>
                <w14:textFill>
                  <w14:solidFill>
                    <w14:schemeClr w14:val="tx1"/>
                  </w14:solidFill>
                </w14:textFill>
              </w:rPr>
            </w:pPr>
            <w:r>
              <w:rPr>
                <w:rFonts w:hint="default" w:ascii="Times New Roman" w:hAnsi="Times New Roman" w:eastAsia="华文中宋" w:cs="Times New Roman"/>
                <w:color w:val="000000" w:themeColor="text1"/>
                <w:szCs w:val="24"/>
                <w:lang w:val="en-US" w:eastAsia="zh-CN"/>
                <w14:textFill>
                  <w14:solidFill>
                    <w14:schemeClr w14:val="tx1"/>
                  </w14:solidFill>
                </w14:textFill>
              </w:rPr>
              <w:t>（1）与《新疆维吾尔自治区生态环境分区管控动态更新成果》（新环环评发〔2024〕157号）符合性分析</w:t>
            </w:r>
          </w:p>
          <w:p>
            <w:pPr>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2024年11月15日，按照生态环境部《2023年生态环境分区管控成果动态更新工作方案》（环办环评函〔2023〕81号）要求，自治区生态环境厅组织开展了生态环境分区管控成果动态更新工作，本项目与动态更新内容符合性分析见表1-2。</w:t>
            </w:r>
          </w:p>
          <w:p>
            <w:pPr>
              <w:keepNext w:val="0"/>
              <w:keepLines w:val="0"/>
              <w:pageBreakBefore w:val="0"/>
              <w:widowControl w:val="0"/>
              <w:tabs>
                <w:tab w:val="left" w:pos="360"/>
                <w:tab w:val="left" w:pos="1620"/>
              </w:tabs>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8"/>
              <w:rPr>
                <w:rFonts w:hint="default" w:ascii="Times New Roman" w:hAnsi="Times New Roman" w:eastAsia="华文中宋" w:cs="Times New Roman"/>
                <w:b/>
                <w:color w:val="000000" w:themeColor="text1"/>
                <w:spacing w:val="0"/>
                <w:w w:val="100"/>
                <w:position w:val="0"/>
                <w:sz w:val="24"/>
                <w:szCs w:val="24"/>
                <w:highlight w:val="none"/>
                <w:lang w:val="en-US" w:eastAsia="zh-CN"/>
                <w14:textFill>
                  <w14:solidFill>
                    <w14:schemeClr w14:val="tx1"/>
                  </w14:solidFill>
                </w14:textFill>
              </w:rPr>
            </w:pPr>
            <w:r>
              <w:rPr>
                <w:rFonts w:hint="default" w:ascii="Times New Roman" w:hAnsi="Times New Roman" w:eastAsia="华文中宋" w:cs="Times New Roman"/>
                <w:b/>
                <w:color w:val="000000" w:themeColor="text1"/>
                <w:spacing w:val="0"/>
                <w:w w:val="100"/>
                <w:position w:val="0"/>
                <w:sz w:val="24"/>
                <w:szCs w:val="24"/>
                <w:highlight w:val="none"/>
                <w:lang w:val="en-US" w:eastAsia="zh-CN"/>
                <w14:textFill>
                  <w14:solidFill>
                    <w14:schemeClr w14:val="tx1"/>
                  </w14:solidFill>
                </w14:textFill>
              </w:rPr>
              <w:t>表1-2  与自治区生态环境分区管控动态更新成果符合性分析表</w:t>
            </w:r>
          </w:p>
          <w:tbl>
            <w:tblPr>
              <w:tblStyle w:val="29"/>
              <w:tblW w:w="4899" w:type="pct"/>
              <w:tblInd w:w="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57" w:type="dxa"/>
                <w:left w:w="57" w:type="dxa"/>
                <w:bottom w:w="57" w:type="dxa"/>
                <w:right w:w="57" w:type="dxa"/>
              </w:tblCellMar>
            </w:tblPr>
            <w:tblGrid>
              <w:gridCol w:w="354"/>
              <w:gridCol w:w="5865"/>
              <w:gridCol w:w="1296"/>
              <w:gridCol w:w="6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17" w:hRule="atLeast"/>
              </w:trPr>
              <w:tc>
                <w:tcPr>
                  <w:tcW w:w="3806" w:type="pct"/>
                  <w:gridSpan w:val="2"/>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b w:val="0"/>
                      <w:bCs w:val="0"/>
                      <w:color w:val="000000" w:themeColor="text1"/>
                      <w:spacing w:val="0"/>
                      <w:kern w:val="0"/>
                      <w:sz w:val="21"/>
                      <w:szCs w:val="21"/>
                      <w:highlight w:val="none"/>
                      <w:u w:val="none"/>
                      <w14:textFill>
                        <w14:solidFill>
                          <w14:schemeClr w14:val="tx1"/>
                        </w14:solidFill>
                      </w14:textFill>
                    </w:rPr>
                  </w:pPr>
                  <w:r>
                    <w:rPr>
                      <w:rFonts w:hint="default" w:ascii="Times New Roman" w:hAnsi="Times New Roman" w:eastAsia="华文中宋" w:cs="Times New Roman"/>
                      <w:b w:val="0"/>
                      <w:bCs w:val="0"/>
                      <w:color w:val="000000" w:themeColor="text1"/>
                      <w:spacing w:val="0"/>
                      <w:kern w:val="0"/>
                      <w:sz w:val="21"/>
                      <w:szCs w:val="21"/>
                      <w:highlight w:val="none"/>
                      <w:u w:val="none"/>
                      <w:lang w:val="en-US" w:eastAsia="zh-CN"/>
                      <w14:textFill>
                        <w14:solidFill>
                          <w14:schemeClr w14:val="tx1"/>
                        </w14:solidFill>
                      </w14:textFill>
                    </w:rPr>
                    <w:t>生态环境分区管控方案</w:t>
                  </w:r>
                  <w:r>
                    <w:rPr>
                      <w:rFonts w:hint="default" w:ascii="Times New Roman" w:hAnsi="Times New Roman" w:eastAsia="华文中宋" w:cs="Times New Roman"/>
                      <w:b w:val="0"/>
                      <w:bCs w:val="0"/>
                      <w:color w:val="000000" w:themeColor="text1"/>
                      <w:spacing w:val="0"/>
                      <w:kern w:val="0"/>
                      <w:sz w:val="21"/>
                      <w:szCs w:val="21"/>
                      <w:highlight w:val="none"/>
                      <w:u w:val="none"/>
                      <w14:textFill>
                        <w14:solidFill>
                          <w14:schemeClr w14:val="tx1"/>
                        </w14:solidFill>
                      </w14:textFill>
                    </w:rPr>
                    <w:t>要求</w:t>
                  </w:r>
                </w:p>
              </w:tc>
              <w:tc>
                <w:tcPr>
                  <w:tcW w:w="793"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b w:val="0"/>
                      <w:bCs w:val="0"/>
                      <w:color w:val="000000" w:themeColor="text1"/>
                      <w:spacing w:val="0"/>
                      <w:kern w:val="0"/>
                      <w:sz w:val="21"/>
                      <w:szCs w:val="21"/>
                      <w:highlight w:val="none"/>
                      <w:u w:val="none"/>
                      <w14:textFill>
                        <w14:solidFill>
                          <w14:schemeClr w14:val="tx1"/>
                        </w14:solidFill>
                      </w14:textFill>
                    </w:rPr>
                  </w:pPr>
                  <w:r>
                    <w:rPr>
                      <w:rFonts w:hint="default" w:ascii="Times New Roman" w:hAnsi="Times New Roman" w:eastAsia="华文中宋" w:cs="Times New Roman"/>
                      <w:b w:val="0"/>
                      <w:bCs w:val="0"/>
                      <w:color w:val="000000" w:themeColor="text1"/>
                      <w:spacing w:val="0"/>
                      <w:kern w:val="0"/>
                      <w:sz w:val="21"/>
                      <w:szCs w:val="21"/>
                      <w:highlight w:val="none"/>
                      <w:u w:val="none"/>
                      <w14:textFill>
                        <w14:solidFill>
                          <w14:schemeClr w14:val="tx1"/>
                        </w14:solidFill>
                      </w14:textFill>
                    </w:rPr>
                    <w:t>项目情况</w:t>
                  </w:r>
                </w:p>
              </w:tc>
              <w:tc>
                <w:tcPr>
                  <w:tcW w:w="40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b w:val="0"/>
                      <w:bCs w:val="0"/>
                      <w:color w:val="000000" w:themeColor="text1"/>
                      <w:spacing w:val="0"/>
                      <w:kern w:val="0"/>
                      <w:sz w:val="21"/>
                      <w:szCs w:val="21"/>
                      <w:highlight w:val="none"/>
                      <w:u w:val="none"/>
                      <w14:textFill>
                        <w14:solidFill>
                          <w14:schemeClr w14:val="tx1"/>
                        </w14:solidFill>
                      </w14:textFill>
                    </w:rPr>
                  </w:pPr>
                  <w:r>
                    <w:rPr>
                      <w:rFonts w:hint="default" w:ascii="Times New Roman" w:hAnsi="Times New Roman" w:eastAsia="华文中宋" w:cs="Times New Roman"/>
                      <w:b w:val="0"/>
                      <w:bCs w:val="0"/>
                      <w:color w:val="000000" w:themeColor="text1"/>
                      <w:spacing w:val="0"/>
                      <w:kern w:val="0"/>
                      <w:sz w:val="21"/>
                      <w:szCs w:val="21"/>
                      <w:highlight w:val="none"/>
                      <w:u w:val="none"/>
                      <w14:textFill>
                        <w14:solidFill>
                          <w14:schemeClr w14:val="tx1"/>
                        </w14:solidFill>
                      </w14:textFill>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872" w:hRule="atLeast"/>
              </w:trPr>
              <w:tc>
                <w:tcPr>
                  <w:tcW w:w="217" w:type="pct"/>
                  <w:tcBorders>
                    <w:tl2br w:val="nil"/>
                    <w:tr2bl w:val="nil"/>
                  </w:tcBorders>
                  <w:noWrap w:val="0"/>
                  <w:vAlign w:val="center"/>
                </w:tcPr>
                <w:p>
                  <w:pPr>
                    <w:pStyle w:val="87"/>
                    <w:keepNext w:val="0"/>
                    <w:keepLines w:val="0"/>
                    <w:pageBreakBefore w:val="0"/>
                    <w:widowControl/>
                    <w:kinsoku/>
                    <w:wordWrap w:val="0"/>
                    <w:overflowPunct/>
                    <w:topLinePunct w:val="0"/>
                    <w:autoSpaceDE w:val="0"/>
                    <w:autoSpaceDN w:val="0"/>
                    <w:bidi w:val="0"/>
                    <w:adjustRightInd/>
                    <w:snapToGrid/>
                    <w:spacing w:line="260" w:lineRule="exact"/>
                    <w:ind w:right="0" w:firstLine="0" w:firstLineChars="0"/>
                    <w:jc w:val="both"/>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空间布局约束</w:t>
                  </w:r>
                </w:p>
              </w:tc>
              <w:tc>
                <w:tcPr>
                  <w:tcW w:w="3589" w:type="pct"/>
                  <w:tcBorders>
                    <w:tl2br w:val="nil"/>
                    <w:tr2bl w:val="nil"/>
                  </w:tcBorders>
                  <w:noWrap w:val="0"/>
                  <w:vAlign w:val="center"/>
                </w:tcPr>
                <w:p>
                  <w:pPr>
                    <w:pStyle w:val="87"/>
                    <w:keepNext w:val="0"/>
                    <w:keepLines w:val="0"/>
                    <w:pageBreakBefore w:val="0"/>
                    <w:widowControl/>
                    <w:kinsoku/>
                    <w:wordWrap w:val="0"/>
                    <w:overflowPunct/>
                    <w:topLinePunct w:val="0"/>
                    <w:autoSpaceDE w:val="0"/>
                    <w:autoSpaceDN w:val="0"/>
                    <w:bidi w:val="0"/>
                    <w:adjustRightInd/>
                    <w:snapToGrid/>
                    <w:spacing w:line="260" w:lineRule="exact"/>
                    <w:ind w:right="0" w:firstLine="0" w:firstLineChars="0"/>
                    <w:jc w:val="both"/>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〔A1.1-1〕禁止新建、扩建《产业结构调整指导目录（2024年本）》中淘汰类项目。禁止引入《市场准入负面清单（2022年版）》禁止准入类事项。</w:t>
                  </w:r>
                </w:p>
                <w:p>
                  <w:pPr>
                    <w:pStyle w:val="87"/>
                    <w:keepNext w:val="0"/>
                    <w:keepLines w:val="0"/>
                    <w:pageBreakBefore w:val="0"/>
                    <w:widowControl/>
                    <w:kinsoku/>
                    <w:wordWrap w:val="0"/>
                    <w:overflowPunct/>
                    <w:topLinePunct w:val="0"/>
                    <w:autoSpaceDE w:val="0"/>
                    <w:autoSpaceDN w:val="0"/>
                    <w:bidi w:val="0"/>
                    <w:adjustRightInd/>
                    <w:snapToGrid/>
                    <w:spacing w:line="260" w:lineRule="exact"/>
                    <w:ind w:right="0" w:firstLine="0" w:firstLineChars="0"/>
                    <w:jc w:val="both"/>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〔A1.1-2〕禁止建设不符合国家和自治区环境保护标准的项目。</w:t>
                  </w:r>
                </w:p>
                <w:p>
                  <w:pPr>
                    <w:pStyle w:val="87"/>
                    <w:keepNext w:val="0"/>
                    <w:keepLines w:val="0"/>
                    <w:pageBreakBefore w:val="0"/>
                    <w:widowControl/>
                    <w:kinsoku/>
                    <w:wordWrap w:val="0"/>
                    <w:overflowPunct/>
                    <w:topLinePunct w:val="0"/>
                    <w:autoSpaceDE w:val="0"/>
                    <w:autoSpaceDN w:val="0"/>
                    <w:bidi w:val="0"/>
                    <w:adjustRightInd/>
                    <w:snapToGrid/>
                    <w:spacing w:line="260" w:lineRule="exact"/>
                    <w:ind w:right="0" w:firstLine="0" w:firstLineChars="0"/>
                    <w:jc w:val="both"/>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〔A1.1-3〕禁止在饮用水水源保护区、风景名胜区、自然保护区的核心区和缓冲区、城镇居民区、文化教育科学研究区等人口集中区域以及法律、法规规定的其他禁止养殖区域建设畜禽养殖场、养殖小区。</w:t>
                  </w:r>
                </w:p>
                <w:p>
                  <w:pPr>
                    <w:pStyle w:val="87"/>
                    <w:keepNext w:val="0"/>
                    <w:keepLines w:val="0"/>
                    <w:pageBreakBefore w:val="0"/>
                    <w:widowControl/>
                    <w:kinsoku/>
                    <w:wordWrap w:val="0"/>
                    <w:overflowPunct/>
                    <w:topLinePunct w:val="0"/>
                    <w:autoSpaceDE w:val="0"/>
                    <w:autoSpaceDN w:val="0"/>
                    <w:bidi w:val="0"/>
                    <w:adjustRightInd/>
                    <w:snapToGrid/>
                    <w:spacing w:line="260" w:lineRule="exact"/>
                    <w:ind w:right="0" w:firstLine="0" w:firstLineChars="0"/>
                    <w:jc w:val="both"/>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〔A1.1-4〕禁止在水源涵养区、地下水源、饮用水源、自然保护区、风景名胜区、森林公园、重要湿地及人群密集区等生态敏感区域内进行煤炭、石油、天然气开发。</w:t>
                  </w:r>
                </w:p>
                <w:p>
                  <w:pPr>
                    <w:pStyle w:val="87"/>
                    <w:keepNext w:val="0"/>
                    <w:keepLines w:val="0"/>
                    <w:pageBreakBefore w:val="0"/>
                    <w:widowControl/>
                    <w:kinsoku/>
                    <w:wordWrap w:val="0"/>
                    <w:overflowPunct/>
                    <w:topLinePunct w:val="0"/>
                    <w:autoSpaceDE w:val="0"/>
                    <w:autoSpaceDN w:val="0"/>
                    <w:bidi w:val="0"/>
                    <w:adjustRightInd/>
                    <w:snapToGrid/>
                    <w:spacing w:line="260" w:lineRule="exact"/>
                    <w:ind w:right="0" w:firstLine="0" w:firstLineChars="0"/>
                    <w:jc w:val="both"/>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〔A1.2-1〕严格控制缺水地区、水污染严重区域和敏感区域高耗水、高污染行业发展。</w:t>
                  </w:r>
                </w:p>
                <w:p>
                  <w:pPr>
                    <w:pStyle w:val="87"/>
                    <w:keepNext w:val="0"/>
                    <w:keepLines w:val="0"/>
                    <w:pageBreakBefore w:val="0"/>
                    <w:widowControl/>
                    <w:kinsoku/>
                    <w:wordWrap w:val="0"/>
                    <w:overflowPunct/>
                    <w:topLinePunct w:val="0"/>
                    <w:autoSpaceDE w:val="0"/>
                    <w:autoSpaceDN w:val="0"/>
                    <w:bidi w:val="0"/>
                    <w:adjustRightInd/>
                    <w:snapToGrid/>
                    <w:spacing w:line="260" w:lineRule="exact"/>
                    <w:ind w:right="0" w:firstLine="0" w:firstLineChars="0"/>
                    <w:jc w:val="both"/>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A1.2-2〕建设项目用地原则上不得占用永久基本农田，确需占用永久基本农田的建设项目须符合《中华人民共和国基本农田保护条例》中相关要求，占用耕地、林地或草地的建设项目须按照国家、自治区相关补偿要求进行补偿。</w:t>
                  </w:r>
                </w:p>
                <w:p>
                  <w:pPr>
                    <w:pStyle w:val="87"/>
                    <w:keepNext w:val="0"/>
                    <w:keepLines w:val="0"/>
                    <w:pageBreakBefore w:val="0"/>
                    <w:widowControl/>
                    <w:kinsoku/>
                    <w:wordWrap w:val="0"/>
                    <w:overflowPunct/>
                    <w:topLinePunct w:val="0"/>
                    <w:autoSpaceDE w:val="0"/>
                    <w:autoSpaceDN w:val="0"/>
                    <w:bidi w:val="0"/>
                    <w:adjustRightInd/>
                    <w:snapToGrid/>
                    <w:spacing w:line="260" w:lineRule="exact"/>
                    <w:ind w:right="0" w:firstLine="0" w:firstLineChars="0"/>
                    <w:jc w:val="both"/>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〔A1.2-3〕以用途变更为住宅、公共管理与公共服务用地的地块为重点，严格建设用地准入管理和风险管控，未依法完成土壤污染状况调查或风险评估的地块，不得开工建设与风险管控和修复无关的项目。</w:t>
                  </w:r>
                </w:p>
                <w:p>
                  <w:pPr>
                    <w:pStyle w:val="87"/>
                    <w:keepNext w:val="0"/>
                    <w:keepLines w:val="0"/>
                    <w:pageBreakBefore w:val="0"/>
                    <w:widowControl/>
                    <w:kinsoku/>
                    <w:wordWrap w:val="0"/>
                    <w:overflowPunct/>
                    <w:topLinePunct w:val="0"/>
                    <w:autoSpaceDE w:val="0"/>
                    <w:autoSpaceDN w:val="0"/>
                    <w:bidi w:val="0"/>
                    <w:adjustRightInd/>
                    <w:snapToGrid/>
                    <w:spacing w:line="260" w:lineRule="exact"/>
                    <w:ind w:right="0" w:firstLine="0" w:firstLineChars="0"/>
                    <w:jc w:val="both"/>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〔A1.2-4〕严格控制建设项目占用湿地。因国家和自治区重点建设工程、基础设施建设，以及重点公益性项目建设，确需占用湿地的，应当按照有关法律、法规规定的权限和程序办理批准手续。</w:t>
                  </w:r>
                </w:p>
                <w:p>
                  <w:pPr>
                    <w:pStyle w:val="87"/>
                    <w:keepNext w:val="0"/>
                    <w:keepLines w:val="0"/>
                    <w:pageBreakBefore w:val="0"/>
                    <w:widowControl/>
                    <w:kinsoku/>
                    <w:wordWrap w:val="0"/>
                    <w:overflowPunct/>
                    <w:topLinePunct w:val="0"/>
                    <w:autoSpaceDE w:val="0"/>
                    <w:autoSpaceDN w:val="0"/>
                    <w:bidi w:val="0"/>
                    <w:adjustRightInd/>
                    <w:snapToGrid/>
                    <w:spacing w:line="260" w:lineRule="exact"/>
                    <w:ind w:right="0" w:firstLine="0" w:firstLineChars="0"/>
                    <w:jc w:val="both"/>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〔A1.2-5〕严格管控自然保护地范围内非生态活动，稳妥推进核心区内居民、耕地有序退出，矿权依法依规退出。</w:t>
                  </w:r>
                </w:p>
              </w:tc>
              <w:tc>
                <w:tcPr>
                  <w:tcW w:w="793"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sz w:val="21"/>
                      <w:szCs w:val="21"/>
                      <w:highlight w:val="none"/>
                      <w:lang w:eastAsia="zh-CN"/>
                      <w14:textFill>
                        <w14:solidFill>
                          <w14:schemeClr w14:val="tx1"/>
                        </w14:solidFill>
                      </w14:textFill>
                    </w:rPr>
                    <w:t>本项目</w:t>
                  </w:r>
                  <w:r>
                    <w:rPr>
                      <w:rFonts w:hint="default" w:ascii="Times New Roman" w:hAnsi="Times New Roman" w:eastAsia="华文中宋" w:cs="Times New Roman"/>
                      <w:b w:val="0"/>
                      <w:bCs w:val="0"/>
                      <w:color w:val="000000" w:themeColor="text1"/>
                      <w:spacing w:val="0"/>
                      <w:sz w:val="21"/>
                      <w:szCs w:val="21"/>
                      <w:highlight w:val="none"/>
                      <w:lang w:val="en-US" w:eastAsia="zh-CN"/>
                      <w14:textFill>
                        <w14:solidFill>
                          <w14:schemeClr w14:val="tx1"/>
                        </w14:solidFill>
                      </w14:textFill>
                    </w:rPr>
                    <w:t>符合《产业结构调整指导目录（2024年本）》要求；项目不涉及空间布局约束中心禁止区域、严格管控及生态敏感区域</w:t>
                  </w:r>
                  <w:r>
                    <w:rPr>
                      <w:rFonts w:hint="default" w:ascii="Times New Roman" w:hAnsi="Times New Roman" w:eastAsia="华文中宋" w:cs="Times New Roman"/>
                      <w:b w:val="0"/>
                      <w:bCs w:val="0"/>
                      <w:color w:val="000000" w:themeColor="text1"/>
                      <w:spacing w:val="0"/>
                      <w:sz w:val="21"/>
                      <w:szCs w:val="21"/>
                      <w:highlight w:val="none"/>
                      <w:lang w:eastAsia="zh-CN"/>
                      <w14:textFill>
                        <w14:solidFill>
                          <w14:schemeClr w14:val="tx1"/>
                        </w14:solidFill>
                      </w14:textFill>
                    </w:rPr>
                    <w:t>。</w:t>
                  </w:r>
                </w:p>
              </w:tc>
              <w:tc>
                <w:tcPr>
                  <w:tcW w:w="40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textAlignment w:val="auto"/>
                    <w:rPr>
                      <w:rFonts w:hint="default" w:ascii="Times New Roman" w:hAnsi="Times New Roman" w:eastAsia="华文中宋" w:cs="Times New Roman"/>
                      <w:b w:val="0"/>
                      <w:bCs w:val="0"/>
                      <w:color w:val="000000" w:themeColor="text1"/>
                      <w:spacing w:val="0"/>
                      <w:sz w:val="21"/>
                      <w:szCs w:val="21"/>
                      <w:highlight w:val="none"/>
                      <w14:textFill>
                        <w14:solidFill>
                          <w14:schemeClr w14:val="tx1"/>
                        </w14:solidFill>
                      </w14:textFill>
                    </w:rPr>
                  </w:pPr>
                  <w:r>
                    <w:rPr>
                      <w:rFonts w:hint="default" w:ascii="Times New Roman" w:hAnsi="Times New Roman" w:eastAsia="华文中宋" w:cs="Times New Roman"/>
                      <w:b w:val="0"/>
                      <w:bCs w:val="0"/>
                      <w:color w:val="000000" w:themeColor="text1"/>
                      <w:spacing w:val="0"/>
                      <w:sz w:val="21"/>
                      <w:szCs w:val="21"/>
                      <w:highlight w:val="none"/>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763" w:hRule="atLeast"/>
              </w:trPr>
              <w:tc>
                <w:tcPr>
                  <w:tcW w:w="217"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污染物排放管控</w:t>
                  </w:r>
                </w:p>
              </w:tc>
              <w:tc>
                <w:tcPr>
                  <w:tcW w:w="3589"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A2.1-1〕新、改、扩建重点行业建设项目应符合“三线一单”、产业政策、区域环评、规划环评和行业环境准入管控要求。重点区域的新、改、扩建重点行业建设项目应遵循重点重金属污染物排放“减量替代”原则。</w:t>
                  </w:r>
                </w:p>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A2.2-7〕强化重点区域地下水环境风险管控，对化学品生产企业、工业集聚区、尾矿库、矿山开采区、危险废物处置场、垃圾填埋场等地下水污染源及周边区域，逐步开展地下水环境状况调查评估，加强风险管控。</w:t>
                  </w:r>
                </w:p>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p>
              </w:tc>
              <w:tc>
                <w:tcPr>
                  <w:tcW w:w="793"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本项目符合“三线一单”、产业政策等要求。本项目实施过程中大气污染物达标排放，对周围环境影响小，生活废水拉运至污水处理厂集中处置，生产废水全部回用。</w:t>
                  </w:r>
                </w:p>
              </w:tc>
              <w:tc>
                <w:tcPr>
                  <w:tcW w:w="40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88" w:lineRule="auto"/>
                    <w:ind w:firstLine="0" w:firstLineChars="0"/>
                    <w:textAlignment w:val="auto"/>
                    <w:rPr>
                      <w:rFonts w:hint="default" w:ascii="Times New Roman" w:hAnsi="Times New Roman" w:eastAsia="华文中宋" w:cs="Times New Roman"/>
                      <w:b w:val="0"/>
                      <w:bCs w:val="0"/>
                      <w:color w:val="000000" w:themeColor="text1"/>
                      <w:spacing w:val="0"/>
                      <w:sz w:val="21"/>
                      <w:szCs w:val="21"/>
                      <w:highlight w:val="none"/>
                      <w14:textFill>
                        <w14:solidFill>
                          <w14:schemeClr w14:val="tx1"/>
                        </w14:solidFill>
                      </w14:textFill>
                    </w:rPr>
                  </w:pPr>
                  <w:r>
                    <w:rPr>
                      <w:rFonts w:hint="default" w:ascii="Times New Roman" w:hAnsi="Times New Roman" w:eastAsia="华文中宋" w:cs="Times New Roman"/>
                      <w:b w:val="0"/>
                      <w:bCs w:val="0"/>
                      <w:color w:val="000000" w:themeColor="text1"/>
                      <w:spacing w:val="0"/>
                      <w:sz w:val="21"/>
                      <w:szCs w:val="21"/>
                      <w:highlight w:val="none"/>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217"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环境风险防控</w:t>
                  </w:r>
                </w:p>
              </w:tc>
              <w:tc>
                <w:tcPr>
                  <w:tcW w:w="3589"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〔A3.1-1〕建立和完善重污染天气兵地联合应急预案、预报预警应急机制和会商联动机制。“乌—昌—石”区域内可能影响相邻行政区域大气环境的项目，兵地间、城市间必须相互征求意见。</w:t>
                  </w:r>
                </w:p>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A3.1-2〕对跨国境河流、涉及县级及以上集中式饮用水水源地的河流、其他重要环境敏感目标的河流，建立健全流域上下游突发水污染事件联防联动机制，建立流域环境应急基础信息动态更新长效机制，绘制全流域“一河一策一图”。建立健全跨部门、跨区域的环境应急协调联动处置机制，强化流域上下游、兵地各部门协调，实施联合监测、联合执法、应急联动、信息共享，形成“政府引导、多元联动、社会参与、专业救援”的环境应急处置机制，持续开展应急综合演练，实现从被动应对到主动防控的重大转变。加强流域突发水环境事件应急能力建设，提升应急响应水平，加强监测预警、拦污控污、信息通报、协同处置、基础保障等工作，防范重大生态环境风险，坚决守住生态环境安全底线。</w:t>
                  </w:r>
                </w:p>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〔A3.1-3〕强化重污染天气监测预报预警能力，建立和完善重污染天气兵地联合应急预案、预警应急机制和会商联动机制，加强轻、中度污染天气管控。</w:t>
                  </w:r>
                </w:p>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793"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本项目属于矿产资源勘查项目，勘查过程中措施，做好污染防治，基本不会造成区域生态环境风险。</w:t>
                  </w:r>
                </w:p>
              </w:tc>
              <w:tc>
                <w:tcPr>
                  <w:tcW w:w="40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88" w:lineRule="auto"/>
                    <w:ind w:firstLine="0" w:firstLineChars="0"/>
                    <w:textAlignment w:val="auto"/>
                    <w:rPr>
                      <w:rFonts w:hint="default" w:ascii="Times New Roman" w:hAnsi="Times New Roman" w:eastAsia="华文中宋" w:cs="Times New Roman"/>
                      <w:b w:val="0"/>
                      <w:bCs w:val="0"/>
                      <w:color w:val="000000" w:themeColor="text1"/>
                      <w:spacing w:val="0"/>
                      <w:sz w:val="21"/>
                      <w:szCs w:val="21"/>
                      <w:highlight w:val="none"/>
                      <w14:textFill>
                        <w14:solidFill>
                          <w14:schemeClr w14:val="tx1"/>
                        </w14:solidFill>
                      </w14:textFill>
                    </w:rPr>
                  </w:pPr>
                  <w:r>
                    <w:rPr>
                      <w:rFonts w:hint="default" w:ascii="Times New Roman" w:hAnsi="Times New Roman" w:eastAsia="华文中宋" w:cs="Times New Roman"/>
                      <w:b w:val="0"/>
                      <w:bCs w:val="0"/>
                      <w:color w:val="000000" w:themeColor="text1"/>
                      <w:spacing w:val="0"/>
                      <w:sz w:val="21"/>
                      <w:szCs w:val="21"/>
                      <w:highlight w:val="none"/>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07" w:hRule="atLeast"/>
              </w:trPr>
              <w:tc>
                <w:tcPr>
                  <w:tcW w:w="217"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资源开发效率要求</w:t>
                  </w:r>
                </w:p>
              </w:tc>
              <w:tc>
                <w:tcPr>
                  <w:tcW w:w="3589"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〔A4.1-4〕地下水资源利用实行总量控制和水位控制。取用地下水资源，应当按照国家和自治区有关规定申请取水许可。地下水利用应当以浅层地下水为主。</w:t>
                  </w:r>
                </w:p>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〔A4.2-1〕土地资源上线指标控制在最终批复的国土空间规划控制指标内。</w:t>
                  </w:r>
                </w:p>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〔A4.3-4〕鼓励使用清洁能源或电厂热力、工业余热等替代锅炉、炉窑燃料用煤。</w:t>
                  </w:r>
                </w:p>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A4.5-1〕加强固体废物源头减量、资源化利用和无害化处置，最大限度减少填埋量。推进工业固体废物精细化、名录化环境管理，促进大宗工业固废综合利用、主要农业废弃物全量利用。加快构建废旧物资回收和循环利用体系，健全强制报废制度和废旧家电、消费电子等耐用消费品回收处理体系，推行生产企业“逆向回收”等模式。以尾矿和共伴生矿、煤矸石、炉渣、粉煤灰、脱硫石膏、冶炼渣、建筑垃圾等为重点，持续推进固体废物综合利用和环境整治，不断提高大宗固体废物资源化利用水平。推行生活垃圾分类，加快建设县（市）生活垃圾处理设施，到2025年，全疆城市生活垃圾无害化处理率达到99%以上。</w:t>
                  </w:r>
                </w:p>
              </w:tc>
              <w:tc>
                <w:tcPr>
                  <w:tcW w:w="793"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本项目不涉及地下水开采使用；本项目供热采用电采暖；生活垃圾统一收集后，定期交环卫部门处理。产生的固废均可得到妥善处理。</w:t>
                  </w:r>
                </w:p>
              </w:tc>
              <w:tc>
                <w:tcPr>
                  <w:tcW w:w="40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88" w:lineRule="auto"/>
                    <w:ind w:firstLine="0" w:firstLineChars="0"/>
                    <w:textAlignment w:val="auto"/>
                    <w:rPr>
                      <w:rFonts w:hint="default" w:ascii="Times New Roman" w:hAnsi="Times New Roman" w:eastAsia="华文中宋" w:cs="Times New Roman"/>
                      <w:b w:val="0"/>
                      <w:bCs w:val="0"/>
                      <w:color w:val="000000" w:themeColor="text1"/>
                      <w:spacing w:val="0"/>
                      <w:sz w:val="21"/>
                      <w:szCs w:val="21"/>
                      <w:highlight w:val="none"/>
                      <w14:textFill>
                        <w14:solidFill>
                          <w14:schemeClr w14:val="tx1"/>
                        </w14:solidFill>
                      </w14:textFill>
                    </w:rPr>
                  </w:pPr>
                  <w:r>
                    <w:rPr>
                      <w:rFonts w:hint="default" w:ascii="Times New Roman" w:hAnsi="Times New Roman" w:eastAsia="华文中宋" w:cs="Times New Roman"/>
                      <w:b w:val="0"/>
                      <w:bCs w:val="0"/>
                      <w:color w:val="000000" w:themeColor="text1"/>
                      <w:spacing w:val="0"/>
                      <w:sz w:val="21"/>
                      <w:szCs w:val="21"/>
                      <w:highlight w:val="none"/>
                      <w14:textFill>
                        <w14:solidFill>
                          <w14:schemeClr w14:val="tx1"/>
                        </w14:solidFill>
                      </w14:textFill>
                    </w:rPr>
                    <w:t>符合</w:t>
                  </w:r>
                </w:p>
              </w:tc>
            </w:tr>
          </w:tbl>
          <w:p>
            <w:pPr>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（2）与《巴音郭楞蒙古自治州“三线一单”生态环境分区管控动态更新成果（2023年）》（巴政办发〔2024〕32号）符合性分析</w:t>
            </w:r>
          </w:p>
          <w:p>
            <w:pPr>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根据巴州“三线一单”生态环境分区管控动态更新成果（2023年）可知，本项目矿区位于且末县，位于一般管控单元，环境管控单元名称为：且末县一般管控单元，环境管控单元编码为ZH65282530001，</w:t>
            </w:r>
            <w:r>
              <w:rPr>
                <w:rFonts w:hint="default" w:ascii="Times New Roman" w:hAnsi="Times New Roman" w:eastAsia="华文中宋" w:cs="Times New Roman"/>
                <w:color w:val="000000" w:themeColor="text1"/>
                <w:kern w:val="2"/>
                <w:sz w:val="24"/>
                <w:szCs w:val="24"/>
                <w:highlight w:val="none"/>
                <w:lang w:val="en-US" w:eastAsia="zh-CN" w:bidi="ar-SA"/>
                <w14:textFill>
                  <w14:solidFill>
                    <w14:schemeClr w14:val="tx1"/>
                  </w14:solidFill>
                </w14:textFill>
              </w:rPr>
              <w:t>详见附图1勘探区环境管控单元图。</w:t>
            </w: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具体管理要求见表1-3。</w:t>
            </w:r>
          </w:p>
          <w:p>
            <w:pPr>
              <w:keepNext w:val="0"/>
              <w:keepLines w:val="0"/>
              <w:pageBreakBefore w:val="0"/>
              <w:widowControl w:val="0"/>
              <w:tabs>
                <w:tab w:val="left" w:pos="360"/>
                <w:tab w:val="left" w:pos="1620"/>
              </w:tabs>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8"/>
              <w:rPr>
                <w:rFonts w:hint="default" w:ascii="Times New Roman" w:hAnsi="Times New Roman" w:eastAsia="华文中宋" w:cs="Times New Roman"/>
                <w:b/>
                <w:color w:val="000000" w:themeColor="text1"/>
                <w:spacing w:val="0"/>
                <w:w w:val="100"/>
                <w:position w:val="0"/>
                <w:sz w:val="24"/>
                <w:szCs w:val="24"/>
                <w:highlight w:val="none"/>
                <w:lang w:val="en-US" w:eastAsia="zh-CN"/>
                <w14:textFill>
                  <w14:solidFill>
                    <w14:schemeClr w14:val="tx1"/>
                  </w14:solidFill>
                </w14:textFill>
              </w:rPr>
            </w:pPr>
            <w:r>
              <w:rPr>
                <w:rFonts w:hint="default" w:ascii="Times New Roman" w:hAnsi="Times New Roman" w:eastAsia="华文中宋" w:cs="Times New Roman"/>
                <w:b/>
                <w:color w:val="000000" w:themeColor="text1"/>
                <w:spacing w:val="0"/>
                <w:w w:val="100"/>
                <w:position w:val="0"/>
                <w:sz w:val="24"/>
                <w:szCs w:val="24"/>
                <w:highlight w:val="none"/>
                <w:lang w:val="en-US" w:eastAsia="zh-CN"/>
                <w14:textFill>
                  <w14:solidFill>
                    <w14:schemeClr w14:val="tx1"/>
                  </w14:solidFill>
                </w14:textFill>
              </w:rPr>
              <w:t>表1-3        “三线一单”管控单元要求及符合性分析</w:t>
            </w:r>
          </w:p>
          <w:tbl>
            <w:tblPr>
              <w:tblStyle w:val="29"/>
              <w:tblW w:w="49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4"/>
              <w:gridCol w:w="5644"/>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3829" w:type="pct"/>
                  <w:gridSpan w:val="2"/>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管控要求</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9" w:hRule="atLeast"/>
                <w:jc w:val="center"/>
              </w:trPr>
              <w:tc>
                <w:tcPr>
                  <w:tcW w:w="403" w:type="pct"/>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空间布局约束</w:t>
                  </w: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1.建设项目用地原则上不得占用基本农田，确需占用基本农田的建设项目须符合《中华人民共和国基本农田保护条例》中相关要求，占用耕地、林地或草地的建设项目须按照国家、自治区相关补偿要求进行补偿。</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本项目为矿产资源勘探项目，勘探施工不占用基本农田、耕地、林地或草地。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403" w:type="pct"/>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2.对违反资源环境法律法规、规划，污染环境、破坏生态、乱采滥挖的露天矿山，依法整治；对污染治理不规范的露天矿山，依法责令停产整治，对拒不停产或擅自恢复生产的依法强制关闭；对责任主体灭失的露天矿山，要加强修复绿化、减尘抑尘。</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本项目为矿产资源勘探项目，不进行矿产开采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403" w:type="pct"/>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3.永久基本农田集中区域禁止规划新建可能造成土壤污染的建设项目。涉及有毒有害物质可能造成土壤污染的新（改、扩）建项目，提出并落实土壤和地下水污染防治要求。</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本项目不涉及上述相关内容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403" w:type="pct"/>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4.严格执行畜禽养殖禁养区规定，根据区域用地和消纳水平，合理确定养殖规模。</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本项目不涉及上述相关内容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403" w:type="pct"/>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5.禁止向沙漠、滩涂、盐碱地、沼泽地等非法排污、倾倒有毒有害物质。</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本项目不涉及上述相关内容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403" w:type="pct"/>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6.禁止利用渗坑、裂隙、溶洞或者采用稀释等方法处置危险废物。</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本项目不涉及上述相关内容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403" w:type="pct"/>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7.金属和非金属矿山采选企业新建、改建、扩建执行《新疆维吾尔自治区重点行业环境准入条件（修订）》相关要求。</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本项目不涉及上述相关内容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403" w:type="pct"/>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污染物排放控制</w:t>
                  </w: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1.强化畜禽粪污资源化利用，改善养殖场通风环境，提高畜禽粪污综合利用率，减少氨挥发排放。鼓励和支持散养密集区实行畜禽粪污分户收集、集中处理</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本项目不涉及上述相关内容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403" w:type="pct"/>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2.严格控制林地、草地、园地农药使用量，禁止使用高毒、高残留农药</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本项目不涉及上述相关内容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8" w:hRule="atLeast"/>
                <w:jc w:val="center"/>
              </w:trPr>
              <w:tc>
                <w:tcPr>
                  <w:tcW w:w="403" w:type="pct"/>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3.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秆综合利用，不断完善秸秆收储运用体系，形成布局合理、多元利用的秸秆综合利用格局。</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本项目不涉及上述相关内容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atLeast"/>
                <w:jc w:val="center"/>
              </w:trPr>
              <w:tc>
                <w:tcPr>
                  <w:tcW w:w="403" w:type="pct"/>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4.对化学品生产企业、工业集聚区、尾矿库、矿山开采区、危险废物处置场、垃圾填埋场等地下水污染源及周边区域，逐步开展地下水环境状况调查评估，加强风险管控。</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本项目不涉及上述相关内容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403" w:type="pct"/>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5.严控土壤重金属污染，加强油（气）田开发土壤污染防治，以历史遗留工业企业污染场地为重点，开展土壤污染风险管控与修复工程。</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本项目不涉及上述相关内容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8" w:hRule="atLeast"/>
                <w:jc w:val="center"/>
              </w:trPr>
              <w:tc>
                <w:tcPr>
                  <w:tcW w:w="403" w:type="pct"/>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6.因地制宜推进农村厕所革命，分类分区推进农村生活污水治理，全面提升农村生活垃圾治理水平，建立健全农村人居环境长效管护机制。实施化肥农药减量增效行动和农膜回收、秸秆综合利用行动。加强种养结合，整县推进畜禽粪污资源化利用。</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本项目不涉及上述相关内容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403" w:type="pct"/>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7.矿山采选污染物排放执行相应行业标准。稳步推进废水循环利用技术改造升级。采选产生废水排放有行业标准的执行行业标准，否则执行《污水综合排放标准》（GB8978）。采选活动矿石转运、破碎、筛分等粉尘产生工序，应配备抑尘、除尘设备，除尘效率不低于 99%，有效控制无组织粉尘排放。采选矿各环节废气排放有行业标准的执行行业标准，否则执行《大气污染物综合排放标准》（GB16297）。一般固体废弃物应根据《一般工业固体废物贮存处置场污染控制标准》（GB18599）进行管理，属危险废物的按危险废物相关要求依法进行管理，其贮存设施须符合《危险废物贮存污染控制标准》（GB18597）。矿山生态环境保护和恢复要达到《矿山生态环境保护与恢复治理技术规范》（HJ651）及其他有关环保法律法规的相关要求。</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本项目生活污水经化粪池处理后拉运至且末县污水处理厂；钻孔作业泥浆沉淀后回用，减少新鲜水使用量。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403" w:type="pct"/>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环境风险防控</w:t>
                  </w: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1.加强对矿山、油田等矿产资源开采影响区域内未利用地的环境监管，发现土壤污染问题的，要坚决查处，并及时督促有关单位采取有效防治措施消除或减轻污染。</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本项目为矿产资源勘探项目，探矿工作设备检修产生的废矿物油属于危险废物，暂存于危废暂存间，并做好相应的防渗，减少对土壤、地下水的污染。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2" w:hRule="atLeast"/>
                <w:jc w:val="center"/>
              </w:trPr>
              <w:tc>
                <w:tcPr>
                  <w:tcW w:w="403" w:type="pct"/>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2.对排查出的危库和病库以及风险评估有严重环境安全隐患的尾矿库，要求企业完善污染治理设施、进行治理和修复。全面整治历史遗留尾矿库，完善覆膜、压土、排洪、堤坝加固等隐患治理和闭库措施。</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本项目不涉及上述相关内容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jc w:val="center"/>
              </w:trPr>
              <w:tc>
                <w:tcPr>
                  <w:tcW w:w="403" w:type="pct"/>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3.依法推行农用地分类管理制度，强化受污染耕地安全利用和风险管控。因地制宜制定实施安全利用方案，鼓励采取种植结构调整等措施，确保受污染耕地全部实现安全利用。</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本项目不涉及上述相关内容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0" w:hRule="atLeast"/>
                <w:jc w:val="center"/>
              </w:trPr>
              <w:tc>
                <w:tcPr>
                  <w:tcW w:w="403" w:type="pct"/>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4.定期对企业及周边土壤进行监测；对不符合法律法规和相关标准要求的，应当根据监测结果，要求运营单位采取相应改进措施。土壤环境监管重点行业企业拆除生产设施设备、构筑物和污染治理设施，要事先制定残留污染物清理和安全处置方案，并报所在地县级生态环境、工业和信息化部门备案；要严格按照有关规定实施安全处理处置，防范拆除活动污染土壤。</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本项目不涉及上述相关内容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403" w:type="pct"/>
                  <w:vMerge w:val="restar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资源利用效率</w:t>
                  </w: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1.全面推进秸秆综合利用，鼓励秸秆资源化、饲料化、肥料化利用，推动秸秆还田与离田收集。</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本项目不涉及上述相关内容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403" w:type="pct"/>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2.减少化肥农药使用量，增加有机肥使用量，实现化肥农药使用量负增长。</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本项目不涉及上述相关内容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403" w:type="pct"/>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3.推广渠道防渗、管道输水、喷灌、微灌等节水灌溉技术，完善灌溉用水计量设施。推进规模化高效节水灌溉，推广农作物节水抗旱技术。建立灌区墒情测报网络，提高农业用水效率，降低农业用水比重。</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本项目不涉及上述相关内容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403" w:type="pct"/>
                  <w:vMerge w:val="continue"/>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p>
              </w:tc>
              <w:tc>
                <w:tcPr>
                  <w:tcW w:w="3426"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4.废石综合回用、尾矿砂利用率参考《新疆维吾尔自治区重点行业环境准入条件（修订）》等相关文件要求。</w:t>
                  </w:r>
                </w:p>
              </w:tc>
              <w:tc>
                <w:tcPr>
                  <w:tcW w:w="1170" w:type="pct"/>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pacing w:val="0"/>
                      <w:kern w:val="2"/>
                      <w:sz w:val="21"/>
                      <w:szCs w:val="21"/>
                      <w:highlight w:val="none"/>
                      <w:lang w:val="en-US" w:eastAsia="zh-CN" w:bidi="ar-SA"/>
                      <w14:textFill>
                        <w14:solidFill>
                          <w14:schemeClr w14:val="tx1"/>
                        </w14:solidFill>
                      </w14:textFill>
                    </w:rPr>
                    <w:t>本项目为矿产资源勘探项目，不涉及采矿工作</w:t>
                  </w:r>
                </w:p>
              </w:tc>
            </w:tr>
          </w:tbl>
          <w:p>
            <w:pPr>
              <w:keepNext w:val="0"/>
              <w:keepLines w:val="0"/>
              <w:pageBreakBefore w:val="0"/>
              <w:widowControl w:val="0"/>
              <w:numPr>
                <w:ilvl w:val="0"/>
                <w:numId w:val="0"/>
              </w:numPr>
              <w:kinsoku/>
              <w:wordWrap/>
              <w:overflowPunct/>
              <w:topLinePunct w:val="0"/>
              <w:bidi w:val="0"/>
              <w:adjustRightInd/>
              <w:snapToGrid/>
              <w:spacing w:line="500" w:lineRule="exact"/>
              <w:ind w:left="0" w:leftChars="0" w:firstLine="480" w:firstLineChars="200"/>
              <w:textAlignment w:val="auto"/>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项目与《自然资源部 国家林草局关于在新一轮找矿突破战略行动中全面实施绿色勘查的通知》（自然资发〔2024〕122号）符合性分析</w:t>
            </w:r>
          </w:p>
          <w:p>
            <w:pPr>
              <w:keepNext w:val="0"/>
              <w:keepLines w:val="0"/>
              <w:pageBreakBefore w:val="0"/>
              <w:widowControl w:val="0"/>
              <w:numPr>
                <w:ilvl w:val="0"/>
                <w:numId w:val="0"/>
              </w:numPr>
              <w:kinsoku/>
              <w:wordWrap/>
              <w:overflowPunct/>
              <w:topLinePunct w:val="0"/>
              <w:bidi w:val="0"/>
              <w:adjustRightInd/>
              <w:snapToGrid/>
              <w:spacing w:line="500" w:lineRule="exact"/>
              <w:ind w:leftChars="0" w:firstLine="48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《自然资源部 国家林草局关于在新一轮找矿突破战略行动中全面实施绿色勘查的通知》中提出，地质勘查全行业要深入学习贯彻习近平生态文明思想，牢固树立和践行“绿水青山就是金山银山”的理念，全面实施绿色勘查。</w:t>
            </w:r>
          </w:p>
          <w:p>
            <w:pPr>
              <w:keepNext w:val="0"/>
              <w:keepLines w:val="0"/>
              <w:pageBreakBefore w:val="0"/>
              <w:widowControl w:val="0"/>
              <w:numPr>
                <w:ilvl w:val="0"/>
                <w:numId w:val="0"/>
              </w:numPr>
              <w:kinsoku/>
              <w:wordWrap/>
              <w:overflowPunct/>
              <w:topLinePunct w:val="0"/>
              <w:bidi w:val="0"/>
              <w:adjustRightInd/>
              <w:snapToGrid/>
              <w:spacing w:line="500" w:lineRule="exact"/>
              <w:ind w:leftChars="0" w:firstLine="48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各地要加快落实《绿色地质勘查工作规范》（DZ/T 0374-2021），细化形成符合本地实际的绿色勘查地方标准，为地勘单位和矿山企业实施绿色勘查提供明确依据，支持和鼓励地勘单位和矿山企业开展绿色勘查标准建设。</w:t>
            </w:r>
          </w:p>
          <w:p>
            <w:pPr>
              <w:keepNext w:val="0"/>
              <w:keepLines w:val="0"/>
              <w:pageBreakBefore w:val="0"/>
              <w:widowControl w:val="0"/>
              <w:numPr>
                <w:ilvl w:val="0"/>
                <w:numId w:val="0"/>
              </w:numPr>
              <w:kinsoku/>
              <w:wordWrap/>
              <w:overflowPunct/>
              <w:topLinePunct w:val="0"/>
              <w:bidi w:val="0"/>
              <w:adjustRightInd/>
              <w:snapToGrid/>
              <w:spacing w:line="500" w:lineRule="exact"/>
              <w:ind w:leftChars="0" w:firstLine="48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地勘单位和矿山企业要在新一轮找矿突破战略行动有关地质勘查项目实施中，优先采用遥感、物探、化探等对环境影响小的地质勘查方法，必要的坑探、槽探、钻探、硐探要符合绿色勘查有关标准规范。</w:t>
            </w:r>
          </w:p>
          <w:p>
            <w:pPr>
              <w:keepNext w:val="0"/>
              <w:keepLines w:val="0"/>
              <w:pageBreakBefore w:val="0"/>
              <w:widowControl w:val="0"/>
              <w:numPr>
                <w:ilvl w:val="0"/>
                <w:numId w:val="0"/>
              </w:numPr>
              <w:kinsoku/>
              <w:wordWrap/>
              <w:overflowPunct/>
              <w:topLinePunct w:val="0"/>
              <w:bidi w:val="0"/>
              <w:adjustRightInd/>
              <w:snapToGrid/>
              <w:spacing w:line="500" w:lineRule="exact"/>
              <w:ind w:leftChars="0" w:firstLine="48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各地要严格落实好生态环境保护有关规定和要求，勘查工作结束后，项目承担单位要及时撤除各项设施，严格按照废弃物清理有关国家标准清理施工现场各种废物、垃圾等，严格按照绿色勘查有关标准规范和勘查实施方案要求处理新建道路、施工产生的坑、沟等，严格按照森林、草原、湿地、防沙治沙有关法律法规和标准规范在规定时间内做好复绿、复植等。各地要将绿色勘查措施落实和项目场地生态环境恢复情况作为地质勘查项目验收重要内容，不符合规定的项目（野外）验收不予通过。</w:t>
            </w:r>
          </w:p>
          <w:p>
            <w:pPr>
              <w:keepNext w:val="0"/>
              <w:keepLines w:val="0"/>
              <w:pageBreakBefore w:val="0"/>
              <w:widowControl w:val="0"/>
              <w:numPr>
                <w:ilvl w:val="0"/>
                <w:numId w:val="0"/>
              </w:numPr>
              <w:kinsoku/>
              <w:wordWrap/>
              <w:overflowPunct/>
              <w:topLinePunct w:val="0"/>
              <w:bidi w:val="0"/>
              <w:adjustRightInd/>
              <w:snapToGrid/>
              <w:spacing w:line="500" w:lineRule="exact"/>
              <w:ind w:leftChars="0" w:firstLine="48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本次环评提出，项目需严格按《绿色地质勘查工作规范》（DZ/T 0374-2021）开展绿色勘查标准建设，槽探、钻探符合绿色勘查有关标准规范，勘查工作结束后，勘探单位要及时撤除各项设施，严格按照废弃物清理有关国家标准清理施工现场各种废物、垃圾等，严格按照绿色勘查有关标准规范和勘查实施方案要求处理新建道路、施工产生的坑、沟等，严格按照草原有关法律法规和标准规范在规定时间内做好复绿、复植等。将绿色勘查措施落实和项目场地生态环境恢复情况作为地质勘查项目验收重要内容，不符合规定的项目（野外）验收不予通过。</w:t>
            </w:r>
          </w:p>
          <w:p>
            <w:pPr>
              <w:keepNext w:val="0"/>
              <w:keepLines w:val="0"/>
              <w:pageBreakBefore w:val="0"/>
              <w:widowControl w:val="0"/>
              <w:numPr>
                <w:ilvl w:val="0"/>
                <w:numId w:val="0"/>
              </w:numPr>
              <w:kinsoku/>
              <w:wordWrap/>
              <w:overflowPunct/>
              <w:topLinePunct w:val="0"/>
              <w:bidi w:val="0"/>
              <w:adjustRightInd/>
              <w:snapToGrid/>
              <w:spacing w:line="500" w:lineRule="exact"/>
              <w:ind w:leftChars="0" w:firstLine="48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项目在勘探过程中严格执行环评提出的以上各项要求，符合《自然资源部 国家林草局关于在新一轮找矿突破战略行动中全面实施绿色勘查的通知》。</w:t>
            </w:r>
          </w:p>
          <w:p>
            <w:pPr>
              <w:keepNext w:val="0"/>
              <w:keepLines w:val="0"/>
              <w:pageBreakBefore w:val="0"/>
              <w:widowControl w:val="0"/>
              <w:numPr>
                <w:ilvl w:val="0"/>
                <w:numId w:val="0"/>
              </w:numPr>
              <w:kinsoku/>
              <w:wordWrap/>
              <w:overflowPunct/>
              <w:topLinePunct w:val="0"/>
              <w:bidi w:val="0"/>
              <w:adjustRightInd/>
              <w:snapToGrid/>
              <w:spacing w:line="500" w:lineRule="exact"/>
              <w:ind w:left="0" w:leftChars="0" w:firstLine="480" w:firstLineChars="200"/>
              <w:textAlignment w:val="auto"/>
              <w:rPr>
                <w:rFonts w:hint="default" w:ascii="Times New Roman" w:hAnsi="Times New Roman" w:eastAsia="华文中宋"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bCs/>
                <w:color w:val="000000" w:themeColor="text1"/>
                <w:kern w:val="2"/>
                <w:sz w:val="24"/>
                <w:szCs w:val="24"/>
                <w:lang w:val="en-US" w:eastAsia="zh-CN" w:bidi="ar-SA"/>
                <w14:textFill>
                  <w14:solidFill>
                    <w14:schemeClr w14:val="tx1"/>
                  </w14:solidFill>
                </w14:textFill>
              </w:rPr>
              <w:t>4、与《新疆维吾尔自治区环境保护条例》（2018修订）符合性分析</w:t>
            </w:r>
          </w:p>
          <w:p>
            <w:pPr>
              <w:keepNext w:val="0"/>
              <w:keepLines w:val="0"/>
              <w:pageBreakBefore w:val="0"/>
              <w:widowControl w:val="0"/>
              <w:numPr>
                <w:ilvl w:val="0"/>
                <w:numId w:val="0"/>
              </w:numPr>
              <w:kinsoku/>
              <w:wordWrap/>
              <w:overflowPunct/>
              <w:topLinePunct w:val="0"/>
              <w:bidi w:val="0"/>
              <w:adjustRightInd/>
              <w:snapToGrid/>
              <w:spacing w:line="500" w:lineRule="exact"/>
              <w:ind w:left="0" w:leftChars="0" w:firstLine="480" w:firstLineChars="200"/>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条例第四十七条规定：“矿产资源勘探、开发单位，应当对矿产资源勘探、开发产生的尾矿、煤矸石、粉煤灰、冶炼渣以及脱硫、脱硝、除尘等产生的固体废物的堆存场所进行整治，完善防扬散、防流失、防渗漏等设施；造成环境污染的，应当采取有效措施进行生态修复”。</w:t>
            </w:r>
          </w:p>
          <w:p>
            <w:pPr>
              <w:keepNext w:val="0"/>
              <w:keepLines w:val="0"/>
              <w:pageBreakBefore w:val="0"/>
              <w:widowControl w:val="0"/>
              <w:numPr>
                <w:ilvl w:val="0"/>
                <w:numId w:val="0"/>
              </w:numPr>
              <w:kinsoku/>
              <w:wordWrap/>
              <w:overflowPunct/>
              <w:topLinePunct w:val="0"/>
              <w:bidi w:val="0"/>
              <w:adjustRightInd/>
              <w:snapToGrid/>
              <w:spacing w:line="500" w:lineRule="exact"/>
              <w:ind w:left="0" w:leftChars="0" w:firstLine="480" w:firstLineChars="200"/>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勘探区不属于生态敏感区域，勘探期各类污染物均采取合理有效措施或无害化处理技术，将污染降至最低，符合《新疆维吾尔自治区环境保护条例》（2018修）中对矿产资源勘探有关规定。</w:t>
            </w:r>
          </w:p>
          <w:p>
            <w:pPr>
              <w:keepNext w:val="0"/>
              <w:keepLines w:val="0"/>
              <w:pageBreakBefore w:val="0"/>
              <w:widowControl w:val="0"/>
              <w:numPr>
                <w:ilvl w:val="0"/>
                <w:numId w:val="0"/>
              </w:numPr>
              <w:kinsoku/>
              <w:wordWrap/>
              <w:overflowPunct/>
              <w:topLinePunct w:val="0"/>
              <w:bidi w:val="0"/>
              <w:adjustRightInd/>
              <w:snapToGrid/>
              <w:spacing w:line="500" w:lineRule="exact"/>
              <w:ind w:left="0" w:leftChars="0" w:firstLine="480" w:firstLineChars="200"/>
              <w:textAlignment w:val="auto"/>
              <w:rPr>
                <w:rFonts w:hint="default" w:ascii="Times New Roman" w:hAnsi="Times New Roman" w:eastAsia="华文中宋"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华文中宋" w:cs="Times New Roman"/>
                <w:b/>
                <w:bCs/>
                <w:color w:val="000000" w:themeColor="text1"/>
                <w:kern w:val="0"/>
                <w:sz w:val="24"/>
                <w:szCs w:val="24"/>
                <w:lang w:val="en-US" w:eastAsia="zh-CN" w:bidi="ar"/>
                <w14:textFill>
                  <w14:solidFill>
                    <w14:schemeClr w14:val="tx1"/>
                  </w14:solidFill>
                </w14:textFill>
              </w:rPr>
              <w:t>5、项目与《新疆维吾尔自治区28个国家重点生态功能区县（市）产业准入负面清单（试行）新发改规划〔2017〕891号》符合性</w:t>
            </w:r>
          </w:p>
          <w:p>
            <w:pPr>
              <w:keepNext w:val="0"/>
              <w:keepLines w:val="0"/>
              <w:pageBreakBefore w:val="0"/>
              <w:widowControl w:val="0"/>
              <w:numPr>
                <w:ilvl w:val="0"/>
                <w:numId w:val="0"/>
              </w:numPr>
              <w:kinsoku/>
              <w:wordWrap/>
              <w:overflowPunct/>
              <w:topLinePunct w:val="0"/>
              <w:bidi w:val="0"/>
              <w:adjustRightInd/>
              <w:snapToGrid/>
              <w:spacing w:line="500" w:lineRule="exact"/>
              <w:ind w:leftChars="0" w:firstLine="48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对照《新疆维吾尔自治区28个国家重点生态功能区县（市）产业准入负面清单（试行）》中的且末县产业准入负面清单，涉及国民经济5门类12大类21中类24小类。其中禁止类涉及国民经济2门类5大类8中类8小类；限制类涉及国民经济4门类9大类14中类16小类。</w:t>
            </w:r>
          </w:p>
          <w:p>
            <w:pPr>
              <w:keepNext w:val="0"/>
              <w:keepLines w:val="0"/>
              <w:pageBreakBefore w:val="0"/>
              <w:widowControl w:val="0"/>
              <w:numPr>
                <w:ilvl w:val="0"/>
                <w:numId w:val="0"/>
              </w:numPr>
              <w:kinsoku/>
              <w:wordWrap/>
              <w:overflowPunct/>
              <w:topLinePunct w:val="0"/>
              <w:bidi w:val="0"/>
              <w:adjustRightInd/>
              <w:snapToGrid/>
              <w:spacing w:line="500" w:lineRule="exact"/>
              <w:ind w:leftChars="0" w:firstLine="48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本项目为“固体矿产地质普查M7472”，不在限制类和禁止类中，因此本项目为允许类，符合《新疆维吾尔自治区28个国家重点生态功能区县（市）产业准入负面清单（试行）》的相关要求。</w:t>
            </w:r>
          </w:p>
          <w:p>
            <w:pPr>
              <w:keepNext w:val="0"/>
              <w:keepLines w:val="0"/>
              <w:pageBreakBefore w:val="0"/>
              <w:widowControl w:val="0"/>
              <w:numPr>
                <w:ilvl w:val="0"/>
                <w:numId w:val="0"/>
              </w:numPr>
              <w:kinsoku/>
              <w:wordWrap/>
              <w:overflowPunct/>
              <w:topLinePunct w:val="0"/>
              <w:bidi w:val="0"/>
              <w:adjustRightInd/>
              <w:snapToGrid/>
              <w:spacing w:line="500" w:lineRule="exact"/>
              <w:ind w:leftChars="0" w:firstLine="48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6、《新疆维吾尔自治区重点行业生态环境准入条件（2024年）》符合性</w:t>
            </w:r>
          </w:p>
          <w:p>
            <w:pPr>
              <w:keepNext w:val="0"/>
              <w:keepLines w:val="0"/>
              <w:pageBreakBefore w:val="0"/>
              <w:widowControl w:val="0"/>
              <w:numPr>
                <w:ilvl w:val="0"/>
                <w:numId w:val="0"/>
              </w:numPr>
              <w:kinsoku/>
              <w:wordWrap/>
              <w:overflowPunct/>
              <w:topLinePunct w:val="0"/>
              <w:bidi w:val="0"/>
              <w:adjustRightInd/>
              <w:snapToGrid/>
              <w:spacing w:line="500" w:lineRule="exact"/>
              <w:ind w:leftChars="0" w:firstLine="48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根据《新疆维吾尔自治区重点行业生态环境准入条件（2024年）》；禁止在自然保护区、世界自然遗产地、风景名胜区、自然公园（森林公园、地质公园、湿地公园、沙漠公园等）、重要湿地、饮用水水源保护区等依法划定禁止开发建设的环境敏感区及其他法律法规规章禁止的区域进行污染环境的任何开发活动。</w:t>
            </w:r>
          </w:p>
          <w:p>
            <w:pPr>
              <w:keepNext w:val="0"/>
              <w:keepLines w:val="0"/>
              <w:pageBreakBefore w:val="0"/>
              <w:widowControl w:val="0"/>
              <w:numPr>
                <w:ilvl w:val="0"/>
                <w:numId w:val="0"/>
              </w:numPr>
              <w:kinsoku/>
              <w:wordWrap/>
              <w:overflowPunct/>
              <w:topLinePunct w:val="0"/>
              <w:bidi w:val="0"/>
              <w:adjustRightInd/>
              <w:snapToGrid/>
              <w:spacing w:line="500" w:lineRule="exact"/>
              <w:ind w:leftChars="0" w:firstLine="48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根据现场踏勘和资料分析，勘探区不涉及自然保护区、世界自然遗产地、风景名胜区、森林公园、地质公园、重要湿地、饮用水水源保护区等重点保护区域，因此本项目选址符合《新疆维吾尔自治区重点行业生态环境准入条件（2024年）》的相关要求。</w:t>
            </w:r>
          </w:p>
          <w:p>
            <w:pPr>
              <w:keepNext w:val="0"/>
              <w:keepLines w:val="0"/>
              <w:pageBreakBefore w:val="0"/>
              <w:widowControl w:val="0"/>
              <w:numPr>
                <w:ilvl w:val="0"/>
                <w:numId w:val="0"/>
              </w:numPr>
              <w:kinsoku/>
              <w:wordWrap/>
              <w:overflowPunct/>
              <w:topLinePunct w:val="0"/>
              <w:bidi w:val="0"/>
              <w:adjustRightInd/>
              <w:snapToGrid/>
              <w:spacing w:line="500" w:lineRule="exact"/>
              <w:ind w:left="0" w:leftChars="0" w:firstLine="480" w:firstLineChars="200"/>
              <w:textAlignment w:val="auto"/>
              <w:rPr>
                <w:rFonts w:hint="default" w:ascii="Times New Roman" w:hAnsi="Times New Roman" w:eastAsia="华文中宋"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bCs/>
                <w:color w:val="000000" w:themeColor="text1"/>
                <w:kern w:val="2"/>
                <w:sz w:val="24"/>
                <w:szCs w:val="24"/>
                <w:lang w:val="en-US" w:eastAsia="zh-CN" w:bidi="ar-SA"/>
                <w14:textFill>
                  <w14:solidFill>
                    <w14:schemeClr w14:val="tx1"/>
                  </w14:solidFill>
                </w14:textFill>
              </w:rPr>
              <w:t>7、与《新疆维吾尔自治区大气污染防治条例》的符合性</w:t>
            </w:r>
          </w:p>
          <w:p>
            <w:pPr>
              <w:keepNext w:val="0"/>
              <w:keepLines w:val="0"/>
              <w:pageBreakBefore w:val="0"/>
              <w:widowControl/>
              <w:tabs>
                <w:tab w:val="right" w:pos="7823"/>
              </w:tabs>
              <w:kinsoku/>
              <w:wordWrap/>
              <w:overflowPunct/>
              <w:topLinePunct w:val="0"/>
              <w:autoSpaceDE/>
              <w:autoSpaceDN/>
              <w:bidi w:val="0"/>
              <w:adjustRightInd w:val="0"/>
              <w:snapToGrid w:val="0"/>
              <w:spacing w:beforeAutospacing="0" w:afterAutospacing="0" w:line="500" w:lineRule="exact"/>
              <w:ind w:firstLine="480" w:firstLineChars="200"/>
              <w:jc w:val="left"/>
              <w:textAlignment w:val="auto"/>
              <w:rPr>
                <w:rFonts w:hint="default" w:ascii="Times New Roman" w:hAnsi="Times New Roman" w:eastAsia="华文中宋" w:cs="Times New Roman"/>
                <w:color w:val="000000" w:themeColor="text1"/>
                <w:kern w:val="0"/>
                <w:szCs w:val="24"/>
                <w:highlight w:val="none"/>
                <w:lang w:bidi="ar"/>
                <w14:textFill>
                  <w14:solidFill>
                    <w14:schemeClr w14:val="tx1"/>
                  </w14:solidFill>
                </w14:textFill>
              </w:rPr>
            </w:pPr>
            <w:r>
              <w:rPr>
                <w:rFonts w:hint="default" w:ascii="Times New Roman" w:hAnsi="Times New Roman" w:eastAsia="华文中宋" w:cs="Times New Roman"/>
                <w:color w:val="000000" w:themeColor="text1"/>
                <w:kern w:val="0"/>
                <w:szCs w:val="24"/>
                <w:highlight w:val="none"/>
                <w:lang w:bidi="ar"/>
                <w14:textFill>
                  <w14:solidFill>
                    <w14:schemeClr w14:val="tx1"/>
                  </w14:solidFill>
                </w14:textFill>
              </w:rPr>
              <w:t>《新疆维吾尔自治区大气污染防治条例》</w:t>
            </w:r>
            <w:r>
              <w:rPr>
                <w:rFonts w:hint="default" w:ascii="Times New Roman" w:hAnsi="Times New Roman" w:eastAsia="华文中宋" w:cs="Times New Roman"/>
                <w:color w:val="000000" w:themeColor="text1"/>
                <w:kern w:val="0"/>
                <w:szCs w:val="24"/>
                <w:highlight w:val="none"/>
                <w:lang w:eastAsia="zh-CN" w:bidi="ar"/>
                <w14:textFill>
                  <w14:solidFill>
                    <w14:schemeClr w14:val="tx1"/>
                  </w14:solidFill>
                </w14:textFill>
              </w:rPr>
              <w:t>规定，</w:t>
            </w:r>
            <w:r>
              <w:rPr>
                <w:rFonts w:hint="default" w:ascii="Times New Roman" w:hAnsi="Times New Roman" w:eastAsia="华文中宋" w:cs="Times New Roman"/>
                <w:color w:val="000000" w:themeColor="text1"/>
                <w:kern w:val="0"/>
                <w:szCs w:val="24"/>
                <w:highlight w:val="none"/>
                <w:lang w:bidi="ar"/>
                <w14:textFill>
                  <w14:solidFill>
                    <w14:schemeClr w14:val="tx1"/>
                  </w14:solidFill>
                </w14:textFill>
              </w:rPr>
              <w:t>各级人民政府应当加强对建设施工、矿产资源开采、物料运输的扬尘和沙尘污染的治理，保持道路清洁、控制料堆和渣土堆放，科学合理扩大绿地、水面、湿地、地面铺装和防风固沙绿化面积，防治扬尘污染。</w:t>
            </w:r>
          </w:p>
          <w:p>
            <w:pPr>
              <w:keepNext w:val="0"/>
              <w:keepLines w:val="0"/>
              <w:pageBreakBefore w:val="0"/>
              <w:widowControl/>
              <w:tabs>
                <w:tab w:val="right" w:pos="7823"/>
              </w:tabs>
              <w:kinsoku/>
              <w:wordWrap/>
              <w:overflowPunct/>
              <w:topLinePunct w:val="0"/>
              <w:autoSpaceDE/>
              <w:autoSpaceDN/>
              <w:bidi w:val="0"/>
              <w:adjustRightInd w:val="0"/>
              <w:snapToGrid w:val="0"/>
              <w:spacing w:beforeAutospacing="0" w:afterAutospacing="0" w:line="500" w:lineRule="exact"/>
              <w:ind w:firstLine="480" w:firstLineChars="200"/>
              <w:jc w:val="left"/>
              <w:textAlignment w:val="auto"/>
              <w:rPr>
                <w:rFonts w:hint="default" w:ascii="Times New Roman" w:hAnsi="Times New Roman" w:eastAsia="华文中宋" w:cs="Times New Roman"/>
                <w:color w:val="000000" w:themeColor="text1"/>
                <w:kern w:val="0"/>
                <w:szCs w:val="24"/>
                <w:highlight w:val="none"/>
                <w:lang w:bidi="ar"/>
                <w14:textFill>
                  <w14:solidFill>
                    <w14:schemeClr w14:val="tx1"/>
                  </w14:solidFill>
                </w14:textFill>
              </w:rPr>
            </w:pPr>
            <w:r>
              <w:rPr>
                <w:rFonts w:hint="default" w:ascii="Times New Roman" w:hAnsi="Times New Roman" w:eastAsia="华文中宋" w:cs="Times New Roman"/>
                <w:color w:val="000000" w:themeColor="text1"/>
                <w:szCs w:val="24"/>
                <w:lang w:val="en-US" w:eastAsia="zh-CN"/>
                <w14:textFill>
                  <w14:solidFill>
                    <w14:schemeClr w14:val="tx1"/>
                  </w14:solidFill>
                </w14:textFill>
              </w:rPr>
              <w:t>本项目探槽产生的碎石在探槽边集中堆放，定期进行洒水，采用防尘网苫盖措施，</w:t>
            </w:r>
            <w:r>
              <w:rPr>
                <w:rFonts w:hint="default" w:ascii="Times New Roman" w:hAnsi="Times New Roman" w:eastAsia="华文中宋" w:cs="Times New Roman"/>
                <w:color w:val="000000" w:themeColor="text1"/>
                <w:kern w:val="0"/>
                <w:szCs w:val="24"/>
                <w:highlight w:val="none"/>
                <w:lang w:bidi="ar"/>
                <w14:textFill>
                  <w14:solidFill>
                    <w14:schemeClr w14:val="tx1"/>
                  </w14:solidFill>
                </w14:textFill>
              </w:rPr>
              <w:t>本</w:t>
            </w:r>
            <w:r>
              <w:rPr>
                <w:rFonts w:hint="default" w:ascii="Times New Roman" w:hAnsi="Times New Roman" w:eastAsia="华文中宋" w:cs="Times New Roman"/>
                <w:color w:val="000000" w:themeColor="text1"/>
                <w:kern w:val="0"/>
                <w:szCs w:val="24"/>
                <w:highlight w:val="none"/>
                <w:lang w:val="en-US" w:eastAsia="zh-CN" w:bidi="ar"/>
                <w14:textFill>
                  <w14:solidFill>
                    <w14:schemeClr w14:val="tx1"/>
                  </w14:solidFill>
                </w14:textFill>
              </w:rPr>
              <w:t>项目勘探</w:t>
            </w:r>
            <w:r>
              <w:rPr>
                <w:rFonts w:hint="default" w:ascii="Times New Roman" w:hAnsi="Times New Roman" w:eastAsia="华文中宋" w:cs="Times New Roman"/>
                <w:color w:val="000000" w:themeColor="text1"/>
                <w:kern w:val="0"/>
                <w:szCs w:val="24"/>
                <w:highlight w:val="none"/>
                <w:lang w:bidi="ar"/>
                <w14:textFill>
                  <w14:solidFill>
                    <w14:schemeClr w14:val="tx1"/>
                  </w14:solidFill>
                </w14:textFill>
              </w:rPr>
              <w:t>符合《新疆维吾尔自治区大气污染防治条例》相关规定。</w:t>
            </w:r>
          </w:p>
          <w:p>
            <w:pPr>
              <w:keepNext w:val="0"/>
              <w:keepLines w:val="0"/>
              <w:pageBreakBefore w:val="0"/>
              <w:widowControl w:val="0"/>
              <w:numPr>
                <w:ilvl w:val="0"/>
                <w:numId w:val="0"/>
              </w:numPr>
              <w:kinsoku/>
              <w:wordWrap/>
              <w:overflowPunct/>
              <w:topLinePunct w:val="0"/>
              <w:bidi w:val="0"/>
              <w:adjustRightInd/>
              <w:snapToGrid/>
              <w:spacing w:line="500" w:lineRule="exact"/>
              <w:ind w:left="0" w:leftChars="0" w:firstLine="480" w:firstLineChars="200"/>
              <w:textAlignment w:val="auto"/>
              <w:rPr>
                <w:rFonts w:hint="default" w:ascii="Times New Roman" w:hAnsi="Times New Roman" w:eastAsia="华文中宋" w:cs="Times New Roman"/>
                <w:color w:val="000000" w:themeColor="text1"/>
                <w:sz w:val="24"/>
                <w:szCs w:val="24"/>
                <w:highlight w:val="yellow"/>
                <w:lang w:val="en-US" w:eastAsia="zh-CN"/>
                <w14:textFill>
                  <w14:solidFill>
                    <w14:schemeClr w14:val="tx1"/>
                  </w14:solidFill>
                </w14:textFill>
              </w:rPr>
            </w:pPr>
            <w:r>
              <w:rPr>
                <w:rFonts w:hint="default" w:ascii="Times New Roman" w:hAnsi="Times New Roman" w:eastAsia="华文中宋" w:cs="Times New Roman"/>
                <w:b/>
                <w:bCs/>
                <w:color w:val="000000" w:themeColor="text1"/>
                <w:kern w:val="2"/>
                <w:sz w:val="24"/>
                <w:szCs w:val="24"/>
                <w:lang w:val="en-US" w:eastAsia="zh-CN" w:bidi="ar-SA"/>
                <w14:textFill>
                  <w14:solidFill>
                    <w14:schemeClr w14:val="tx1"/>
                  </w14:solidFill>
                </w14:textFill>
              </w:rPr>
              <w:t>8、与《矿山生态环境保护与恢复治理技术规范（试行）》(HJ651-2013)的符合性</w:t>
            </w:r>
          </w:p>
          <w:p>
            <w:pPr>
              <w:keepNext w:val="0"/>
              <w:keepLines w:val="0"/>
              <w:pageBreakBefore w:val="0"/>
              <w:widowControl w:val="0"/>
              <w:kinsoku/>
              <w:wordWrap/>
              <w:overflowPunct/>
              <w:topLinePunct w:val="0"/>
              <w:autoSpaceDE/>
              <w:autoSpaceDN/>
              <w:bidi w:val="0"/>
              <w:adjustRightInd/>
              <w:snapToGrid/>
              <w:spacing w:line="500" w:lineRule="exact"/>
              <w:ind w:firstLine="420"/>
              <w:jc w:val="center"/>
              <w:textAlignment w:val="auto"/>
              <w:rPr>
                <w:rFonts w:hint="default" w:ascii="Times New Roman" w:hAnsi="Times New Roman" w:eastAsia="华文中宋" w:cs="Times New Roman"/>
                <w:b/>
                <w:bCs/>
                <w:color w:val="000000" w:themeColor="text1"/>
                <w:sz w:val="24"/>
                <w:szCs w:val="24"/>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表 1-4 《矿山生态环境保护与恢复治理技术规范》主要指标</w:t>
            </w:r>
          </w:p>
          <w:tbl>
            <w:tblPr>
              <w:tblStyle w:val="29"/>
              <w:tblW w:w="4881" w:type="pct"/>
              <w:tblInd w:w="114" w:type="dxa"/>
              <w:tblBorders>
                <w:top w:val="single" w:color="474747" w:sz="12" w:space="0"/>
                <w:left w:val="single" w:color="474747" w:sz="12" w:space="0"/>
                <w:bottom w:val="single" w:color="474747" w:sz="12" w:space="0"/>
                <w:right w:val="single" w:color="474747" w:sz="12" w:space="0"/>
                <w:insideH w:val="single" w:color="474747" w:sz="4" w:space="0"/>
                <w:insideV w:val="single" w:color="474747" w:sz="4" w:space="0"/>
              </w:tblBorders>
              <w:tblLayout w:type="autofit"/>
              <w:tblCellMar>
                <w:top w:w="0" w:type="dxa"/>
                <w:left w:w="108" w:type="dxa"/>
                <w:bottom w:w="0" w:type="dxa"/>
                <w:right w:w="108" w:type="dxa"/>
              </w:tblCellMar>
            </w:tblPr>
            <w:tblGrid>
              <w:gridCol w:w="426"/>
              <w:gridCol w:w="5645"/>
              <w:gridCol w:w="1537"/>
              <w:gridCol w:w="531"/>
            </w:tblGrid>
            <w:tr>
              <w:tblPrEx>
                <w:tblBorders>
                  <w:top w:val="single" w:color="474747" w:sz="12" w:space="0"/>
                  <w:left w:val="single" w:color="474747" w:sz="12" w:space="0"/>
                  <w:bottom w:val="single" w:color="474747" w:sz="12" w:space="0"/>
                  <w:right w:val="single" w:color="474747" w:sz="12" w:space="0"/>
                  <w:insideH w:val="single" w:color="474747" w:sz="4" w:space="0"/>
                  <w:insideV w:val="single" w:color="474747" w:sz="4" w:space="0"/>
                </w:tblBorders>
                <w:tblCellMar>
                  <w:top w:w="0" w:type="dxa"/>
                  <w:left w:w="108" w:type="dxa"/>
                  <w:bottom w:w="0" w:type="dxa"/>
                  <w:right w:w="108" w:type="dxa"/>
                </w:tblCellMar>
              </w:tblPrEx>
              <w:trPr>
                <w:trHeight w:val="359" w:hRule="atLeast"/>
              </w:trPr>
              <w:tc>
                <w:tcPr>
                  <w:tcW w:w="261" w:type="pc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序号</w:t>
                  </w:r>
                </w:p>
              </w:tc>
              <w:tc>
                <w:tcPr>
                  <w:tcW w:w="3467" w:type="pc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矿山生态环境保护与恢复治理技术规范相关要求指标</w:t>
                  </w:r>
                </w:p>
              </w:tc>
              <w:tc>
                <w:tcPr>
                  <w:tcW w:w="944" w:type="pc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本项目</w:t>
                  </w:r>
                </w:p>
              </w:tc>
              <w:tc>
                <w:tcPr>
                  <w:tcW w:w="326" w:type="pc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结论</w:t>
                  </w:r>
                </w:p>
              </w:tc>
            </w:tr>
            <w:tr>
              <w:tblPrEx>
                <w:tblBorders>
                  <w:top w:val="single" w:color="474747" w:sz="12" w:space="0"/>
                  <w:left w:val="single" w:color="474747" w:sz="12" w:space="0"/>
                  <w:bottom w:val="single" w:color="474747" w:sz="12" w:space="0"/>
                  <w:right w:val="single" w:color="474747" w:sz="12" w:space="0"/>
                  <w:insideH w:val="single" w:color="474747" w:sz="4" w:space="0"/>
                  <w:insideV w:val="single" w:color="474747" w:sz="4" w:space="0"/>
                </w:tblBorders>
                <w:tblCellMar>
                  <w:top w:w="0" w:type="dxa"/>
                  <w:left w:w="108" w:type="dxa"/>
                  <w:bottom w:w="0" w:type="dxa"/>
                  <w:right w:w="108" w:type="dxa"/>
                </w:tblCellMar>
              </w:tblPrEx>
              <w:trPr>
                <w:trHeight w:val="1632" w:hRule="atLeast"/>
              </w:trPr>
              <w:tc>
                <w:tcPr>
                  <w:tcW w:w="261" w:type="pc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1</w:t>
                  </w:r>
                </w:p>
              </w:tc>
              <w:tc>
                <w:tcPr>
                  <w:tcW w:w="3467" w:type="pc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矿山生态环境保护与恢复治理的一般要求：</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1 禁止在依法划定的自然保护区、风景名胜区、森林公园、饮用水水源保护区、文物古迹</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所在地、地质遗迹保护区、基本农田保护区等重要生态保护地以及其他法律法规规定的禁采</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区域内采矿。禁止在重要道路、航道两侧及重要生态环境敏感目标可视范围内进行对景观破坏明显的露天开采。</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2 矿产资源开发活动应符合国家和区域主体功能区规划、生态功能区划、生态环境保护规划的要求，采取有效预防和保护措施，避免或减轻矿产资源开发活动造成的生态破坏和环境污染。</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3 坚持“预防为主、防治结合、过程控制”的原则，将矿山生态环境保护与恢复治理贯穿矿产资源开采的全过程。根据矿山生态环境保护与恢复治理的重点任务，合理确定矿山生态保护与恢复治理分区，优化矿区生产与生活空间格局。采用新技术、新方法、新工艺提高矿山生态环境保护和恢复治理水平。</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4 恢复治理后的各类场地应实现：安全稳定，对人类和动植物不造成威胁；对周边环境不产生污染；与周边自然环境和景观相协调；恢复土地基本功能，因地制宜实现土地可持续利用；区域整体生态功能得到保护和恢复。</w:t>
                  </w:r>
                </w:p>
              </w:tc>
              <w:tc>
                <w:tcPr>
                  <w:tcW w:w="944" w:type="pc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本项目属于矿产资源勘查项目，且不在上述区域内；工程探槽、钻孔平台及生活区等占地，工程结束后及时恢复，不会对生态环境产生不可恢复的影响。</w:t>
                  </w:r>
                </w:p>
              </w:tc>
              <w:tc>
                <w:tcPr>
                  <w:tcW w:w="326" w:type="pc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符合</w:t>
                  </w:r>
                </w:p>
              </w:tc>
            </w:tr>
            <w:tr>
              <w:tblPrEx>
                <w:tblBorders>
                  <w:top w:val="single" w:color="474747" w:sz="12" w:space="0"/>
                  <w:left w:val="single" w:color="474747" w:sz="12" w:space="0"/>
                  <w:bottom w:val="single" w:color="474747" w:sz="12" w:space="0"/>
                  <w:right w:val="single" w:color="474747" w:sz="12" w:space="0"/>
                  <w:insideH w:val="single" w:color="474747" w:sz="4" w:space="0"/>
                  <w:insideV w:val="single" w:color="474747" w:sz="4" w:space="0"/>
                </w:tblBorders>
                <w:tblCellMar>
                  <w:top w:w="0" w:type="dxa"/>
                  <w:left w:w="108" w:type="dxa"/>
                  <w:bottom w:w="0" w:type="dxa"/>
                  <w:right w:w="108" w:type="dxa"/>
                </w:tblCellMar>
              </w:tblPrEx>
              <w:trPr>
                <w:trHeight w:val="1304" w:hRule="atLeast"/>
              </w:trPr>
              <w:tc>
                <w:tcPr>
                  <w:tcW w:w="261" w:type="pc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2</w:t>
                  </w:r>
                </w:p>
              </w:tc>
              <w:tc>
                <w:tcPr>
                  <w:tcW w:w="3467" w:type="pc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探矿生态恢复：</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1 探矿活动结束后，应根据景观相似原则，对探矿活动造成的土壤、植被和地表景观破坏进行恢复。</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2 对水文地质条件、土地耕作及道路安全有影响或位于江、河、湖、海防护堤或重要建筑物附近的钻孔或坑井应予回填封闭，并恢复其原有生态功能。</w:t>
                  </w:r>
                </w:p>
              </w:tc>
              <w:tc>
                <w:tcPr>
                  <w:tcW w:w="944" w:type="pc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本项目探矿工程结束后，根据周边地形，对扰动地表全部进行地表恢复。</w:t>
                  </w:r>
                </w:p>
              </w:tc>
              <w:tc>
                <w:tcPr>
                  <w:tcW w:w="326" w:type="pc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符合</w:t>
                  </w:r>
                </w:p>
              </w:tc>
            </w:tr>
          </w:tbl>
          <w:p>
            <w:pPr>
              <w:keepNext w:val="0"/>
              <w:keepLines w:val="0"/>
              <w:pageBreakBefore w:val="0"/>
              <w:widowControl/>
              <w:tabs>
                <w:tab w:val="right" w:pos="7823"/>
              </w:tabs>
              <w:kinsoku/>
              <w:wordWrap/>
              <w:overflowPunct/>
              <w:topLinePunct w:val="0"/>
              <w:autoSpaceDE/>
              <w:autoSpaceDN/>
              <w:bidi w:val="0"/>
              <w:adjustRightInd w:val="0"/>
              <w:snapToGrid w:val="0"/>
              <w:spacing w:beforeAutospacing="0" w:afterAutospacing="0" w:line="500" w:lineRule="exact"/>
              <w:ind w:firstLine="480" w:firstLineChars="200"/>
              <w:jc w:val="left"/>
              <w:textAlignment w:val="auto"/>
              <w:rPr>
                <w:rFonts w:hint="default" w:ascii="Times New Roman" w:hAnsi="Times New Roman" w:eastAsia="华文中宋" w:cs="Times New Roman"/>
                <w:color w:val="000000" w:themeColor="text1"/>
                <w:sz w:val="24"/>
                <w:szCs w:val="24"/>
                <w:highlight w:val="yellow"/>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由上表可知，本项目实施过程中采取措施与《矿山生态环境保护与恢复治理技术规范（试行）》(HJ651-2013)相符，符合其要求。</w:t>
            </w:r>
          </w:p>
        </w:tc>
      </w:tr>
    </w:tbl>
    <w:p>
      <w:pPr>
        <w:spacing w:line="360" w:lineRule="auto"/>
        <w:outlineLvl w:val="9"/>
        <w:rPr>
          <w:rFonts w:hint="default" w:ascii="Times New Roman" w:hAnsi="Times New Roman" w:eastAsia="华文中宋" w:cs="Times New Roman"/>
          <w:color w:val="000000" w:themeColor="text1"/>
          <w:sz w:val="30"/>
          <w14:textFill>
            <w14:solidFill>
              <w14:schemeClr w14:val="tx1"/>
            </w14:solidFill>
          </w14:textFill>
        </w:rPr>
        <w:sectPr>
          <w:footerReference r:id="rId9"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4"/>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Style w:val="36"/>
          <w:rFonts w:hint="default" w:ascii="Times New Roman" w:hAnsi="Times New Roman" w:eastAsia="华文中宋" w:cs="Times New Roman"/>
          <w:b/>
          <w:bCs/>
          <w:color w:val="000000" w:themeColor="text1"/>
          <w:lang w:val="en-US" w:eastAsia="zh-CN"/>
          <w14:textFill>
            <w14:solidFill>
              <w14:schemeClr w14:val="tx1"/>
            </w14:solidFill>
          </w14:textFill>
        </w:rPr>
      </w:pPr>
      <w:bookmarkStart w:id="12" w:name="_Toc25239"/>
      <w:r>
        <w:rPr>
          <w:rStyle w:val="36"/>
          <w:rFonts w:hint="default" w:ascii="Times New Roman" w:hAnsi="Times New Roman" w:eastAsia="华文中宋" w:cs="Times New Roman"/>
          <w:b/>
          <w:bCs/>
          <w:color w:val="000000" w:themeColor="text1"/>
          <w:lang w:val="en-US" w:eastAsia="zh-CN"/>
          <w14:textFill>
            <w14:solidFill>
              <w14:schemeClr w14:val="tx1"/>
            </w14:solidFill>
          </w14:textFill>
        </w:rPr>
        <w:t>二、建设内容</w:t>
      </w:r>
      <w:bookmarkEnd w:id="12"/>
    </w:p>
    <w:tbl>
      <w:tblPr>
        <w:tblStyle w:val="29"/>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8"/>
        <w:gridCol w:w="83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0" w:hRule="atLeast"/>
          <w:jc w:val="center"/>
        </w:trPr>
        <w:tc>
          <w:tcPr>
            <w:tcW w:w="758" w:type="dxa"/>
            <w:noWrap w:val="0"/>
            <w:vAlign w:val="center"/>
          </w:tcPr>
          <w:p>
            <w:pPr>
              <w:adjustRightInd w:val="0"/>
              <w:snapToGrid w:val="0"/>
              <w:ind w:left="0" w:leftChars="0" w:firstLine="0" w:firstLineChars="0"/>
              <w:jc w:val="both"/>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4"/>
                <w14:textFill>
                  <w14:solidFill>
                    <w14:schemeClr w14:val="tx1"/>
                  </w14:solidFill>
                </w14:textFill>
              </w:rPr>
              <w:t>地理位置</w:t>
            </w:r>
          </w:p>
        </w:tc>
        <w:tc>
          <w:tcPr>
            <w:tcW w:w="833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项目建设地点</w:t>
            </w:r>
            <w:r>
              <w:rPr>
                <w:rFonts w:hint="default" w:ascii="Times New Roman" w:hAnsi="Times New Roman" w:eastAsia="华文中宋" w:cs="Times New Roman"/>
                <w:color w:val="000000" w:themeColor="text1"/>
                <w:sz w:val="24"/>
                <w:szCs w:val="24"/>
                <w:lang w:eastAsia="zh-CN"/>
                <w14:textFill>
                  <w14:solidFill>
                    <w14:schemeClr w14:val="tx1"/>
                  </w14:solidFill>
                </w14:textFill>
              </w:rPr>
              <w:t>位于且末县奥依亚依拉克乡南部</w:t>
            </w:r>
            <w:r>
              <w:rPr>
                <w:rFonts w:hint="default" w:ascii="Times New Roman" w:hAnsi="Times New Roman" w:eastAsia="华文中宋" w:cs="Times New Roman"/>
                <w:color w:val="000000" w:themeColor="text1"/>
                <w:sz w:val="24"/>
                <w:szCs w:val="24"/>
                <w14:textFill>
                  <w14:solidFill>
                    <w14:schemeClr w14:val="tx1"/>
                  </w14:solidFill>
                </w14:textFill>
              </w:rPr>
              <w:t>，行政区划隶属且末县管辖</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。中心地理坐标：东经84°13′19.463″，北纬36°45′23.566″。</w:t>
            </w:r>
            <w:r>
              <w:rPr>
                <w:rFonts w:hint="default" w:ascii="Times New Roman" w:hAnsi="Times New Roman" w:eastAsia="华文中宋" w:cs="Times New Roman"/>
                <w:color w:val="000000" w:themeColor="text1"/>
                <w:sz w:val="24"/>
                <w:szCs w:val="24"/>
                <w14:textFill>
                  <w14:solidFill>
                    <w14:schemeClr w14:val="tx1"/>
                  </w14:solidFill>
                </w14:textFill>
              </w:rPr>
              <w:t>本项目地理位置详见</w:t>
            </w:r>
            <w:r>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t>附图2-</w:t>
            </w:r>
            <w:r>
              <w:rPr>
                <w:rFonts w:hint="default" w:ascii="Times New Roman" w:hAnsi="Times New Roman" w:eastAsia="华文中宋" w:cs="Times New Roman"/>
                <w:color w:val="000000" w:themeColor="text1"/>
                <w:sz w:val="24"/>
                <w:szCs w:val="24"/>
                <w:highlight w:val="none"/>
                <w14:textFill>
                  <w14:solidFill>
                    <w14:schemeClr w14:val="tx1"/>
                  </w14:solidFill>
                </w14:textFill>
              </w:rPr>
              <w:t>地理位置图</w:t>
            </w:r>
            <w:r>
              <w:rPr>
                <w:rFonts w:hint="default" w:ascii="Times New Roman" w:hAnsi="Times New Roman" w:eastAsia="华文中宋"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华文中宋" w:cs="Times New Roman"/>
                <w:color w:val="000000" w:themeColor="text1"/>
                <w:sz w:val="24"/>
                <w:highlight w:val="none"/>
                <w14:textFill>
                  <w14:solidFill>
                    <w14:schemeClr w14:val="tx1"/>
                  </w14:solidFill>
                </w14:textFill>
              </w:rPr>
              <w:t>项目</w:t>
            </w:r>
            <w:r>
              <w:rPr>
                <w:rFonts w:hint="default" w:ascii="Times New Roman" w:hAnsi="Times New Roman" w:eastAsia="华文中宋" w:cs="Times New Roman"/>
                <w:color w:val="000000" w:themeColor="text1"/>
                <w:sz w:val="24"/>
                <w:highlight w:val="none"/>
                <w:lang w:val="en-US" w:eastAsia="zh-CN"/>
                <w14:textFill>
                  <w14:solidFill>
                    <w14:schemeClr w14:val="tx1"/>
                  </w14:solidFill>
                </w14:textFill>
              </w:rPr>
              <w:t>区周边关系</w:t>
            </w:r>
            <w:r>
              <w:rPr>
                <w:rFonts w:hint="default" w:ascii="Times New Roman" w:hAnsi="Times New Roman" w:eastAsia="华文中宋" w:cs="Times New Roman"/>
                <w:color w:val="000000" w:themeColor="text1"/>
                <w:sz w:val="24"/>
                <w:highlight w:val="none"/>
                <w14:textFill>
                  <w14:solidFill>
                    <w14:schemeClr w14:val="tx1"/>
                  </w14:solidFill>
                </w14:textFill>
              </w:rPr>
              <w:t>详见</w:t>
            </w:r>
            <w:r>
              <w:rPr>
                <w:rFonts w:hint="default" w:ascii="Times New Roman" w:hAnsi="Times New Roman" w:eastAsia="华文中宋" w:cs="Times New Roman"/>
                <w:color w:val="000000" w:themeColor="text1"/>
                <w:sz w:val="24"/>
                <w:highlight w:val="none"/>
                <w:lang w:val="en-US" w:eastAsia="zh-CN"/>
                <w14:textFill>
                  <w14:solidFill>
                    <w14:schemeClr w14:val="tx1"/>
                  </w14:solidFill>
                </w14:textFill>
              </w:rPr>
              <w:t>附</w:t>
            </w:r>
            <w:r>
              <w:rPr>
                <w:rFonts w:hint="default" w:ascii="Times New Roman" w:hAnsi="Times New Roman" w:eastAsia="华文中宋" w:cs="Times New Roman"/>
                <w:color w:val="000000" w:themeColor="text1"/>
                <w:sz w:val="24"/>
                <w:highlight w:val="none"/>
                <w14:textFill>
                  <w14:solidFill>
                    <w14:schemeClr w14:val="tx1"/>
                  </w14:solidFill>
                </w14:textFill>
              </w:rPr>
              <w:t>图</w:t>
            </w:r>
            <w:r>
              <w:rPr>
                <w:rFonts w:hint="default" w:ascii="Times New Roman" w:hAnsi="Times New Roman" w:eastAsia="华文中宋" w:cs="Times New Roman"/>
                <w:color w:val="000000" w:themeColor="text1"/>
                <w:sz w:val="24"/>
                <w:highlight w:val="none"/>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探矿证勘查项目名称：且末县苏盖提坎铜镍矿勘探，探矿权人：且末县铨谊矿业有限公司，勘查许可证编号：T6500002008123010022570，有效期限：</w:t>
            </w:r>
            <w:r>
              <w:rPr>
                <w:rFonts w:hint="default" w:ascii="Times New Roman" w:hAnsi="Times New Roman" w:eastAsia="华文中宋" w:cs="Times New Roman"/>
                <w:color w:val="000000" w:themeColor="text1"/>
                <w:kern w:val="2"/>
                <w:sz w:val="24"/>
                <w:szCs w:val="24"/>
                <w:lang w:eastAsia="zh-CN"/>
                <w14:textFill>
                  <w14:solidFill>
                    <w14:schemeClr w14:val="tx1"/>
                  </w14:solidFill>
                </w14:textFill>
              </w:rPr>
              <w:t>202</w:t>
            </w:r>
            <w:r>
              <w:rPr>
                <w:rFonts w:hint="default" w:ascii="Times New Roman" w:hAnsi="Times New Roman" w:eastAsia="华文中宋" w:cs="Times New Roman"/>
                <w:color w:val="000000" w:themeColor="text1"/>
                <w:kern w:val="2"/>
                <w:sz w:val="24"/>
                <w:szCs w:val="24"/>
                <w:lang w:val="en-US" w:eastAsia="zh-CN"/>
                <w14:textFill>
                  <w14:solidFill>
                    <w14:schemeClr w14:val="tx1"/>
                  </w14:solidFill>
                </w14:textFill>
              </w:rPr>
              <w:t>5</w:t>
            </w:r>
            <w:r>
              <w:rPr>
                <w:rFonts w:hint="default" w:ascii="Times New Roman" w:hAnsi="Times New Roman" w:eastAsia="华文中宋" w:cs="Times New Roman"/>
                <w:color w:val="000000" w:themeColor="text1"/>
                <w:kern w:val="2"/>
                <w:sz w:val="24"/>
                <w:szCs w:val="24"/>
                <w:lang w:eastAsia="zh-CN"/>
                <w14:textFill>
                  <w14:solidFill>
                    <w14:schemeClr w14:val="tx1"/>
                  </w14:solidFill>
                </w14:textFill>
              </w:rPr>
              <w:t>年</w:t>
            </w:r>
            <w:r>
              <w:rPr>
                <w:rFonts w:hint="default" w:ascii="Times New Roman" w:hAnsi="Times New Roman" w:eastAsia="华文中宋" w:cs="Times New Roman"/>
                <w:color w:val="000000" w:themeColor="text1"/>
                <w:kern w:val="2"/>
                <w:sz w:val="24"/>
                <w:szCs w:val="24"/>
                <w:lang w:val="en-US" w:eastAsia="zh-CN"/>
                <w14:textFill>
                  <w14:solidFill>
                    <w14:schemeClr w14:val="tx1"/>
                  </w14:solidFill>
                </w14:textFill>
              </w:rPr>
              <w:t>4</w:t>
            </w:r>
            <w:r>
              <w:rPr>
                <w:rFonts w:hint="default" w:ascii="Times New Roman" w:hAnsi="Times New Roman" w:eastAsia="华文中宋" w:cs="Times New Roman"/>
                <w:color w:val="000000" w:themeColor="text1"/>
                <w:kern w:val="2"/>
                <w:sz w:val="24"/>
                <w:szCs w:val="24"/>
                <w:lang w:eastAsia="zh-CN"/>
                <w14:textFill>
                  <w14:solidFill>
                    <w14:schemeClr w14:val="tx1"/>
                  </w14:solidFill>
                </w14:textFill>
              </w:rPr>
              <w:t>月</w:t>
            </w:r>
            <w:r>
              <w:rPr>
                <w:rFonts w:hint="default" w:ascii="Times New Roman" w:hAnsi="Times New Roman" w:eastAsia="华文中宋" w:cs="Times New Roman"/>
                <w:color w:val="000000" w:themeColor="text1"/>
                <w:kern w:val="2"/>
                <w:sz w:val="24"/>
                <w:szCs w:val="24"/>
                <w:lang w:val="en-US" w:eastAsia="zh-CN"/>
                <w14:textFill>
                  <w14:solidFill>
                    <w14:schemeClr w14:val="tx1"/>
                  </w14:solidFill>
                </w14:textFill>
              </w:rPr>
              <w:t>9</w:t>
            </w:r>
            <w:r>
              <w:rPr>
                <w:rFonts w:hint="default" w:ascii="Times New Roman" w:hAnsi="Times New Roman" w:eastAsia="华文中宋" w:cs="Times New Roman"/>
                <w:color w:val="000000" w:themeColor="text1"/>
                <w:kern w:val="2"/>
                <w:sz w:val="24"/>
                <w:szCs w:val="24"/>
                <w:lang w:eastAsia="zh-CN"/>
                <w14:textFill>
                  <w14:solidFill>
                    <w14:schemeClr w14:val="tx1"/>
                  </w14:solidFill>
                </w14:textFill>
              </w:rPr>
              <w:t>日至202</w:t>
            </w:r>
            <w:r>
              <w:rPr>
                <w:rFonts w:hint="default" w:ascii="Times New Roman" w:hAnsi="Times New Roman" w:eastAsia="华文中宋" w:cs="Times New Roman"/>
                <w:color w:val="000000" w:themeColor="text1"/>
                <w:kern w:val="2"/>
                <w:sz w:val="24"/>
                <w:szCs w:val="24"/>
                <w:lang w:val="en-US" w:eastAsia="zh-CN"/>
                <w14:textFill>
                  <w14:solidFill>
                    <w14:schemeClr w14:val="tx1"/>
                  </w14:solidFill>
                </w14:textFill>
              </w:rPr>
              <w:t>6</w:t>
            </w:r>
            <w:r>
              <w:rPr>
                <w:rFonts w:hint="default" w:ascii="Times New Roman" w:hAnsi="Times New Roman" w:eastAsia="华文中宋" w:cs="Times New Roman"/>
                <w:color w:val="000000" w:themeColor="text1"/>
                <w:kern w:val="2"/>
                <w:sz w:val="24"/>
                <w:szCs w:val="24"/>
                <w:lang w:eastAsia="zh-CN"/>
                <w14:textFill>
                  <w14:solidFill>
                    <w14:schemeClr w14:val="tx1"/>
                  </w14:solidFill>
                </w14:textFill>
              </w:rPr>
              <w:t>年</w:t>
            </w:r>
            <w:r>
              <w:rPr>
                <w:rFonts w:hint="default" w:ascii="Times New Roman" w:hAnsi="Times New Roman" w:eastAsia="华文中宋" w:cs="Times New Roman"/>
                <w:color w:val="000000" w:themeColor="text1"/>
                <w:kern w:val="2"/>
                <w:sz w:val="24"/>
                <w:szCs w:val="24"/>
                <w:lang w:val="en-US" w:eastAsia="zh-CN"/>
                <w14:textFill>
                  <w14:solidFill>
                    <w14:schemeClr w14:val="tx1"/>
                  </w14:solidFill>
                </w14:textFill>
              </w:rPr>
              <w:t>8</w:t>
            </w:r>
            <w:r>
              <w:rPr>
                <w:rFonts w:hint="default" w:ascii="Times New Roman" w:hAnsi="Times New Roman" w:eastAsia="华文中宋" w:cs="Times New Roman"/>
                <w:color w:val="000000" w:themeColor="text1"/>
                <w:kern w:val="2"/>
                <w:sz w:val="24"/>
                <w:szCs w:val="24"/>
                <w:lang w:eastAsia="zh-CN"/>
                <w14:textFill>
                  <w14:solidFill>
                    <w14:schemeClr w14:val="tx1"/>
                  </w14:solidFill>
                </w14:textFill>
              </w:rPr>
              <w:t>月</w:t>
            </w:r>
            <w:r>
              <w:rPr>
                <w:rFonts w:hint="default" w:ascii="Times New Roman" w:hAnsi="Times New Roman" w:eastAsia="华文中宋" w:cs="Times New Roman"/>
                <w:color w:val="000000" w:themeColor="text1"/>
                <w:kern w:val="2"/>
                <w:sz w:val="24"/>
                <w:szCs w:val="24"/>
                <w:lang w:val="en-US" w:eastAsia="zh-CN"/>
                <w14:textFill>
                  <w14:solidFill>
                    <w14:schemeClr w14:val="tx1"/>
                  </w14:solidFill>
                </w14:textFill>
              </w:rPr>
              <w:t>30</w:t>
            </w:r>
            <w:r>
              <w:rPr>
                <w:rFonts w:hint="default" w:ascii="Times New Roman" w:hAnsi="Times New Roman" w:eastAsia="华文中宋" w:cs="Times New Roman"/>
                <w:color w:val="000000" w:themeColor="text1"/>
                <w:kern w:val="2"/>
                <w:sz w:val="24"/>
                <w:szCs w:val="24"/>
                <w:lang w:eastAsia="zh-CN"/>
                <w14:textFill>
                  <w14:solidFill>
                    <w14:schemeClr w14:val="tx1"/>
                  </w14:solidFill>
                </w14:textFill>
              </w:rPr>
              <w:t>日</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，勘查面积</w:t>
            </w:r>
            <w:r>
              <w:rPr>
                <w:rFonts w:hint="default" w:ascii="Times New Roman" w:hAnsi="Times New Roman" w:eastAsia="华文中宋" w:cs="Times New Roman"/>
                <w:color w:val="000000" w:themeColor="text1"/>
                <w:kern w:val="2"/>
                <w:sz w:val="24"/>
                <w:szCs w:val="24"/>
                <w:lang w:val="en-US" w:eastAsia="zh-CN"/>
                <w14:textFill>
                  <w14:solidFill>
                    <w14:schemeClr w14:val="tx1"/>
                  </w14:solidFill>
                </w14:textFill>
              </w:rPr>
              <w:t>18.99</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平方千米，勘查区内无矿权纠纷。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勘查区范围各拐点坐标见下表：</w:t>
            </w:r>
          </w:p>
          <w:p>
            <w:pPr>
              <w:pStyle w:val="16"/>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表2-1       勘查区范围坐标一览表</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3"/>
              <w:gridCol w:w="2811"/>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jc w:val="center"/>
              </w:trPr>
              <w:tc>
                <w:tcPr>
                  <w:tcW w:w="1328" w:type="pct"/>
                  <w:vMerge w:val="restart"/>
                  <w:noWrap w:val="0"/>
                  <w:vAlign w:val="center"/>
                </w:tcPr>
                <w:p>
                  <w:pPr>
                    <w:adjustRightInd/>
                    <w:snapToGrid/>
                    <w:spacing w:line="240" w:lineRule="auto"/>
                    <w:ind w:firstLine="0" w:firstLineChars="0"/>
                    <w:jc w:val="cente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t>拐点号</w:t>
                  </w:r>
                </w:p>
              </w:tc>
              <w:tc>
                <w:tcPr>
                  <w:tcW w:w="3671" w:type="pct"/>
                  <w:gridSpan w:val="2"/>
                  <w:noWrap w:val="0"/>
                  <w:vAlign w:val="center"/>
                </w:tcPr>
                <w:p>
                  <w:pPr>
                    <w:adjustRightInd/>
                    <w:snapToGrid/>
                    <w:spacing w:line="240" w:lineRule="auto"/>
                    <w:ind w:firstLine="0" w:firstLineChars="0"/>
                    <w:jc w:val="cente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t>2000国家大地坐标系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328" w:type="pct"/>
                  <w:vMerge w:val="continue"/>
                  <w:noWrap w:val="0"/>
                  <w:vAlign w:val="center"/>
                </w:tcPr>
                <w:p>
                  <w:pPr>
                    <w:adjustRightInd/>
                    <w:snapToGrid/>
                    <w:spacing w:line="240" w:lineRule="auto"/>
                    <w:ind w:firstLine="0" w:firstLineChars="0"/>
                    <w:jc w:val="cente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pPr>
                </w:p>
              </w:tc>
              <w:tc>
                <w:tcPr>
                  <w:tcW w:w="1734" w:type="pct"/>
                  <w:noWrap w:val="0"/>
                  <w:vAlign w:val="center"/>
                </w:tcPr>
                <w:p>
                  <w:pPr>
                    <w:adjustRightInd/>
                    <w:snapToGrid/>
                    <w:spacing w:line="240" w:lineRule="auto"/>
                    <w:ind w:firstLine="0" w:firstLineChars="0"/>
                    <w:jc w:val="cente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t>东  经</w:t>
                  </w:r>
                </w:p>
              </w:tc>
              <w:tc>
                <w:tcPr>
                  <w:tcW w:w="1936" w:type="pct"/>
                  <w:noWrap w:val="0"/>
                  <w:vAlign w:val="center"/>
                </w:tcPr>
                <w:p>
                  <w:pPr>
                    <w:adjustRightInd/>
                    <w:snapToGrid/>
                    <w:spacing w:line="240" w:lineRule="auto"/>
                    <w:ind w:firstLine="0" w:firstLineChars="0"/>
                    <w:jc w:val="cente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t>北  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28" w:type="pct"/>
                  <w:noWrap w:val="0"/>
                  <w:vAlign w:val="center"/>
                </w:tcPr>
                <w:p>
                  <w:pPr>
                    <w:adjustRightInd/>
                    <w:snapToGrid/>
                    <w:spacing w:line="240" w:lineRule="auto"/>
                    <w:ind w:firstLine="0" w:firstLineChars="0"/>
                    <w:jc w:val="cente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t>S1</w:t>
                  </w:r>
                </w:p>
              </w:tc>
              <w:tc>
                <w:tcPr>
                  <w:tcW w:w="1734" w:type="pct"/>
                  <w:noWrap w:val="0"/>
                  <w:vAlign w:val="top"/>
                </w:tcPr>
                <w:p>
                  <w:pPr>
                    <w:adjustRightInd/>
                    <w:snapToGrid/>
                    <w:spacing w:line="240" w:lineRule="auto"/>
                    <w:ind w:firstLine="0" w:firstLineChars="0"/>
                    <w:jc w:val="cente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t>84°12′24″</w:t>
                  </w:r>
                </w:p>
              </w:tc>
              <w:tc>
                <w:tcPr>
                  <w:tcW w:w="1936" w:type="pct"/>
                  <w:noWrap w:val="0"/>
                  <w:vAlign w:val="top"/>
                </w:tcPr>
                <w:p>
                  <w:pPr>
                    <w:adjustRightInd/>
                    <w:snapToGrid/>
                    <w:spacing w:line="240" w:lineRule="auto"/>
                    <w:ind w:firstLine="0" w:firstLineChars="0"/>
                    <w:jc w:val="cente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t>36°47′03″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328" w:type="pct"/>
                  <w:noWrap w:val="0"/>
                  <w:vAlign w:val="center"/>
                </w:tcPr>
                <w:p>
                  <w:pPr>
                    <w:adjustRightInd/>
                    <w:snapToGrid/>
                    <w:spacing w:line="240" w:lineRule="auto"/>
                    <w:ind w:firstLine="0" w:firstLineChars="0"/>
                    <w:jc w:val="cente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t>S2</w:t>
                  </w:r>
                </w:p>
              </w:tc>
              <w:tc>
                <w:tcPr>
                  <w:tcW w:w="1734" w:type="pct"/>
                  <w:noWrap w:val="0"/>
                  <w:vAlign w:val="top"/>
                </w:tcPr>
                <w:p>
                  <w:pPr>
                    <w:adjustRightInd/>
                    <w:snapToGrid/>
                    <w:spacing w:line="240" w:lineRule="auto"/>
                    <w:ind w:firstLine="0" w:firstLineChars="0"/>
                    <w:jc w:val="cente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t>84°14′19″</w:t>
                  </w:r>
                </w:p>
              </w:tc>
              <w:tc>
                <w:tcPr>
                  <w:tcW w:w="1936" w:type="pct"/>
                  <w:noWrap w:val="0"/>
                  <w:vAlign w:val="top"/>
                </w:tcPr>
                <w:p>
                  <w:pPr>
                    <w:adjustRightInd/>
                    <w:snapToGrid/>
                    <w:spacing w:line="240" w:lineRule="auto"/>
                    <w:ind w:firstLine="0" w:firstLineChars="0"/>
                    <w:jc w:val="cente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t>36°47′03″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28" w:type="pct"/>
                  <w:noWrap w:val="0"/>
                  <w:vAlign w:val="center"/>
                </w:tcPr>
                <w:p>
                  <w:pPr>
                    <w:adjustRightInd/>
                    <w:snapToGrid/>
                    <w:spacing w:line="240" w:lineRule="auto"/>
                    <w:ind w:firstLine="0" w:firstLineChars="0"/>
                    <w:jc w:val="cente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t>S3</w:t>
                  </w:r>
                </w:p>
              </w:tc>
              <w:tc>
                <w:tcPr>
                  <w:tcW w:w="1734" w:type="pct"/>
                  <w:noWrap w:val="0"/>
                  <w:vAlign w:val="top"/>
                </w:tcPr>
                <w:p>
                  <w:pPr>
                    <w:adjustRightInd/>
                    <w:snapToGrid/>
                    <w:spacing w:line="240" w:lineRule="auto"/>
                    <w:ind w:firstLine="0" w:firstLineChars="0"/>
                    <w:jc w:val="cente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t>84°14′19″</w:t>
                  </w:r>
                </w:p>
              </w:tc>
              <w:tc>
                <w:tcPr>
                  <w:tcW w:w="1936" w:type="pct"/>
                  <w:noWrap w:val="0"/>
                  <w:vAlign w:val="top"/>
                </w:tcPr>
                <w:p>
                  <w:pPr>
                    <w:adjustRightInd/>
                    <w:snapToGrid/>
                    <w:spacing w:line="240" w:lineRule="auto"/>
                    <w:ind w:firstLine="0" w:firstLineChars="0"/>
                    <w:jc w:val="cente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t>36°43′27″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28" w:type="pct"/>
                  <w:noWrap w:val="0"/>
                  <w:vAlign w:val="center"/>
                </w:tcPr>
                <w:p>
                  <w:pPr>
                    <w:adjustRightInd/>
                    <w:snapToGrid/>
                    <w:spacing w:line="240" w:lineRule="auto"/>
                    <w:ind w:firstLine="0" w:firstLineChars="0"/>
                    <w:jc w:val="cente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t>S4</w:t>
                  </w:r>
                </w:p>
              </w:tc>
              <w:tc>
                <w:tcPr>
                  <w:tcW w:w="1734" w:type="pct"/>
                  <w:noWrap w:val="0"/>
                  <w:vAlign w:val="top"/>
                </w:tcPr>
                <w:p>
                  <w:pPr>
                    <w:adjustRightInd/>
                    <w:snapToGrid/>
                    <w:spacing w:line="240" w:lineRule="auto"/>
                    <w:ind w:firstLine="0" w:firstLineChars="0"/>
                    <w:jc w:val="cente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t>84°12′24″</w:t>
                  </w:r>
                </w:p>
              </w:tc>
              <w:tc>
                <w:tcPr>
                  <w:tcW w:w="1936" w:type="pct"/>
                  <w:noWrap w:val="0"/>
                  <w:vAlign w:val="top"/>
                </w:tcPr>
                <w:p>
                  <w:pPr>
                    <w:adjustRightInd/>
                    <w:snapToGrid/>
                    <w:spacing w:line="240" w:lineRule="auto"/>
                    <w:ind w:firstLine="0" w:firstLineChars="0"/>
                    <w:jc w:val="cente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eastAsia="zh-CN" w:bidi="ar-SA"/>
                      <w14:textFill>
                        <w14:solidFill>
                          <w14:schemeClr w14:val="tx1"/>
                        </w14:solidFill>
                      </w14:textFill>
                    </w:rPr>
                    <w:t>36°43′27″</w:t>
                  </w:r>
                </w:p>
              </w:tc>
            </w:tr>
          </w:tbl>
          <w:p>
            <w:pPr>
              <w:adjustRightInd w:val="0"/>
              <w:snapToGrid w:val="0"/>
              <w:jc w:val="both"/>
              <w:rPr>
                <w:rFonts w:hint="default" w:ascii="Times New Roman" w:hAnsi="Times New Roman" w:eastAsia="华文中宋" w:cs="Times New Roman"/>
                <w:color w:val="000000" w:themeColor="text1"/>
                <w:kern w:val="0"/>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10" w:hRule="atLeast"/>
          <w:jc w:val="center"/>
        </w:trPr>
        <w:tc>
          <w:tcPr>
            <w:tcW w:w="758" w:type="dxa"/>
            <w:noWrap w:val="0"/>
            <w:vAlign w:val="center"/>
          </w:tcPr>
          <w:p>
            <w:pPr>
              <w:adjustRightInd w:val="0"/>
              <w:snapToGrid w:val="0"/>
              <w:ind w:left="0" w:leftChars="0" w:firstLine="0" w:firstLineChars="0"/>
              <w:jc w:val="both"/>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4"/>
                <w14:textFill>
                  <w14:solidFill>
                    <w14:schemeClr w14:val="tx1"/>
                  </w14:solidFill>
                </w14:textFill>
              </w:rPr>
              <w:t>项目组成及规模</w:t>
            </w:r>
          </w:p>
        </w:tc>
        <w:tc>
          <w:tcPr>
            <w:tcW w:w="833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480" w:firstLineChars="200"/>
              <w:jc w:val="left"/>
              <w:textAlignment w:val="auto"/>
              <w:rPr>
                <w:rFonts w:hint="default" w:ascii="Times New Roman" w:hAnsi="Times New Roman" w:eastAsia="华文中宋" w:cs="Times New Roman"/>
                <w:color w:val="000000" w:themeColor="text1"/>
                <w:sz w:val="24"/>
                <w:szCs w:val="32"/>
                <w:lang w:val="en-US" w:eastAsia="zh-CN"/>
                <w14:textFill>
                  <w14:solidFill>
                    <w14:schemeClr w14:val="tx1"/>
                  </w14:solidFill>
                </w14:textFill>
              </w:rPr>
            </w:pPr>
            <w:r>
              <w:rPr>
                <w:rFonts w:hint="default" w:ascii="Times New Roman" w:hAnsi="Times New Roman" w:eastAsia="华文中宋" w:cs="Times New Roman"/>
                <w:b/>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华文中宋" w:cs="Times New Roman"/>
                <w:b/>
                <w:color w:val="000000" w:themeColor="text1"/>
                <w:sz w:val="24"/>
                <w:szCs w:val="24"/>
                <w:lang w:val="en-US" w:eastAsia="zh-CN"/>
                <w14:textFill>
                  <w14:solidFill>
                    <w14:schemeClr w14:val="tx1"/>
                  </w14:solidFill>
                </w14:textFill>
              </w:rPr>
              <w:t>项目概况</w:t>
            </w:r>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本次勘探项目探矿区范围面积18.99km</w:t>
            </w:r>
            <w:r>
              <w:rPr>
                <w:rFonts w:hint="default" w:ascii="Times New Roman" w:hAnsi="Times New Roman" w:eastAsia="华文中宋" w:cs="Times New Roman"/>
                <w:color w:val="000000" w:themeColor="text1"/>
                <w:vertAlign w:val="superscript"/>
                <w:lang w:val="en-US" w:eastAsia="zh-CN"/>
                <w14:textFill>
                  <w14:solidFill>
                    <w14:schemeClr w14:val="tx1"/>
                  </w14:solidFill>
                </w14:textFill>
              </w:rPr>
              <w:t>2</w:t>
            </w:r>
            <w:r>
              <w:rPr>
                <w:rFonts w:hint="default" w:ascii="Times New Roman" w:hAnsi="Times New Roman" w:eastAsia="华文中宋" w:cs="Times New Roman"/>
                <w:color w:val="000000" w:themeColor="text1"/>
                <w14:textFill>
                  <w14:solidFill>
                    <w14:schemeClr w14:val="tx1"/>
                  </w14:solidFill>
                </w14:textFill>
              </w:rPr>
              <w:t>。</w:t>
            </w:r>
            <w:r>
              <w:rPr>
                <w:rFonts w:hint="default" w:ascii="Times New Roman" w:hAnsi="Times New Roman" w:eastAsia="华文中宋" w:cs="Times New Roman"/>
                <w:color w:val="000000" w:themeColor="text1"/>
                <w:kern w:val="0"/>
                <w:sz w:val="24"/>
                <w:szCs w:val="24"/>
                <w:highlight w:val="none"/>
                <w14:textFill>
                  <w14:solidFill>
                    <w14:schemeClr w14:val="tx1"/>
                  </w14:solidFill>
                </w14:textFill>
              </w:rPr>
              <w:t>本项目工作内容主要包括钻探</w:t>
            </w:r>
            <w:r>
              <w:rPr>
                <w:rFonts w:hint="default" w:ascii="Times New Roman" w:hAnsi="Times New Roman" w:eastAsia="华文中宋"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华文中宋" w:cs="Times New Roman"/>
                <w:color w:val="000000" w:themeColor="text1"/>
                <w:kern w:val="0"/>
                <w:sz w:val="24"/>
                <w:szCs w:val="24"/>
                <w:highlight w:val="none"/>
                <w:lang w:val="en-US" w:eastAsia="zh-CN"/>
                <w14:textFill>
                  <w14:solidFill>
                    <w14:schemeClr w14:val="tx1"/>
                  </w14:solidFill>
                </w14:textFill>
              </w:rPr>
              <w:t>槽探</w:t>
            </w:r>
            <w:r>
              <w:rPr>
                <w:rFonts w:hint="default" w:ascii="Times New Roman" w:hAnsi="Times New Roman" w:eastAsia="华文中宋"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华文中宋" w:cs="Times New Roman"/>
                <w:color w:val="000000" w:themeColor="text1"/>
                <w:kern w:val="0"/>
                <w:sz w:val="24"/>
                <w:szCs w:val="24"/>
                <w:highlight w:val="none"/>
                <w:lang w:val="en-US" w:eastAsia="zh-CN"/>
                <w14:textFill>
                  <w14:solidFill>
                    <w14:schemeClr w14:val="tx1"/>
                  </w14:solidFill>
                </w14:textFill>
              </w:rPr>
              <w:t>地质测量、</w:t>
            </w:r>
            <w:r>
              <w:rPr>
                <w:rFonts w:hint="default" w:ascii="Times New Roman" w:hAnsi="Times New Roman" w:eastAsia="华文中宋" w:cs="Times New Roman"/>
                <w:color w:val="000000" w:themeColor="text1"/>
                <w:kern w:val="0"/>
                <w:sz w:val="24"/>
                <w:szCs w:val="24"/>
                <w:highlight w:val="none"/>
                <w14:textFill>
                  <w14:solidFill>
                    <w14:schemeClr w14:val="tx1"/>
                  </w14:solidFill>
                </w14:textFill>
              </w:rPr>
              <w:t>采样等工作。</w:t>
            </w:r>
            <w:r>
              <w:rPr>
                <w:rFonts w:hint="default" w:ascii="Times New Roman" w:hAnsi="Times New Roman" w:eastAsia="华文中宋" w:cs="Times New Roman"/>
                <w:color w:val="000000" w:themeColor="text1"/>
                <w:kern w:val="0"/>
                <w:sz w:val="24"/>
                <w:szCs w:val="24"/>
                <w:highlight w:val="none"/>
                <w:lang w:val="en-US" w:eastAsia="zh-CN"/>
                <w14:textFill>
                  <w14:solidFill>
                    <w14:schemeClr w14:val="tx1"/>
                  </w14:solidFill>
                </w14:textFill>
              </w:rPr>
              <w:t>项目组成包括主体工程、公用工程、环保工程等，</w:t>
            </w:r>
            <w:r>
              <w:rPr>
                <w:rFonts w:hint="default" w:ascii="Times New Roman" w:hAnsi="Times New Roman" w:eastAsia="华文中宋" w:cs="Times New Roman"/>
                <w:color w:val="000000" w:themeColor="text1"/>
                <w14:textFill>
                  <w14:solidFill>
                    <w14:schemeClr w14:val="tx1"/>
                  </w14:solidFill>
                </w14:textFill>
              </w:rPr>
              <w:t>工程组成详见表</w:t>
            </w:r>
            <w:r>
              <w:rPr>
                <w:rFonts w:hint="default" w:ascii="Times New Roman" w:hAnsi="Times New Roman" w:eastAsia="华文中宋" w:cs="Times New Roman"/>
                <w:color w:val="000000" w:themeColor="text1"/>
                <w:lang w:val="en-US" w:eastAsia="zh-CN"/>
                <w14:textFill>
                  <w14:solidFill>
                    <w14:schemeClr w14:val="tx1"/>
                  </w14:solidFill>
                </w14:textFill>
              </w:rPr>
              <w:t>2-2</w:t>
            </w:r>
            <w:r>
              <w:rPr>
                <w:rFonts w:hint="default" w:ascii="Times New Roman" w:hAnsi="Times New Roman" w:eastAsia="华文中宋"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961" w:firstLineChars="400"/>
              <w:jc w:val="center"/>
              <w:textAlignment w:val="auto"/>
              <w:outlineLvl w:val="2"/>
              <w:rPr>
                <w:rFonts w:hint="default" w:ascii="Times New Roman" w:hAnsi="Times New Roman" w:eastAsia="华文中宋" w:cs="Times New Roman"/>
                <w:b/>
                <w:bCs/>
                <w:color w:val="000000" w:themeColor="text1"/>
                <w14:textFill>
                  <w14:solidFill>
                    <w14:schemeClr w14:val="tx1"/>
                  </w14:solidFill>
                </w14:textFill>
              </w:rPr>
            </w:pPr>
            <w:r>
              <w:rPr>
                <w:rFonts w:hint="default" w:ascii="Times New Roman" w:hAnsi="Times New Roman" w:eastAsia="华文中宋" w:cs="Times New Roman"/>
                <w:b/>
                <w:bCs/>
                <w:color w:val="000000" w:themeColor="text1"/>
                <w14:textFill>
                  <w14:solidFill>
                    <w14:schemeClr w14:val="tx1"/>
                  </w14:solidFill>
                </w14:textFill>
              </w:rPr>
              <w:t>表</w:t>
            </w:r>
            <w:r>
              <w:rPr>
                <w:rFonts w:hint="default" w:ascii="Times New Roman" w:hAnsi="Times New Roman" w:eastAsia="华文中宋" w:cs="Times New Roman"/>
                <w:b/>
                <w:bCs/>
                <w:color w:val="000000" w:themeColor="text1"/>
                <w:lang w:val="en-US" w:eastAsia="zh-CN"/>
                <w14:textFill>
                  <w14:solidFill>
                    <w14:schemeClr w14:val="tx1"/>
                  </w14:solidFill>
                </w14:textFill>
              </w:rPr>
              <w:t>2-2</w:t>
            </w:r>
            <w:r>
              <w:rPr>
                <w:rFonts w:hint="default" w:ascii="Times New Roman" w:hAnsi="Times New Roman" w:eastAsia="华文中宋" w:cs="Times New Roman"/>
                <w:b/>
                <w:bCs/>
                <w:color w:val="000000" w:themeColor="text1"/>
                <w14:textFill>
                  <w14:solidFill>
                    <w14:schemeClr w14:val="tx1"/>
                  </w14:solidFill>
                </w14:textFill>
              </w:rPr>
              <w:t xml:space="preserve">   </w:t>
            </w:r>
            <w:r>
              <w:rPr>
                <w:rFonts w:hint="default" w:ascii="Times New Roman" w:hAnsi="Times New Roman" w:eastAsia="华文中宋" w:cs="Times New Roman"/>
                <w:b/>
                <w:bCs/>
                <w:color w:val="000000" w:themeColor="text1"/>
                <w:lang w:val="en-US" w:eastAsia="zh-CN"/>
                <w14:textFill>
                  <w14:solidFill>
                    <w14:schemeClr w14:val="tx1"/>
                  </w14:solidFill>
                </w14:textFill>
              </w:rPr>
              <w:t xml:space="preserve">   </w:t>
            </w:r>
            <w:r>
              <w:rPr>
                <w:rFonts w:hint="default" w:ascii="Times New Roman" w:hAnsi="Times New Roman" w:eastAsia="华文中宋" w:cs="Times New Roman"/>
                <w:b/>
                <w:bCs/>
                <w:color w:val="000000" w:themeColor="text1"/>
                <w14:textFill>
                  <w14:solidFill>
                    <w14:schemeClr w14:val="tx1"/>
                  </w14:solidFill>
                </w14:textFill>
              </w:rPr>
              <w:t xml:space="preserve"> 项目组成一览表</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31"/>
              <w:gridCol w:w="1648"/>
              <w:gridCol w:w="53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75" w:hRule="atLeast"/>
                <w:jc w:val="center"/>
              </w:trPr>
              <w:tc>
                <w:tcPr>
                  <w:tcW w:w="6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b/>
                      <w:bCs/>
                      <w:color w:val="000000" w:themeColor="text1"/>
                      <w:sz w:val="21"/>
                      <w:szCs w:val="21"/>
                      <w14:textFill>
                        <w14:solidFill>
                          <w14:schemeClr w14:val="tx1"/>
                        </w14:solidFill>
                      </w14:textFill>
                    </w:rPr>
                  </w:pPr>
                  <w:r>
                    <w:rPr>
                      <w:rFonts w:hint="default" w:ascii="Times New Roman" w:hAnsi="Times New Roman" w:eastAsia="华文中宋" w:cs="Times New Roman"/>
                      <w:b/>
                      <w:bCs/>
                      <w:color w:val="000000" w:themeColor="text1"/>
                      <w:sz w:val="21"/>
                      <w:szCs w:val="21"/>
                      <w14:textFill>
                        <w14:solidFill>
                          <w14:schemeClr w14:val="tx1"/>
                        </w14:solidFill>
                      </w14:textFill>
                    </w:rPr>
                    <w:t>工程类别</w:t>
                  </w:r>
                </w:p>
              </w:tc>
              <w:tc>
                <w:tcPr>
                  <w:tcW w:w="10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b/>
                      <w:bCs/>
                      <w:color w:val="000000" w:themeColor="text1"/>
                      <w:sz w:val="21"/>
                      <w:szCs w:val="21"/>
                      <w14:textFill>
                        <w14:solidFill>
                          <w14:schemeClr w14:val="tx1"/>
                        </w14:solidFill>
                      </w14:textFill>
                    </w:rPr>
                  </w:pPr>
                  <w:r>
                    <w:rPr>
                      <w:rFonts w:hint="default" w:ascii="Times New Roman" w:hAnsi="Times New Roman" w:eastAsia="华文中宋" w:cs="Times New Roman"/>
                      <w:b/>
                      <w:bCs/>
                      <w:color w:val="000000" w:themeColor="text1"/>
                      <w:sz w:val="21"/>
                      <w:szCs w:val="21"/>
                      <w14:textFill>
                        <w14:solidFill>
                          <w14:schemeClr w14:val="tx1"/>
                        </w14:solidFill>
                      </w14:textFill>
                    </w:rPr>
                    <w:t>项目名称</w:t>
                  </w:r>
                </w:p>
              </w:tc>
              <w:tc>
                <w:tcPr>
                  <w:tcW w:w="32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b/>
                      <w:bCs/>
                      <w:color w:val="000000" w:themeColor="text1"/>
                      <w:sz w:val="21"/>
                      <w:szCs w:val="21"/>
                      <w14:textFill>
                        <w14:solidFill>
                          <w14:schemeClr w14:val="tx1"/>
                        </w14:solidFill>
                      </w14:textFill>
                    </w:rPr>
                  </w:pPr>
                  <w:r>
                    <w:rPr>
                      <w:rFonts w:hint="default" w:ascii="Times New Roman" w:hAnsi="Times New Roman" w:eastAsia="华文中宋" w:cs="Times New Roman"/>
                      <w:b/>
                      <w:bCs/>
                      <w:color w:val="000000" w:themeColor="text1"/>
                      <w:sz w:val="21"/>
                      <w:szCs w:val="21"/>
                      <w14:textFill>
                        <w14:solidFill>
                          <w14:schemeClr w14:val="tx1"/>
                        </w14:solidFill>
                      </w14:textFill>
                    </w:rPr>
                    <w:t>建设内容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55" w:hRule="atLeast"/>
                <w:jc w:val="center"/>
              </w:trPr>
              <w:tc>
                <w:tcPr>
                  <w:tcW w:w="699" w:type="pct"/>
                  <w:vMerge w:val="restar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color w:val="000000" w:themeColor="text1"/>
                      <w:sz w:val="21"/>
                      <w:szCs w:val="21"/>
                      <w:lang w:val="en-US"/>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主体工程</w:t>
                  </w:r>
                </w:p>
              </w:tc>
              <w:tc>
                <w:tcPr>
                  <w:tcW w:w="1019"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highlight w:val="none"/>
                      <w:lang w:val="en-US" w:eastAsia="zh-CN"/>
                      <w14:textFill>
                        <w14:solidFill>
                          <w14:schemeClr w14:val="tx1"/>
                        </w14:solidFill>
                      </w14:textFill>
                    </w:rPr>
                    <w:t>槽探</w:t>
                  </w: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工程区</w:t>
                  </w:r>
                </w:p>
              </w:tc>
              <w:tc>
                <w:tcPr>
                  <w:tcW w:w="328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华文中宋"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highlight w:val="none"/>
                      <w:lang w:val="en-US" w:eastAsia="zh-CN"/>
                      <w14:textFill>
                        <w14:solidFill>
                          <w14:schemeClr w14:val="tx1"/>
                        </w14:solidFill>
                      </w14:textFill>
                    </w:rPr>
                    <w:t>槽探</w:t>
                  </w: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工程量</w:t>
                  </w:r>
                  <w:r>
                    <w:rPr>
                      <w:rFonts w:hint="default" w:ascii="Times New Roman" w:hAnsi="Times New Roman" w:eastAsia="华文中宋" w:cs="Times New Roman"/>
                      <w:color w:val="000000" w:themeColor="text1"/>
                      <w:sz w:val="21"/>
                      <w:szCs w:val="21"/>
                      <w:highlight w:val="none"/>
                      <w:lang w:val="en-US" w:eastAsia="zh-CN"/>
                      <w14:textFill>
                        <w14:solidFill>
                          <w14:schemeClr w14:val="tx1"/>
                        </w14:solidFill>
                      </w14:textFill>
                    </w:rPr>
                    <w:t>2000立方米，共5条槽探。槽口平均宽1.20米～1.50米，底平均宽1.20米～1.50米，平均深1.50米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55" w:hRule="atLeast"/>
                <w:jc w:val="center"/>
              </w:trPr>
              <w:tc>
                <w:tcPr>
                  <w:tcW w:w="699" w:type="pct"/>
                  <w:vMerge w:val="continue"/>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1019"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钻探工程区</w:t>
                  </w:r>
                </w:p>
              </w:tc>
              <w:tc>
                <w:tcPr>
                  <w:tcW w:w="328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华文中宋"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highlight w:val="none"/>
                      <w:lang w:val="en-US" w:eastAsia="zh-CN"/>
                      <w14:textFill>
                        <w14:solidFill>
                          <w14:schemeClr w14:val="tx1"/>
                        </w14:solidFill>
                      </w14:textFill>
                    </w:rPr>
                    <w:t>共钻探500米，共2个孔，钻孔平均孔深250米，设计倾角85°，目的是验证物探异常，对矿体进行深部控制，对主要矿(化)体成矿远景进行初步查明。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55" w:hRule="atLeast"/>
                <w:jc w:val="center"/>
              </w:trPr>
              <w:tc>
                <w:tcPr>
                  <w:tcW w:w="699" w:type="pct"/>
                  <w:vMerge w:val="continue"/>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1019"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地质测量</w:t>
                  </w:r>
                </w:p>
              </w:tc>
              <w:tc>
                <w:tcPr>
                  <w:tcW w:w="328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华文中宋"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华文中宋" w:cs="Times New Roman"/>
                      <w:color w:val="000000" w:themeColor="text1"/>
                      <w:spacing w:val="-5"/>
                      <w:sz w:val="21"/>
                      <w:szCs w:val="21"/>
                      <w14:textFill>
                        <w14:solidFill>
                          <w14:schemeClr w14:val="tx1"/>
                        </w14:solidFill>
                      </w14:textFill>
                    </w:rPr>
                    <w:t>1</w:t>
                  </w:r>
                  <w:r>
                    <w:rPr>
                      <w:rFonts w:hint="default" w:ascii="Times New Roman" w:hAnsi="Times New Roman" w:eastAsia="华文中宋" w:cs="Times New Roman"/>
                      <w:color w:val="000000" w:themeColor="text1"/>
                      <w:spacing w:val="-5"/>
                      <w:sz w:val="21"/>
                      <w:szCs w:val="21"/>
                      <w:lang w:eastAsia="zh-CN"/>
                      <w14:textFill>
                        <w14:solidFill>
                          <w14:schemeClr w14:val="tx1"/>
                        </w14:solidFill>
                      </w14:textFill>
                    </w:rPr>
                    <w:t>:2000</w:t>
                  </w:r>
                  <w:r>
                    <w:rPr>
                      <w:rFonts w:hint="default" w:ascii="Times New Roman" w:hAnsi="Times New Roman" w:eastAsia="华文中宋" w:cs="Times New Roman"/>
                      <w:color w:val="000000" w:themeColor="text1"/>
                      <w:spacing w:val="-5"/>
                      <w:sz w:val="21"/>
                      <w:szCs w:val="21"/>
                      <w14:textFill>
                        <w14:solidFill>
                          <w14:schemeClr w14:val="tx1"/>
                        </w14:solidFill>
                      </w14:textFill>
                    </w:rPr>
                    <w:t>地质测量</w:t>
                  </w:r>
                  <w:r>
                    <w:rPr>
                      <w:rFonts w:hint="default" w:ascii="Times New Roman" w:hAnsi="Times New Roman" w:eastAsia="华文中宋" w:cs="Times New Roman"/>
                      <w:color w:val="000000" w:themeColor="text1"/>
                      <w:spacing w:val="-5"/>
                      <w:sz w:val="21"/>
                      <w:szCs w:val="21"/>
                      <w:lang w:val="en-US" w:eastAsia="zh-CN"/>
                      <w14:textFill>
                        <w14:solidFill>
                          <w14:schemeClr w14:val="tx1"/>
                        </w14:solidFill>
                      </w14:textFill>
                    </w:rPr>
                    <w:t>2km</w:t>
                  </w:r>
                  <w:r>
                    <w:rPr>
                      <w:rFonts w:hint="default" w:ascii="Times New Roman" w:hAnsi="Times New Roman" w:eastAsia="华文中宋" w:cs="Times New Roman"/>
                      <w:color w:val="000000" w:themeColor="text1"/>
                      <w:spacing w:val="-5"/>
                      <w:sz w:val="21"/>
                      <w:szCs w:val="21"/>
                      <w:vertAlign w:val="superscript"/>
                      <w:lang w:val="en-US" w:eastAsia="zh-CN"/>
                      <w14:textFill>
                        <w14:solidFill>
                          <w14:schemeClr w14:val="tx1"/>
                        </w14:solidFill>
                      </w14:textFill>
                    </w:rPr>
                    <w:t>2</w:t>
                  </w:r>
                  <w:r>
                    <w:rPr>
                      <w:rFonts w:hint="default" w:ascii="Times New Roman" w:hAnsi="Times New Roman" w:eastAsia="华文中宋" w:cs="Times New Roman"/>
                      <w:color w:val="000000" w:themeColor="text1"/>
                      <w:spacing w:val="-5"/>
                      <w:sz w:val="21"/>
                      <w:szCs w:val="21"/>
                      <w:lang w:val="en-US" w:eastAsia="zh-CN"/>
                      <w14:textFill>
                        <w14:solidFill>
                          <w14:schemeClr w14:val="tx1"/>
                        </w14:solidFill>
                      </w14:textFill>
                    </w:rPr>
                    <w:t>，1:1万地质测量（修测）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05" w:hRule="atLeast"/>
                <w:jc w:val="center"/>
              </w:trPr>
              <w:tc>
                <w:tcPr>
                  <w:tcW w:w="699"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辅助工程</w:t>
                  </w:r>
                </w:p>
              </w:tc>
              <w:tc>
                <w:tcPr>
                  <w:tcW w:w="1019"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left="120" w:leftChars="50" w:right="120" w:rightChars="50"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生产生活区</w:t>
                  </w:r>
                </w:p>
              </w:tc>
              <w:tc>
                <w:tcPr>
                  <w:tcW w:w="328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left="120" w:leftChars="50" w:right="120" w:rightChars="50"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14:textFill>
                        <w14:solidFill>
                          <w14:schemeClr w14:val="tx1"/>
                        </w14:solidFill>
                      </w14:textFill>
                    </w:rPr>
                    <w:t>设置一个生活营地（内含机械设备</w:t>
                  </w: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存放区</w:t>
                  </w:r>
                  <w:r>
                    <w:rPr>
                      <w:rFonts w:hint="default" w:ascii="Times New Roman" w:hAnsi="Times New Roman" w:eastAsia="华文中宋" w:cs="Times New Roman"/>
                      <w:color w:val="000000" w:themeColor="text1"/>
                      <w:sz w:val="21"/>
                      <w:szCs w:val="21"/>
                      <w:lang w:val="en-US"/>
                      <w14:textFill>
                        <w14:solidFill>
                          <w14:schemeClr w14:val="tx1"/>
                        </w14:solidFill>
                      </w14:textFill>
                    </w:rPr>
                    <w:t>），位于矿区</w:t>
                  </w: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东北</w:t>
                  </w:r>
                  <w:r>
                    <w:rPr>
                      <w:rFonts w:hint="default" w:ascii="Times New Roman" w:hAnsi="Times New Roman" w:eastAsia="华文中宋" w:cs="Times New Roman"/>
                      <w:color w:val="000000" w:themeColor="text1"/>
                      <w:sz w:val="21"/>
                      <w:szCs w:val="21"/>
                      <w:lang w:val="en-US"/>
                      <w14:textFill>
                        <w14:solidFill>
                          <w14:schemeClr w14:val="tx1"/>
                        </w14:solidFill>
                      </w14:textFill>
                    </w:rPr>
                    <w:t>部，占地</w:t>
                  </w:r>
                  <w:r>
                    <w:rPr>
                      <w:rFonts w:hint="default" w:ascii="Times New Roman" w:hAnsi="Times New Roman" w:eastAsia="华文中宋" w:cs="Times New Roman"/>
                      <w:color w:val="000000" w:themeColor="text1"/>
                      <w:sz w:val="21"/>
                      <w:szCs w:val="21"/>
                      <w14:textFill>
                        <w14:solidFill>
                          <w14:schemeClr w14:val="tx1"/>
                        </w14:solidFill>
                      </w14:textFill>
                    </w:rPr>
                    <w:t>面积</w:t>
                  </w:r>
                  <w:r>
                    <w:rPr>
                      <w:rFonts w:hint="default" w:ascii="Times New Roman" w:hAnsi="Times New Roman" w:eastAsia="华文中宋" w:cs="Times New Roman"/>
                      <w:color w:val="000000" w:themeColor="text1"/>
                      <w:sz w:val="21"/>
                      <w:szCs w:val="21"/>
                      <w:lang w:val="en-US"/>
                      <w14:textFill>
                        <w14:solidFill>
                          <w14:schemeClr w14:val="tx1"/>
                        </w14:solidFill>
                      </w14:textFill>
                    </w:rPr>
                    <w:t>为</w:t>
                  </w: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370</w:t>
                  </w:r>
                  <w:r>
                    <w:rPr>
                      <w:rFonts w:hint="default" w:ascii="Times New Roman" w:hAnsi="Times New Roman" w:eastAsia="华文中宋" w:cs="Times New Roman"/>
                      <w:color w:val="000000" w:themeColor="text1"/>
                      <w:sz w:val="21"/>
                      <w:szCs w:val="21"/>
                      <w14:textFill>
                        <w14:solidFill>
                          <w14:schemeClr w14:val="tx1"/>
                        </w14:solidFill>
                      </w14:textFill>
                    </w:rPr>
                    <w:t>m</w:t>
                  </w:r>
                  <w:r>
                    <w:rPr>
                      <w:rFonts w:hint="default" w:ascii="Times New Roman" w:hAnsi="Times New Roman" w:eastAsia="华文中宋" w:cs="Times New Roman"/>
                      <w:color w:val="000000" w:themeColor="text1"/>
                      <w:sz w:val="21"/>
                      <w:szCs w:val="21"/>
                      <w:vertAlign w:val="superscript"/>
                      <w14:textFill>
                        <w14:solidFill>
                          <w14:schemeClr w14:val="tx1"/>
                        </w14:solidFill>
                      </w14:textFill>
                    </w:rPr>
                    <w:t>2</w:t>
                  </w:r>
                  <w:r>
                    <w:rPr>
                      <w:rFonts w:hint="default" w:ascii="Times New Roman" w:hAnsi="Times New Roman" w:eastAsia="华文中宋" w:cs="Times New Roman"/>
                      <w:color w:val="000000" w:themeColor="text1"/>
                      <w:sz w:val="2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05" w:hRule="atLeast"/>
                <w:jc w:val="center"/>
              </w:trPr>
              <w:tc>
                <w:tcPr>
                  <w:tcW w:w="699" w:type="pct"/>
                  <w:vMerge w:val="restar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储运工程</w:t>
                  </w:r>
                </w:p>
              </w:tc>
              <w:tc>
                <w:tcPr>
                  <w:tcW w:w="1019"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left="120" w:leftChars="50" w:right="120" w:rightChars="50" w:firstLine="0" w:firstLineChars="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施工道路</w:t>
                  </w:r>
                </w:p>
              </w:tc>
              <w:tc>
                <w:tcPr>
                  <w:tcW w:w="328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left="120" w:leftChars="50" w:right="120" w:rightChars="50" w:firstLine="0" w:firstLineChars="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依托勘探区内已有200m简易便道，同时建设约4km长，宽4m简易道路，临时道路占地面积约16000m</w:t>
                  </w:r>
                  <w:r>
                    <w:rPr>
                      <w:rFonts w:hint="default" w:ascii="Times New Roman" w:hAnsi="Times New Roman" w:eastAsia="华文中宋" w:cs="Times New Roman"/>
                      <w:color w:val="000000" w:themeColor="text1"/>
                      <w:sz w:val="21"/>
                      <w:szCs w:val="21"/>
                      <w:vertAlign w:val="superscript"/>
                      <w:lang w:val="en-US" w:eastAsia="zh-CN"/>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05" w:hRule="atLeast"/>
                <w:jc w:val="center"/>
              </w:trPr>
              <w:tc>
                <w:tcPr>
                  <w:tcW w:w="699" w:type="pct"/>
                  <w:vMerge w:val="continue"/>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p>
              </w:tc>
              <w:tc>
                <w:tcPr>
                  <w:tcW w:w="1019"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left="120" w:leftChars="50" w:right="120" w:rightChars="50" w:firstLine="0" w:firstLineChars="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柴油存放区</w:t>
                  </w:r>
                </w:p>
              </w:tc>
              <w:tc>
                <w:tcPr>
                  <w:tcW w:w="328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left="120" w:leftChars="50" w:right="120" w:rightChars="50" w:firstLine="0" w:firstLineChars="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在生产生活区设备存放区建设储油库，约20</w:t>
                  </w:r>
                  <w:r>
                    <w:rPr>
                      <w:rFonts w:hint="default" w:ascii="Times New Roman" w:hAnsi="Times New Roman" w:eastAsia="华文中宋" w:cs="Times New Roman"/>
                      <w:color w:val="000000" w:themeColor="text1"/>
                      <w:sz w:val="21"/>
                      <w:szCs w:val="21"/>
                      <w14:textFill>
                        <w14:solidFill>
                          <w14:schemeClr w14:val="tx1"/>
                        </w14:solidFill>
                      </w14:textFill>
                    </w:rPr>
                    <w:t>m</w:t>
                  </w:r>
                  <w:r>
                    <w:rPr>
                      <w:rFonts w:hint="default" w:ascii="Times New Roman" w:hAnsi="Times New Roman" w:eastAsia="华文中宋" w:cs="Times New Roman"/>
                      <w:color w:val="000000" w:themeColor="text1"/>
                      <w:sz w:val="21"/>
                      <w:szCs w:val="21"/>
                      <w:vertAlign w:val="superscript"/>
                      <w14:textFill>
                        <w14:solidFill>
                          <w14:schemeClr w14:val="tx1"/>
                        </w14:solidFill>
                      </w14:textFill>
                    </w:rPr>
                    <w:t>2</w:t>
                  </w:r>
                  <w:r>
                    <w:rPr>
                      <w:rFonts w:hint="default" w:ascii="Times New Roman" w:hAnsi="Times New Roman" w:eastAsia="华文中宋" w:cs="Times New Roman"/>
                      <w:color w:val="000000" w:themeColor="text1"/>
                      <w:sz w:val="21"/>
                      <w:szCs w:val="21"/>
                      <w:lang w:eastAsia="zh-CN"/>
                      <w14:textFill>
                        <w14:solidFill>
                          <w14:schemeClr w14:val="tx1"/>
                        </w14:solidFill>
                      </w14:textFill>
                    </w:rPr>
                    <w:t>，</w:t>
                  </w: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采用铁制油桶存储，储存量约1.0t，放置在简易彩钢板房内，采用三合土打底，再铺设30cm水泥，表面均匀涂刷2层耐腐蚀防渗胶层。防渗层厚度相当于1.0×10</w:t>
                  </w:r>
                  <w:r>
                    <w:rPr>
                      <w:rFonts w:hint="default" w:ascii="Times New Roman" w:hAnsi="Times New Roman" w:eastAsia="华文中宋" w:cs="Times New Roman"/>
                      <w:color w:val="000000" w:themeColor="text1"/>
                      <w:sz w:val="21"/>
                      <w:szCs w:val="21"/>
                      <w:vertAlign w:val="superscript"/>
                      <w:lang w:val="en-US" w:eastAsia="zh-CN"/>
                      <w14:textFill>
                        <w14:solidFill>
                          <w14:schemeClr w14:val="tx1"/>
                        </w14:solidFill>
                      </w14:textFill>
                    </w:rPr>
                    <w:t>-7</w:t>
                  </w: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cm/s和厚度6.0m的粘土层的防渗性能。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40" w:hRule="atLeast"/>
                <w:jc w:val="center"/>
              </w:trPr>
              <w:tc>
                <w:tcPr>
                  <w:tcW w:w="699" w:type="pct"/>
                  <w:vMerge w:val="restar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公用工程</w:t>
                  </w:r>
                </w:p>
              </w:tc>
              <w:tc>
                <w:tcPr>
                  <w:tcW w:w="1019"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供水</w:t>
                  </w:r>
                </w:p>
              </w:tc>
              <w:tc>
                <w:tcPr>
                  <w:tcW w:w="328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华文中宋"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highlight w:val="none"/>
                      <w:lang w:eastAsia="zh-CN"/>
                      <w14:textFill>
                        <w14:solidFill>
                          <w14:schemeClr w14:val="tx1"/>
                        </w14:solidFill>
                      </w14:textFill>
                    </w:rPr>
                    <w:t>本项目生活用水从</w:t>
                  </w:r>
                  <w:r>
                    <w:rPr>
                      <w:rFonts w:hint="default" w:ascii="Times New Roman" w:hAnsi="Times New Roman" w:eastAsia="华文中宋" w:cs="Times New Roman"/>
                      <w:b w:val="0"/>
                      <w:bCs w:val="0"/>
                      <w:color w:val="000000" w:themeColor="text1"/>
                      <w:sz w:val="21"/>
                      <w:szCs w:val="21"/>
                      <w:highlight w:val="none"/>
                      <w:lang w:val="en-US" w:eastAsia="zh-CN"/>
                      <w14:textFill>
                        <w14:solidFill>
                          <w14:schemeClr w14:val="tx1"/>
                        </w14:solidFill>
                      </w14:textFill>
                    </w:rPr>
                    <w:t>38团</w:t>
                  </w:r>
                  <w:r>
                    <w:rPr>
                      <w:rFonts w:hint="default" w:ascii="Times New Roman" w:hAnsi="Times New Roman" w:eastAsia="华文中宋" w:cs="Times New Roman"/>
                      <w:b w:val="0"/>
                      <w:bCs w:val="0"/>
                      <w:color w:val="000000" w:themeColor="text1"/>
                      <w:sz w:val="21"/>
                      <w:szCs w:val="21"/>
                      <w:highlight w:val="none"/>
                      <w:lang w:eastAsia="zh-CN"/>
                      <w14:textFill>
                        <w14:solidFill>
                          <w14:schemeClr w14:val="tx1"/>
                        </w14:solidFill>
                      </w14:textFill>
                    </w:rPr>
                    <w:t>采购（</w:t>
                  </w:r>
                  <w:r>
                    <w:rPr>
                      <w:rFonts w:hint="default" w:ascii="Times New Roman" w:hAnsi="Times New Roman" w:eastAsia="华文中宋" w:cs="Times New Roman"/>
                      <w:b w:val="0"/>
                      <w:bCs w:val="0"/>
                      <w:color w:val="000000" w:themeColor="text1"/>
                      <w:sz w:val="21"/>
                      <w:szCs w:val="21"/>
                      <w:highlight w:val="none"/>
                      <w:lang w:val="en-US" w:eastAsia="zh-CN"/>
                      <w14:textFill>
                        <w14:solidFill>
                          <w14:schemeClr w14:val="tx1"/>
                        </w14:solidFill>
                      </w14:textFill>
                    </w:rPr>
                    <w:t>15L/桶</w:t>
                  </w:r>
                  <w:r>
                    <w:rPr>
                      <w:rFonts w:hint="default" w:ascii="Times New Roman" w:hAnsi="Times New Roman" w:eastAsia="华文中宋" w:cs="Times New Roman"/>
                      <w:b w:val="0"/>
                      <w:bCs w:val="0"/>
                      <w:color w:val="000000" w:themeColor="text1"/>
                      <w:sz w:val="21"/>
                      <w:szCs w:val="21"/>
                      <w:highlight w:val="none"/>
                      <w:lang w:eastAsia="zh-CN"/>
                      <w14:textFill>
                        <w14:solidFill>
                          <w14:schemeClr w14:val="tx1"/>
                        </w14:solidFill>
                      </w14:textFill>
                    </w:rPr>
                    <w:t>），</w:t>
                  </w:r>
                  <w:r>
                    <w:rPr>
                      <w:rFonts w:hint="default" w:ascii="Times New Roman" w:hAnsi="Times New Roman" w:eastAsia="华文中宋" w:cs="Times New Roman"/>
                      <w:b w:val="0"/>
                      <w:bCs w:val="0"/>
                      <w:color w:val="000000" w:themeColor="text1"/>
                      <w:sz w:val="21"/>
                      <w:szCs w:val="21"/>
                      <w:highlight w:val="none"/>
                      <w:lang w:val="en-US" w:eastAsia="zh-CN"/>
                      <w14:textFill>
                        <w14:solidFill>
                          <w14:schemeClr w14:val="tx1"/>
                        </w14:solidFill>
                      </w14:textFill>
                    </w:rPr>
                    <w:t>其他</w:t>
                  </w:r>
                  <w:r>
                    <w:rPr>
                      <w:rFonts w:hint="default" w:ascii="Times New Roman" w:hAnsi="Times New Roman" w:eastAsia="华文中宋" w:cs="Times New Roman"/>
                      <w:b w:val="0"/>
                      <w:bCs w:val="0"/>
                      <w:color w:val="000000" w:themeColor="text1"/>
                      <w:sz w:val="21"/>
                      <w:szCs w:val="21"/>
                      <w:highlight w:val="none"/>
                      <w:lang w:eastAsia="zh-CN"/>
                      <w14:textFill>
                        <w14:solidFill>
                          <w14:schemeClr w14:val="tx1"/>
                        </w14:solidFill>
                      </w14:textFill>
                    </w:rPr>
                    <w:t>用水由</w:t>
                  </w:r>
                  <w:r>
                    <w:rPr>
                      <w:rFonts w:hint="default" w:ascii="Times New Roman" w:hAnsi="Times New Roman" w:eastAsia="华文中宋" w:cs="Times New Roman"/>
                      <w:b w:val="0"/>
                      <w:bCs w:val="0"/>
                      <w:color w:val="000000" w:themeColor="text1"/>
                      <w:sz w:val="21"/>
                      <w:szCs w:val="21"/>
                      <w:highlight w:val="none"/>
                      <w:lang w:val="en-US" w:eastAsia="zh-CN"/>
                      <w14:textFill>
                        <w14:solidFill>
                          <w14:schemeClr w14:val="tx1"/>
                        </w14:solidFill>
                      </w14:textFill>
                    </w:rPr>
                    <w:t>苏盖提坎矿23公里处拉运（20L/桶）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9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1019"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供电</w:t>
                  </w:r>
                </w:p>
              </w:tc>
              <w:tc>
                <w:tcPr>
                  <w:tcW w:w="328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项目区用电</w:t>
                  </w:r>
                  <w:r>
                    <w:rPr>
                      <w:rFonts w:hint="default" w:ascii="Times New Roman" w:hAnsi="Times New Roman" w:eastAsia="华文中宋" w:cs="Times New Roman"/>
                      <w:color w:val="000000" w:themeColor="text1"/>
                      <w:sz w:val="21"/>
                      <w:szCs w:val="21"/>
                      <w14:textFill>
                        <w14:solidFill>
                          <w14:schemeClr w14:val="tx1"/>
                        </w14:solidFill>
                      </w14:textFill>
                    </w:rPr>
                    <w:t>采用</w:t>
                  </w: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柴油</w:t>
                  </w:r>
                  <w:r>
                    <w:rPr>
                      <w:rFonts w:hint="default" w:ascii="Times New Roman" w:hAnsi="Times New Roman" w:eastAsia="华文中宋" w:cs="Times New Roman"/>
                      <w:color w:val="000000" w:themeColor="text1"/>
                      <w:sz w:val="21"/>
                      <w:szCs w:val="21"/>
                      <w14:textFill>
                        <w14:solidFill>
                          <w14:schemeClr w14:val="tx1"/>
                        </w14:solidFill>
                      </w14:textFill>
                    </w:rPr>
                    <w:t>发电机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9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环保工程</w:t>
                  </w:r>
                </w:p>
              </w:tc>
              <w:tc>
                <w:tcPr>
                  <w:tcW w:w="10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废气处理措施</w:t>
                  </w:r>
                </w:p>
              </w:tc>
              <w:tc>
                <w:tcPr>
                  <w:tcW w:w="328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柴油机械设备尾气治理选用优质柴油，加强维护管理，钻探过程湿法作业，且对场地、道路洒水抑尘；加强运输车辆管理，采用覆盖、限速等措施。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69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10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噪声治理工程</w:t>
                  </w:r>
                </w:p>
              </w:tc>
              <w:tc>
                <w:tcPr>
                  <w:tcW w:w="328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采用低噪声设备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836" w:hRule="atLeast"/>
                <w:jc w:val="center"/>
              </w:trPr>
              <w:tc>
                <w:tcPr>
                  <w:tcW w:w="69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101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固废治理工程</w:t>
                  </w:r>
                </w:p>
              </w:tc>
              <w:tc>
                <w:tcPr>
                  <w:tcW w:w="328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left="120" w:leftChars="50" w:right="120" w:rightChars="50" w:firstLine="0" w:firstLineChars="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生活垃圾由生活营地垃圾桶收集后，定期由外出购买物资车辆清运至县城垃圾站，依托当地环卫系统处理。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836" w:hRule="atLeast"/>
                <w:jc w:val="center"/>
              </w:trPr>
              <w:tc>
                <w:tcPr>
                  <w:tcW w:w="699" w:type="pct"/>
                  <w:vMerge w:val="continue"/>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left="120" w:leftChars="50" w:right="120" w:rightChars="50" w:firstLine="0" w:firstLineChars="0"/>
                    <w:textAlignment w:val="auto"/>
                    <w:rPr>
                      <w:rFonts w:hint="default" w:ascii="Times New Roman" w:hAnsi="Times New Roman" w:eastAsia="华文中宋" w:cs="Times New Roman"/>
                      <w:color w:val="000000" w:themeColor="text1"/>
                      <w14:textFill>
                        <w14:solidFill>
                          <w14:schemeClr w14:val="tx1"/>
                        </w14:solidFill>
                      </w14:textFill>
                    </w:rPr>
                  </w:pPr>
                </w:p>
              </w:tc>
              <w:tc>
                <w:tcPr>
                  <w:tcW w:w="1019" w:type="pct"/>
                  <w:vMerge w:val="continue"/>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left="120" w:leftChars="50" w:right="120" w:rightChars="50" w:firstLine="0" w:firstLineChars="0"/>
                    <w:textAlignment w:val="auto"/>
                    <w:rPr>
                      <w:rFonts w:hint="default" w:ascii="Times New Roman" w:hAnsi="Times New Roman" w:eastAsia="华文中宋" w:cs="Times New Roman"/>
                      <w:color w:val="000000" w:themeColor="text1"/>
                      <w14:textFill>
                        <w14:solidFill>
                          <w14:schemeClr w14:val="tx1"/>
                        </w14:solidFill>
                      </w14:textFill>
                    </w:rPr>
                  </w:pPr>
                </w:p>
              </w:tc>
              <w:tc>
                <w:tcPr>
                  <w:tcW w:w="328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left="120" w:leftChars="50" w:right="120" w:rightChars="50" w:firstLine="0" w:firstLineChars="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探槽、钻孔平台建设产生的剥离表土于临时堆放场暂存，探槽、钻探结束后用于探槽、平台区域覆土，恢复地貌。岩芯样收集后送检测分析。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98" w:hRule="atLeast"/>
                <w:jc w:val="center"/>
              </w:trPr>
              <w:tc>
                <w:tcPr>
                  <w:tcW w:w="699" w:type="pct"/>
                  <w:vMerge w:val="continue"/>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left="120" w:leftChars="50" w:right="120" w:rightChars="50" w:firstLine="0" w:firstLineChars="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p>
              </w:tc>
              <w:tc>
                <w:tcPr>
                  <w:tcW w:w="1019" w:type="pct"/>
                  <w:vMerge w:val="continue"/>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left="120" w:leftChars="50" w:right="120" w:rightChars="50" w:firstLine="0" w:firstLineChars="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p>
              </w:tc>
              <w:tc>
                <w:tcPr>
                  <w:tcW w:w="328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left="120" w:leftChars="50" w:right="120" w:rightChars="50" w:firstLine="0" w:firstLineChars="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钻孔泥浆及沉淀池底泥自然干化后就地填埋压实。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836" w:hRule="atLeast"/>
                <w:jc w:val="center"/>
              </w:trPr>
              <w:tc>
                <w:tcPr>
                  <w:tcW w:w="699" w:type="pct"/>
                  <w:vMerge w:val="continue"/>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left="120" w:leftChars="50" w:right="120" w:rightChars="50" w:firstLine="0" w:firstLineChars="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p>
              </w:tc>
              <w:tc>
                <w:tcPr>
                  <w:tcW w:w="1019" w:type="pct"/>
                  <w:vMerge w:val="continue"/>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left="120" w:leftChars="50" w:right="120" w:rightChars="50" w:firstLine="0" w:firstLineChars="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p>
              </w:tc>
              <w:tc>
                <w:tcPr>
                  <w:tcW w:w="328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left="120" w:leftChars="50" w:right="120" w:rightChars="50" w:firstLine="0" w:firstLineChars="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废机油采用完好的铁质油桶存储，暂存至危废间，交由具有相应危废处置资质的单位负责接收、转运、处置。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jc w:val="center"/>
              </w:trPr>
              <w:tc>
                <w:tcPr>
                  <w:tcW w:w="69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10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废水处理措施</w:t>
                  </w:r>
                </w:p>
              </w:tc>
              <w:tc>
                <w:tcPr>
                  <w:tcW w:w="328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left="120" w:leftChars="50" w:right="120" w:rightChars="50" w:firstLine="0" w:firstLineChars="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生产废水进入沉淀池处理后循环使用或洒水降尘；生活废水排入在施工营地设置的化粪池，定期拉运至且末县污水处理厂。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jc w:val="center"/>
              </w:trPr>
              <w:tc>
                <w:tcPr>
                  <w:tcW w:w="69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10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生态</w:t>
                  </w:r>
                </w:p>
              </w:tc>
              <w:tc>
                <w:tcPr>
                  <w:tcW w:w="328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360" w:lineRule="exact"/>
                    <w:ind w:left="120" w:leftChars="50" w:right="120" w:rightChars="50" w:firstLine="0" w:firstLineChars="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钻探场地需要进行场地平整，钻探工程结束后进行迹地恢复</w:t>
                  </w:r>
                </w:p>
              </w:tc>
            </w:tr>
          </w:tbl>
          <w:p>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rFonts w:hint="default" w:ascii="Times New Roman" w:hAnsi="Times New Roman" w:eastAsia="华文中宋" w:cs="Times New Roman"/>
                <w:b/>
                <w:bCs/>
                <w:color w:val="000000" w:themeColor="text1"/>
                <w:sz w:val="24"/>
                <w:szCs w:val="32"/>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32"/>
                <w:lang w:val="en-US" w:eastAsia="zh-CN"/>
                <w14:textFill>
                  <w14:solidFill>
                    <w14:schemeClr w14:val="tx1"/>
                  </w14:solidFill>
                </w14:textFill>
              </w:rPr>
              <w:t>2、勘探工作量</w:t>
            </w:r>
          </w:p>
          <w:p>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rFonts w:hint="default" w:ascii="Times New Roman" w:hAnsi="Times New Roman" w:eastAsia="华文中宋" w:cs="Times New Roman"/>
                <w:b w:val="0"/>
                <w:bCs w:val="0"/>
                <w:color w:val="000000" w:themeColor="text1"/>
                <w:sz w:val="24"/>
                <w:szCs w:val="32"/>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4"/>
                <w:szCs w:val="32"/>
                <w:lang w:val="en-US" w:eastAsia="zh-CN"/>
                <w14:textFill>
                  <w14:solidFill>
                    <w14:schemeClr w14:val="tx1"/>
                  </w14:solidFill>
                </w14:textFill>
              </w:rPr>
              <w:t>本项目主要工作量详见表2-3。</w:t>
            </w:r>
          </w:p>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jc w:val="center"/>
              <w:textAlignment w:val="auto"/>
              <w:rPr>
                <w:rFonts w:hint="default" w:ascii="Times New Roman" w:hAnsi="Times New Roman" w:eastAsia="华文中宋" w:cs="Times New Roman"/>
                <w:b/>
                <w:bCs/>
                <w:color w:val="000000" w:themeColor="text1"/>
                <w:sz w:val="24"/>
                <w:szCs w:val="32"/>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32"/>
                <w:lang w:val="en-US" w:eastAsia="zh-CN"/>
                <w14:textFill>
                  <w14:solidFill>
                    <w14:schemeClr w14:val="tx1"/>
                  </w14:solidFill>
                </w14:textFill>
              </w:rPr>
              <w:t>表2-3        实物工作量一览表</w:t>
            </w:r>
          </w:p>
          <w:tbl>
            <w:tblPr>
              <w:tblStyle w:val="92"/>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2719"/>
              <w:gridCol w:w="1373"/>
              <w:gridCol w:w="1431"/>
              <w:gridCol w:w="17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9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序号</w:t>
                  </w:r>
                </w:p>
              </w:tc>
              <w:tc>
                <w:tcPr>
                  <w:tcW w:w="167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pacing w:val="-4"/>
                      <w:sz w:val="21"/>
                      <w:szCs w:val="21"/>
                      <w14:textFill>
                        <w14:solidFill>
                          <w14:schemeClr w14:val="tx1"/>
                        </w14:solidFill>
                      </w14:textFill>
                    </w:rPr>
                    <w:t>工作内容</w:t>
                  </w:r>
                </w:p>
              </w:tc>
              <w:tc>
                <w:tcPr>
                  <w:tcW w:w="84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pacing w:val="-6"/>
                      <w:sz w:val="21"/>
                      <w:szCs w:val="21"/>
                      <w14:textFill>
                        <w14:solidFill>
                          <w14:schemeClr w14:val="tx1"/>
                        </w14:solidFill>
                      </w14:textFill>
                    </w:rPr>
                    <w:t>技术要求</w:t>
                  </w:r>
                </w:p>
              </w:tc>
              <w:tc>
                <w:tcPr>
                  <w:tcW w:w="88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pacing w:val="-5"/>
                      <w:sz w:val="21"/>
                      <w:szCs w:val="21"/>
                      <w14:textFill>
                        <w14:solidFill>
                          <w14:schemeClr w14:val="tx1"/>
                        </w14:solidFill>
                      </w14:textFill>
                    </w:rPr>
                    <w:t>计量</w:t>
                  </w:r>
                  <w:r>
                    <w:rPr>
                      <w:rFonts w:hint="default" w:ascii="Times New Roman" w:hAnsi="Times New Roman" w:eastAsia="华文中宋" w:cs="Times New Roman"/>
                      <w:color w:val="000000" w:themeColor="text1"/>
                      <w:spacing w:val="-6"/>
                      <w:sz w:val="21"/>
                      <w:szCs w:val="21"/>
                      <w14:textFill>
                        <w14:solidFill>
                          <w14:schemeClr w14:val="tx1"/>
                        </w14:solidFill>
                      </w14:textFill>
                    </w:rPr>
                    <w:t>单位</w:t>
                  </w:r>
                </w:p>
              </w:tc>
              <w:tc>
                <w:tcPr>
                  <w:tcW w:w="109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pacing w:val="-9"/>
                      <w:sz w:val="21"/>
                      <w:szCs w:val="21"/>
                      <w14:textFill>
                        <w14:solidFill>
                          <w14:schemeClr w14:val="tx1"/>
                        </w14:solidFill>
                      </w14:textFill>
                    </w:rPr>
                    <w:t>总工</w:t>
                  </w:r>
                  <w:r>
                    <w:rPr>
                      <w:rFonts w:hint="default" w:ascii="Times New Roman" w:hAnsi="Times New Roman" w:eastAsia="华文中宋" w:cs="Times New Roman"/>
                      <w:color w:val="000000" w:themeColor="text1"/>
                      <w:spacing w:val="-6"/>
                      <w:sz w:val="21"/>
                      <w:szCs w:val="21"/>
                      <w14:textFill>
                        <w14:solidFill>
                          <w14:schemeClr w14:val="tx1"/>
                        </w14:solidFill>
                      </w14:textFill>
                    </w:rPr>
                    <w:t>作量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9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1</w:t>
                  </w:r>
                </w:p>
              </w:tc>
              <w:tc>
                <w:tcPr>
                  <w:tcW w:w="167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pacing w:val="-5"/>
                      <w:sz w:val="21"/>
                      <w:szCs w:val="21"/>
                      <w14:textFill>
                        <w14:solidFill>
                          <w14:schemeClr w14:val="tx1"/>
                        </w14:solidFill>
                      </w14:textFill>
                    </w:rPr>
                  </w:pPr>
                  <w:r>
                    <w:rPr>
                      <w:rFonts w:hint="default" w:ascii="Times New Roman" w:hAnsi="Times New Roman" w:eastAsia="华文中宋" w:cs="Times New Roman"/>
                      <w:color w:val="000000" w:themeColor="text1"/>
                      <w:spacing w:val="-5"/>
                      <w:sz w:val="21"/>
                      <w:szCs w:val="21"/>
                      <w14:textFill>
                        <w14:solidFill>
                          <w14:schemeClr w14:val="tx1"/>
                        </w14:solidFill>
                      </w14:textFill>
                    </w:rPr>
                    <w:t>1</w:t>
                  </w:r>
                  <w:r>
                    <w:rPr>
                      <w:rFonts w:hint="default" w:ascii="Times New Roman" w:hAnsi="Times New Roman" w:eastAsia="华文中宋" w:cs="Times New Roman"/>
                      <w:color w:val="000000" w:themeColor="text1"/>
                      <w:spacing w:val="-5"/>
                      <w:sz w:val="21"/>
                      <w:szCs w:val="21"/>
                      <w:lang w:eastAsia="zh-CN"/>
                      <w14:textFill>
                        <w14:solidFill>
                          <w14:schemeClr w14:val="tx1"/>
                        </w14:solidFill>
                      </w14:textFill>
                    </w:rPr>
                    <w:t>:</w:t>
                  </w:r>
                  <w:r>
                    <w:rPr>
                      <w:rFonts w:hint="default" w:ascii="Times New Roman" w:hAnsi="Times New Roman" w:eastAsia="华文中宋" w:cs="Times New Roman"/>
                      <w:color w:val="000000" w:themeColor="text1"/>
                      <w:spacing w:val="-5"/>
                      <w:sz w:val="21"/>
                      <w:szCs w:val="21"/>
                      <w14:textFill>
                        <w14:solidFill>
                          <w14:schemeClr w14:val="tx1"/>
                        </w14:solidFill>
                      </w14:textFill>
                    </w:rPr>
                    <w:t>1万地质测量（修测）</w:t>
                  </w:r>
                </w:p>
              </w:tc>
              <w:tc>
                <w:tcPr>
                  <w:tcW w:w="84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Ⅳ</w:t>
                  </w:r>
                </w:p>
              </w:tc>
              <w:tc>
                <w:tcPr>
                  <w:tcW w:w="88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pacing w:val="-2"/>
                      <w:sz w:val="21"/>
                      <w:szCs w:val="21"/>
                      <w14:textFill>
                        <w14:solidFill>
                          <w14:schemeClr w14:val="tx1"/>
                        </w14:solidFill>
                      </w14:textFill>
                    </w:rPr>
                    <w:t>Km2</w:t>
                  </w:r>
                </w:p>
              </w:tc>
              <w:tc>
                <w:tcPr>
                  <w:tcW w:w="109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pacing w:val="-6"/>
                      <w:sz w:val="21"/>
                      <w:szCs w:val="21"/>
                      <w14:textFill>
                        <w14:solidFill>
                          <w14:schemeClr w14:val="tx1"/>
                        </w14:solidFill>
                      </w14:textFill>
                    </w:rPr>
                    <w:t>18.99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9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2</w:t>
                  </w:r>
                </w:p>
              </w:tc>
              <w:tc>
                <w:tcPr>
                  <w:tcW w:w="167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pacing w:val="-5"/>
                      <w:sz w:val="21"/>
                      <w:szCs w:val="21"/>
                      <w14:textFill>
                        <w14:solidFill>
                          <w14:schemeClr w14:val="tx1"/>
                        </w14:solidFill>
                      </w14:textFill>
                    </w:rPr>
                  </w:pPr>
                  <w:r>
                    <w:rPr>
                      <w:rFonts w:hint="default" w:ascii="Times New Roman" w:hAnsi="Times New Roman" w:eastAsia="华文中宋" w:cs="Times New Roman"/>
                      <w:color w:val="000000" w:themeColor="text1"/>
                      <w:spacing w:val="-5"/>
                      <w:sz w:val="21"/>
                      <w:szCs w:val="21"/>
                      <w14:textFill>
                        <w14:solidFill>
                          <w14:schemeClr w14:val="tx1"/>
                        </w14:solidFill>
                      </w14:textFill>
                    </w:rPr>
                    <w:t>1</w:t>
                  </w:r>
                  <w:r>
                    <w:rPr>
                      <w:rFonts w:hint="default" w:ascii="Times New Roman" w:hAnsi="Times New Roman" w:eastAsia="华文中宋" w:cs="Times New Roman"/>
                      <w:color w:val="000000" w:themeColor="text1"/>
                      <w:spacing w:val="-5"/>
                      <w:sz w:val="21"/>
                      <w:szCs w:val="21"/>
                      <w:lang w:eastAsia="zh-CN"/>
                      <w14:textFill>
                        <w14:solidFill>
                          <w14:schemeClr w14:val="tx1"/>
                        </w14:solidFill>
                      </w14:textFill>
                    </w:rPr>
                    <w:t>:2000</w:t>
                  </w:r>
                  <w:r>
                    <w:rPr>
                      <w:rFonts w:hint="default" w:ascii="Times New Roman" w:hAnsi="Times New Roman" w:eastAsia="华文中宋" w:cs="Times New Roman"/>
                      <w:color w:val="000000" w:themeColor="text1"/>
                      <w:spacing w:val="-5"/>
                      <w:sz w:val="21"/>
                      <w:szCs w:val="21"/>
                      <w14:textFill>
                        <w14:solidFill>
                          <w14:schemeClr w14:val="tx1"/>
                        </w14:solidFill>
                      </w14:textFill>
                    </w:rPr>
                    <w:t>地质测量</w:t>
                  </w:r>
                </w:p>
              </w:tc>
              <w:tc>
                <w:tcPr>
                  <w:tcW w:w="84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Ⅳ</w:t>
                  </w:r>
                </w:p>
              </w:tc>
              <w:tc>
                <w:tcPr>
                  <w:tcW w:w="88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pacing w:val="-2"/>
                      <w:sz w:val="21"/>
                      <w:szCs w:val="21"/>
                      <w14:textFill>
                        <w14:solidFill>
                          <w14:schemeClr w14:val="tx1"/>
                        </w14:solidFill>
                      </w14:textFill>
                    </w:rPr>
                    <w:t>Km2</w:t>
                  </w:r>
                </w:p>
              </w:tc>
              <w:tc>
                <w:tcPr>
                  <w:tcW w:w="109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pacing w:val="-4"/>
                      <w:sz w:val="21"/>
                      <w:szCs w:val="21"/>
                      <w14:textFill>
                        <w14:solidFill>
                          <w14:schemeClr w14:val="tx1"/>
                        </w14:solidFill>
                      </w14:textFill>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9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3</w:t>
                  </w:r>
                </w:p>
              </w:tc>
              <w:tc>
                <w:tcPr>
                  <w:tcW w:w="167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pacing w:val="-5"/>
                      <w:sz w:val="21"/>
                      <w:szCs w:val="21"/>
                      <w14:textFill>
                        <w14:solidFill>
                          <w14:schemeClr w14:val="tx1"/>
                        </w14:solidFill>
                      </w14:textFill>
                    </w:rPr>
                    <w:t>槽探</w:t>
                  </w:r>
                </w:p>
              </w:tc>
              <w:tc>
                <w:tcPr>
                  <w:tcW w:w="84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Ⅵ</w:t>
                  </w:r>
                </w:p>
              </w:tc>
              <w:tc>
                <w:tcPr>
                  <w:tcW w:w="88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pacing w:val="-2"/>
                      <w:sz w:val="21"/>
                      <w:szCs w:val="21"/>
                      <w14:textFill>
                        <w14:solidFill>
                          <w14:schemeClr w14:val="tx1"/>
                        </w14:solidFill>
                      </w14:textFill>
                    </w:rPr>
                    <w:t>m³</w:t>
                  </w:r>
                </w:p>
              </w:tc>
              <w:tc>
                <w:tcPr>
                  <w:tcW w:w="109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pacing w:val="-4"/>
                      <w:sz w:val="21"/>
                      <w:szCs w:val="21"/>
                      <w14:textFill>
                        <w14:solidFill>
                          <w14:schemeClr w14:val="tx1"/>
                        </w14:solidFill>
                      </w14:textFill>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9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4</w:t>
                  </w:r>
                </w:p>
              </w:tc>
              <w:tc>
                <w:tcPr>
                  <w:tcW w:w="167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pacing w:val="-5"/>
                      <w:sz w:val="21"/>
                      <w:szCs w:val="21"/>
                      <w14:textFill>
                        <w14:solidFill>
                          <w14:schemeClr w14:val="tx1"/>
                        </w14:solidFill>
                      </w14:textFill>
                    </w:rPr>
                    <w:t>钻探</w:t>
                  </w:r>
                </w:p>
              </w:tc>
              <w:tc>
                <w:tcPr>
                  <w:tcW w:w="84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Ⅵ</w:t>
                  </w:r>
                </w:p>
              </w:tc>
              <w:tc>
                <w:tcPr>
                  <w:tcW w:w="88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m</w:t>
                  </w:r>
                </w:p>
              </w:tc>
              <w:tc>
                <w:tcPr>
                  <w:tcW w:w="109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pacing w:val="-5"/>
                      <w:sz w:val="21"/>
                      <w:szCs w:val="21"/>
                      <w14:textFill>
                        <w14:solidFill>
                          <w14:schemeClr w14:val="tx1"/>
                        </w14:solidFill>
                      </w14:textFill>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9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5</w:t>
                  </w:r>
                </w:p>
              </w:tc>
              <w:tc>
                <w:tcPr>
                  <w:tcW w:w="167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pacing w:val="-5"/>
                      <w:sz w:val="21"/>
                      <w:szCs w:val="21"/>
                      <w14:textFill>
                        <w14:solidFill>
                          <w14:schemeClr w14:val="tx1"/>
                        </w14:solidFill>
                      </w14:textFill>
                    </w:rPr>
                    <w:t>样品</w:t>
                  </w:r>
                </w:p>
              </w:tc>
              <w:tc>
                <w:tcPr>
                  <w:tcW w:w="84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Ⅳ</w:t>
                  </w:r>
                </w:p>
              </w:tc>
              <w:tc>
                <w:tcPr>
                  <w:tcW w:w="88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件</w:t>
                  </w:r>
                </w:p>
              </w:tc>
              <w:tc>
                <w:tcPr>
                  <w:tcW w:w="109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pacing w:val="-5"/>
                      <w:sz w:val="21"/>
                      <w:szCs w:val="21"/>
                      <w14:textFill>
                        <w14:solidFill>
                          <w14:schemeClr w14:val="tx1"/>
                        </w14:solidFill>
                      </w14:textFill>
                    </w:rPr>
                    <w:t>500</w:t>
                  </w:r>
                </w:p>
              </w:tc>
            </w:tr>
          </w:tbl>
          <w:p>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rFonts w:hint="default" w:ascii="Times New Roman" w:hAnsi="Times New Roman" w:eastAsia="华文中宋" w:cs="Times New Roman"/>
                <w:b/>
                <w:bCs/>
                <w:color w:val="000000" w:themeColor="text1"/>
                <w:sz w:val="24"/>
                <w:szCs w:val="32"/>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32"/>
                <w:lang w:val="en-US" w:eastAsia="zh-CN"/>
                <w14:textFill>
                  <w14:solidFill>
                    <w14:schemeClr w14:val="tx1"/>
                  </w14:solidFill>
                </w14:textFill>
              </w:rPr>
              <w:t>3、原辅材料消耗表</w:t>
            </w:r>
          </w:p>
          <w:p>
            <w:pPr>
              <w:keepNext w:val="0"/>
              <w:keepLines w:val="0"/>
              <w:pageBreakBefore w:val="0"/>
              <w:widowControl w:val="0"/>
              <w:kinsoku/>
              <w:wordWrap/>
              <w:overflowPunct/>
              <w:topLinePunct w:val="0"/>
              <w:autoSpaceDE/>
              <w:autoSpaceDN/>
              <w:bidi w:val="0"/>
              <w:adjustRightInd w:val="0"/>
              <w:snapToGrid/>
              <w:spacing w:line="500" w:lineRule="exact"/>
              <w:ind w:firstLine="420"/>
              <w:jc w:val="both"/>
              <w:textAlignment w:val="auto"/>
              <w:rPr>
                <w:rFonts w:hint="default" w:ascii="Times New Roman" w:hAnsi="Times New Roman" w:eastAsia="华文中宋" w:cs="Times New Roman"/>
                <w:color w:val="000000" w:themeColor="text1"/>
                <w:sz w:val="24"/>
                <w:szCs w:val="32"/>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32"/>
                <w:lang w:val="en-US" w:eastAsia="zh-CN"/>
                <w14:textFill>
                  <w14:solidFill>
                    <w14:schemeClr w14:val="tx1"/>
                  </w14:solidFill>
                </w14:textFill>
              </w:rPr>
              <w:t>本项目原辅材料消耗见表2-4。</w:t>
            </w:r>
          </w:p>
          <w:p>
            <w:pPr>
              <w:keepNext w:val="0"/>
              <w:keepLines w:val="0"/>
              <w:pageBreakBefore w:val="0"/>
              <w:widowControl w:val="0"/>
              <w:kinsoku/>
              <w:wordWrap/>
              <w:overflowPunct/>
              <w:topLinePunct w:val="0"/>
              <w:autoSpaceDE/>
              <w:autoSpaceDN/>
              <w:bidi w:val="0"/>
              <w:adjustRightInd/>
              <w:snapToGrid/>
              <w:spacing w:line="500" w:lineRule="exact"/>
              <w:ind w:firstLine="2162" w:firstLineChars="900"/>
              <w:jc w:val="both"/>
              <w:textAlignment w:val="auto"/>
              <w:outlineLvl w:val="2"/>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表2-4    原辅材料消耗表</w:t>
            </w:r>
          </w:p>
          <w:tbl>
            <w:tblPr>
              <w:tblStyle w:val="30"/>
              <w:tblW w:w="77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027"/>
              <w:gridCol w:w="973"/>
              <w:gridCol w:w="754"/>
              <w:gridCol w:w="40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9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序号</w:t>
                  </w:r>
                </w:p>
              </w:tc>
              <w:tc>
                <w:tcPr>
                  <w:tcW w:w="102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名称</w:t>
                  </w:r>
                </w:p>
              </w:tc>
              <w:tc>
                <w:tcPr>
                  <w:tcW w:w="9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单位</w:t>
                  </w:r>
                </w:p>
              </w:tc>
              <w:tc>
                <w:tcPr>
                  <w:tcW w:w="75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数量</w:t>
                  </w:r>
                </w:p>
              </w:tc>
              <w:tc>
                <w:tcPr>
                  <w:tcW w:w="404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9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1</w:t>
                  </w:r>
                </w:p>
              </w:tc>
              <w:tc>
                <w:tcPr>
                  <w:tcW w:w="102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柴油</w:t>
                  </w:r>
                </w:p>
              </w:tc>
              <w:tc>
                <w:tcPr>
                  <w:tcW w:w="9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t</w:t>
                  </w:r>
                </w:p>
              </w:tc>
              <w:tc>
                <w:tcPr>
                  <w:tcW w:w="75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10.8</w:t>
                  </w:r>
                </w:p>
              </w:tc>
              <w:tc>
                <w:tcPr>
                  <w:tcW w:w="404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发电和机械设备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9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2</w:t>
                  </w:r>
                </w:p>
              </w:tc>
              <w:tc>
                <w:tcPr>
                  <w:tcW w:w="102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钻孔液</w:t>
                  </w:r>
                </w:p>
              </w:tc>
              <w:tc>
                <w:tcPr>
                  <w:tcW w:w="9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m</w:t>
                  </w:r>
                  <w:r>
                    <w:rPr>
                      <w:rFonts w:hint="default" w:ascii="Times New Roman" w:hAnsi="Times New Roman" w:eastAsia="华文中宋" w:cs="Times New Roman"/>
                      <w:b w:val="0"/>
                      <w:bCs w:val="0"/>
                      <w:color w:val="000000" w:themeColor="text1"/>
                      <w:sz w:val="21"/>
                      <w:szCs w:val="21"/>
                      <w:vertAlign w:val="superscript"/>
                      <w:lang w:val="en-US" w:eastAsia="zh-CN"/>
                      <w14:textFill>
                        <w14:solidFill>
                          <w14:schemeClr w14:val="tx1"/>
                        </w14:solidFill>
                      </w14:textFill>
                    </w:rPr>
                    <w:t>3</w:t>
                  </w:r>
                </w:p>
              </w:tc>
              <w:tc>
                <w:tcPr>
                  <w:tcW w:w="75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156</w:t>
                  </w:r>
                </w:p>
              </w:tc>
              <w:tc>
                <w:tcPr>
                  <w:tcW w:w="404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水基钻孔液体系：粘土泥浆，由清水配制。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9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3</w:t>
                  </w:r>
                </w:p>
              </w:tc>
              <w:tc>
                <w:tcPr>
                  <w:tcW w:w="102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水</w:t>
                  </w:r>
                </w:p>
              </w:tc>
              <w:tc>
                <w:tcPr>
                  <w:tcW w:w="9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m</w:t>
                  </w:r>
                  <w:r>
                    <w:rPr>
                      <w:rFonts w:hint="default" w:ascii="Times New Roman" w:hAnsi="Times New Roman" w:eastAsia="华文中宋" w:cs="Times New Roman"/>
                      <w:b w:val="0"/>
                      <w:bCs w:val="0"/>
                      <w:color w:val="000000" w:themeColor="text1"/>
                      <w:sz w:val="21"/>
                      <w:szCs w:val="21"/>
                      <w:vertAlign w:val="superscript"/>
                      <w:lang w:val="en-US" w:eastAsia="zh-CN"/>
                      <w14:textFill>
                        <w14:solidFill>
                          <w14:schemeClr w14:val="tx1"/>
                        </w14:solidFill>
                      </w14:textFill>
                    </w:rPr>
                    <w:t>3</w:t>
                  </w:r>
                </w:p>
              </w:tc>
              <w:tc>
                <w:tcPr>
                  <w:tcW w:w="75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261</w:t>
                  </w:r>
                </w:p>
              </w:tc>
              <w:tc>
                <w:tcPr>
                  <w:tcW w:w="404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1"/>
                      <w:szCs w:val="21"/>
                      <w:vertAlign w:val="baseline"/>
                      <w:lang w:val="en-US" w:eastAsia="zh-CN"/>
                      <w14:textFill>
                        <w14:solidFill>
                          <w14:schemeClr w14:val="tx1"/>
                        </w14:solidFill>
                      </w14:textFill>
                    </w:rPr>
                    <w:t>生活用水</w:t>
                  </w:r>
                </w:p>
              </w:tc>
            </w:tr>
          </w:tbl>
          <w:p>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rFonts w:hint="default" w:ascii="Times New Roman" w:hAnsi="Times New Roman" w:eastAsia="华文中宋" w:cs="Times New Roman"/>
                <w:b/>
                <w:bCs/>
                <w:color w:val="000000" w:themeColor="text1"/>
                <w:szCs w:val="24"/>
                <w:highlight w:val="yellow"/>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highlight w:val="none"/>
                <w14:textFill>
                  <w14:solidFill>
                    <w14:schemeClr w14:val="tx1"/>
                  </w14:solidFill>
                </w14:textFill>
              </w:rPr>
              <w:t>钻探所需的</w:t>
            </w:r>
            <w:r>
              <w:rPr>
                <w:rFonts w:hint="default" w:ascii="Times New Roman" w:hAnsi="Times New Roman" w:eastAsia="华文中宋" w:cs="Times New Roman"/>
                <w:b w:val="0"/>
                <w:bCs w:val="0"/>
                <w:color w:val="000000" w:themeColor="text1"/>
                <w:highlight w:val="none"/>
                <w:lang w:val="en-US" w:eastAsia="zh-CN"/>
                <w14:textFill>
                  <w14:solidFill>
                    <w14:schemeClr w14:val="tx1"/>
                  </w14:solidFill>
                </w14:textFill>
              </w:rPr>
              <w:t>冲洗液配方为粘土、PAM、CMC、腐殖酸钾，另外会加入少量纯碱，</w:t>
            </w:r>
            <w:r>
              <w:rPr>
                <w:rFonts w:hint="default" w:ascii="Times New Roman" w:hAnsi="Times New Roman" w:eastAsia="华文中宋" w:cs="Times New Roman"/>
                <w:b w:val="0"/>
                <w:bCs w:val="0"/>
                <w:color w:val="000000" w:themeColor="text1"/>
                <w:szCs w:val="24"/>
                <w:highlight w:val="none"/>
                <w14:textFill>
                  <w14:solidFill>
                    <w14:schemeClr w14:val="tx1"/>
                  </w14:solidFill>
                </w14:textFill>
              </w:rPr>
              <w:t>钻</w:t>
            </w:r>
            <w:r>
              <w:rPr>
                <w:rFonts w:hint="default" w:ascii="Times New Roman" w:hAnsi="Times New Roman" w:eastAsia="华文中宋" w:cs="Times New Roman"/>
                <w:b w:val="0"/>
                <w:bCs w:val="0"/>
                <w:color w:val="000000" w:themeColor="text1"/>
                <w:szCs w:val="24"/>
                <w:highlight w:val="none"/>
                <w:lang w:val="en-US" w:eastAsia="zh-CN"/>
                <w14:textFill>
                  <w14:solidFill>
                    <w14:schemeClr w14:val="tx1"/>
                  </w14:solidFill>
                </w14:textFill>
              </w:rPr>
              <w:t>孔</w:t>
            </w:r>
            <w:r>
              <w:rPr>
                <w:rFonts w:hint="default" w:ascii="Times New Roman" w:hAnsi="Times New Roman" w:eastAsia="华文中宋" w:cs="Times New Roman"/>
                <w:b w:val="0"/>
                <w:bCs w:val="0"/>
                <w:color w:val="000000" w:themeColor="text1"/>
                <w:szCs w:val="24"/>
                <w:highlight w:val="none"/>
                <w14:textFill>
                  <w14:solidFill>
                    <w14:schemeClr w14:val="tx1"/>
                  </w14:solidFill>
                </w14:textFill>
              </w:rPr>
              <w:t>泥浆配比组成</w:t>
            </w:r>
            <w:r>
              <w:rPr>
                <w:rFonts w:hint="default" w:ascii="Times New Roman" w:hAnsi="Times New Roman" w:eastAsia="华文中宋" w:cs="Times New Roman"/>
                <w:b w:val="0"/>
                <w:bCs w:val="0"/>
                <w:color w:val="000000" w:themeColor="text1"/>
                <w:szCs w:val="24"/>
                <w:highlight w:val="none"/>
                <w:lang w:val="en-US" w:eastAsia="zh-CN"/>
                <w14:textFill>
                  <w14:solidFill>
                    <w14:schemeClr w14:val="tx1"/>
                  </w14:solidFill>
                </w14:textFill>
              </w:rPr>
              <w:t>如下：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b/>
                <w:bCs/>
                <w:color w:val="000000" w:themeColor="text1"/>
                <w:sz w:val="24"/>
                <w:szCs w:val="32"/>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粘土占比2%-4%；‌水‌占比约90.3-95.5%；‌纯碱（Na₂CO₃）‌占比0.3～0.4%；CMC占比0.2~0.3%；PAM控制4%以内，用于增黏、絮凝；腐殖酸钾占比2~3%，有降滤失的作用。</w:t>
            </w:r>
          </w:p>
          <w:p>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rFonts w:hint="default" w:ascii="Times New Roman" w:hAnsi="Times New Roman" w:eastAsia="华文中宋" w:cs="Times New Roman"/>
                <w:color w:val="000000" w:themeColor="text1"/>
                <w:sz w:val="24"/>
                <w:szCs w:val="32"/>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32"/>
                <w:lang w:val="en-US" w:eastAsia="zh-CN"/>
                <w14:textFill>
                  <w14:solidFill>
                    <w14:schemeClr w14:val="tx1"/>
                  </w14:solidFill>
                </w14:textFill>
              </w:rPr>
              <w:t>4、勘探主要设备及物资</w:t>
            </w:r>
          </w:p>
          <w:p>
            <w:pPr>
              <w:keepNext w:val="0"/>
              <w:keepLines w:val="0"/>
              <w:pageBreakBefore w:val="0"/>
              <w:widowControl w:val="0"/>
              <w:kinsoku/>
              <w:wordWrap/>
              <w:overflowPunct/>
              <w:topLinePunct w:val="0"/>
              <w:autoSpaceDE/>
              <w:autoSpaceDN/>
              <w:bidi w:val="0"/>
              <w:adjustRightInd w:val="0"/>
              <w:snapToGrid/>
              <w:spacing w:line="500" w:lineRule="exact"/>
              <w:ind w:firstLine="420"/>
              <w:jc w:val="both"/>
              <w:textAlignment w:val="auto"/>
              <w:rPr>
                <w:rFonts w:hint="default" w:ascii="Times New Roman" w:hAnsi="Times New Roman" w:eastAsia="华文中宋" w:cs="Times New Roman"/>
                <w:color w:val="000000" w:themeColor="text1"/>
                <w:sz w:val="24"/>
                <w:szCs w:val="32"/>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32"/>
                <w:lang w:val="en-US" w:eastAsia="zh-CN"/>
                <w14:textFill>
                  <w14:solidFill>
                    <w14:schemeClr w14:val="tx1"/>
                  </w14:solidFill>
                </w14:textFill>
              </w:rPr>
              <w:t>本项目主要为野外工作，主要设备主要为物资运输及勘探工作设备，详见下表。</w:t>
            </w:r>
          </w:p>
          <w:p>
            <w:pPr>
              <w:keepNext w:val="0"/>
              <w:keepLines w:val="0"/>
              <w:pageBreakBefore w:val="0"/>
              <w:widowControl w:val="0"/>
              <w:kinsoku/>
              <w:wordWrap/>
              <w:overflowPunct/>
              <w:topLinePunct w:val="0"/>
              <w:autoSpaceDE/>
              <w:autoSpaceDN/>
              <w:bidi w:val="0"/>
              <w:adjustRightInd/>
              <w:snapToGrid/>
              <w:spacing w:line="500" w:lineRule="exact"/>
              <w:ind w:firstLine="961" w:firstLineChars="400"/>
              <w:jc w:val="center"/>
              <w:textAlignment w:val="auto"/>
              <w:outlineLvl w:val="2"/>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表2-5   主要物资及设备一览表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319"/>
              <w:gridCol w:w="2037"/>
              <w:gridCol w:w="891"/>
              <w:gridCol w:w="888"/>
              <w:gridCol w:w="19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2319"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设 备 名 称</w:t>
                  </w:r>
                </w:p>
              </w:tc>
              <w:tc>
                <w:tcPr>
                  <w:tcW w:w="2037"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设备型号</w:t>
                  </w:r>
                </w:p>
              </w:tc>
              <w:tc>
                <w:tcPr>
                  <w:tcW w:w="891"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单 位</w:t>
                  </w:r>
                </w:p>
              </w:tc>
              <w:tc>
                <w:tcPr>
                  <w:tcW w:w="888"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数量</w:t>
                  </w:r>
                </w:p>
              </w:tc>
              <w:tc>
                <w:tcPr>
                  <w:tcW w:w="1981"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备 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2319"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挖掘机</w:t>
                  </w:r>
                </w:p>
              </w:tc>
              <w:tc>
                <w:tcPr>
                  <w:tcW w:w="2037"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SY550</w:t>
                  </w:r>
                </w:p>
              </w:tc>
              <w:tc>
                <w:tcPr>
                  <w:tcW w:w="891"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台</w:t>
                  </w:r>
                </w:p>
              </w:tc>
              <w:tc>
                <w:tcPr>
                  <w:tcW w:w="888"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2</w:t>
                  </w:r>
                </w:p>
              </w:tc>
              <w:tc>
                <w:tcPr>
                  <w:tcW w:w="1981"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槽探挖掘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2319"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铲车</w:t>
                  </w:r>
                </w:p>
              </w:tc>
              <w:tc>
                <w:tcPr>
                  <w:tcW w:w="2037"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XC956</w:t>
                  </w:r>
                </w:p>
              </w:tc>
              <w:tc>
                <w:tcPr>
                  <w:tcW w:w="891"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台</w:t>
                  </w:r>
                </w:p>
              </w:tc>
              <w:tc>
                <w:tcPr>
                  <w:tcW w:w="888"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1</w:t>
                  </w:r>
                </w:p>
              </w:tc>
              <w:tc>
                <w:tcPr>
                  <w:tcW w:w="1981"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2319"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皮卡</w:t>
                  </w:r>
                </w:p>
              </w:tc>
              <w:tc>
                <w:tcPr>
                  <w:tcW w:w="2037"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长城</w:t>
                  </w:r>
                </w:p>
              </w:tc>
              <w:tc>
                <w:tcPr>
                  <w:tcW w:w="891"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辆</w:t>
                  </w:r>
                </w:p>
              </w:tc>
              <w:tc>
                <w:tcPr>
                  <w:tcW w:w="888"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2</w:t>
                  </w:r>
                </w:p>
              </w:tc>
              <w:tc>
                <w:tcPr>
                  <w:tcW w:w="1981"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2319"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GPS</w:t>
                  </w:r>
                </w:p>
              </w:tc>
              <w:tc>
                <w:tcPr>
                  <w:tcW w:w="2037"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891"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个</w:t>
                  </w:r>
                </w:p>
              </w:tc>
              <w:tc>
                <w:tcPr>
                  <w:tcW w:w="888"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1</w:t>
                  </w:r>
                </w:p>
              </w:tc>
              <w:tc>
                <w:tcPr>
                  <w:tcW w:w="1981"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2319"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钻机</w:t>
                  </w:r>
                </w:p>
              </w:tc>
              <w:tc>
                <w:tcPr>
                  <w:tcW w:w="2037"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XU1000 型</w:t>
                  </w:r>
                </w:p>
              </w:tc>
              <w:tc>
                <w:tcPr>
                  <w:tcW w:w="891"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p>
              </w:tc>
              <w:tc>
                <w:tcPr>
                  <w:tcW w:w="888"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1</w:t>
                  </w:r>
                </w:p>
              </w:tc>
              <w:tc>
                <w:tcPr>
                  <w:tcW w:w="1981"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机械岩心钻施工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2319" w:type="dxa"/>
                  <w:tcBorders>
                    <w:tl2br w:val="nil"/>
                    <w:tr2bl w:val="nil"/>
                  </w:tcBorders>
                  <w:shd w:val="clear" w:color="auto" w:fill="auto"/>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样品袋</w:t>
                  </w:r>
                </w:p>
              </w:tc>
              <w:tc>
                <w:tcPr>
                  <w:tcW w:w="2037" w:type="dxa"/>
                  <w:tcBorders>
                    <w:tl2br w:val="nil"/>
                    <w:tr2bl w:val="nil"/>
                  </w:tcBorders>
                  <w:shd w:val="clear" w:color="auto" w:fill="auto"/>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p>
              </w:tc>
              <w:tc>
                <w:tcPr>
                  <w:tcW w:w="891" w:type="dxa"/>
                  <w:tcBorders>
                    <w:tl2br w:val="nil"/>
                    <w:tr2bl w:val="nil"/>
                  </w:tcBorders>
                  <w:shd w:val="clear" w:color="auto" w:fill="auto"/>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个</w:t>
                  </w:r>
                </w:p>
              </w:tc>
              <w:tc>
                <w:tcPr>
                  <w:tcW w:w="888" w:type="dxa"/>
                  <w:tcBorders>
                    <w:tl2br w:val="nil"/>
                    <w:tr2bl w:val="nil"/>
                  </w:tcBorders>
                  <w:shd w:val="clear" w:color="auto" w:fill="auto"/>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500</w:t>
                  </w:r>
                </w:p>
              </w:tc>
              <w:tc>
                <w:tcPr>
                  <w:tcW w:w="1981"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野外岩矿样采集用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2319"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柴油发电机</w:t>
                  </w:r>
                </w:p>
              </w:tc>
              <w:tc>
                <w:tcPr>
                  <w:tcW w:w="2037"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WP4ID661E</w:t>
                  </w:r>
                </w:p>
              </w:tc>
              <w:tc>
                <w:tcPr>
                  <w:tcW w:w="891"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台</w:t>
                  </w:r>
                </w:p>
              </w:tc>
              <w:tc>
                <w:tcPr>
                  <w:tcW w:w="888"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1</w:t>
                  </w:r>
                </w:p>
              </w:tc>
              <w:tc>
                <w:tcPr>
                  <w:tcW w:w="1981" w:type="dxa"/>
                  <w:tcBorders>
                    <w:tl2br w:val="nil"/>
                    <w:tr2bl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发电</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outlineLvl w:val="2"/>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5、工作制度及劳动定员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项目组织一支技术结构合理，年富力强，富有地质矿产勘查、物探、钻探等野外实践经验的技术队伍，提高找矿效果，保质保量完成工作任务。项目各类专业技术人员9人。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工作时限为</w:t>
            </w:r>
            <w:r>
              <w:rPr>
                <w:rFonts w:hint="default" w:ascii="Times New Roman" w:hAnsi="Times New Roman" w:eastAsia="华文中宋" w:cs="Times New Roman"/>
                <w:color w:val="000000" w:themeColor="text1"/>
                <w:kern w:val="0"/>
                <w:sz w:val="24"/>
                <w:szCs w:val="24"/>
                <w:highlight w:val="none"/>
                <w:lang w:val="en-US" w:eastAsia="zh-CN"/>
                <w14:textFill>
                  <w14:solidFill>
                    <w14:schemeClr w14:val="tx1"/>
                  </w14:solidFill>
                </w14:textFill>
              </w:rPr>
              <w:t>6个月，</w:t>
            </w: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实际工作时间为180天。</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2"/>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6、公用工程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（1）供水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华文中宋" w:cs="Times New Roman"/>
                <w:b w:val="0"/>
                <w:bCs w:val="0"/>
                <w:color w:val="000000" w:themeColor="text1"/>
                <w:sz w:val="24"/>
                <w:szCs w:val="24"/>
                <w:highlight w:val="none"/>
                <w:lang w:eastAsia="zh-CN"/>
                <w14:textFill>
                  <w14:solidFill>
                    <w14:schemeClr w14:val="tx1"/>
                  </w14:solidFill>
                </w14:textFill>
              </w:rPr>
              <w:t>生活用水从38团采购，其他用水由苏盖提坎矿23公里处拉运。勘探期间用水量主要为钻探用水、降尘用水、生活用水。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4"/>
                <w:szCs w:val="24"/>
                <w:highlight w:val="none"/>
                <w:lang w:val="en-US" w:eastAsia="zh-CN"/>
                <w14:textFill>
                  <w14:solidFill>
                    <w14:schemeClr w14:val="tx1"/>
                  </w14:solidFill>
                </w14:textFill>
              </w:rPr>
              <w:t>1）生活用水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华文中宋" w:cs="Times New Roman"/>
                <w:b w:val="0"/>
                <w:bCs w:val="0"/>
                <w:color w:val="000000" w:themeColor="text1"/>
                <w:sz w:val="24"/>
                <w:szCs w:val="24"/>
                <w:highlight w:val="none"/>
                <w:lang w:eastAsia="zh-CN"/>
                <w14:textFill>
                  <w14:solidFill>
                    <w14:schemeClr w14:val="tx1"/>
                  </w14:solidFill>
                </w14:textFill>
              </w:rPr>
              <w:t>本项目勘探过程中，劳动定员约为9人，勘探施工工期为180天（2026年5月到2026年10月），项目生活用水按0.10m</w:t>
            </w:r>
            <w:r>
              <w:rPr>
                <w:rFonts w:hint="default" w:ascii="Times New Roman" w:hAnsi="Times New Roman" w:eastAsia="华文中宋" w:cs="Times New Roman"/>
                <w:b w:val="0"/>
                <w:bCs w:val="0"/>
                <w:color w:val="000000" w:themeColor="text1"/>
                <w:sz w:val="24"/>
                <w:szCs w:val="24"/>
                <w:highlight w:val="none"/>
                <w:vertAlign w:val="superscript"/>
                <w:lang w:eastAsia="zh-CN"/>
                <w14:textFill>
                  <w14:solidFill>
                    <w14:schemeClr w14:val="tx1"/>
                  </w14:solidFill>
                </w14:textFill>
              </w:rPr>
              <w:t>3</w:t>
            </w:r>
            <w:r>
              <w:rPr>
                <w:rFonts w:hint="default" w:ascii="Times New Roman" w:hAnsi="Times New Roman" w:eastAsia="华文中宋" w:cs="Times New Roman"/>
                <w:b w:val="0"/>
                <w:bCs w:val="0"/>
                <w:color w:val="000000" w:themeColor="text1"/>
                <w:sz w:val="24"/>
                <w:szCs w:val="24"/>
                <w:highlight w:val="none"/>
                <w:lang w:eastAsia="zh-CN"/>
                <w14:textFill>
                  <w14:solidFill>
                    <w14:schemeClr w14:val="tx1"/>
                  </w14:solidFill>
                </w14:textFill>
              </w:rPr>
              <w:t>/人·d计，用水量为0.9m</w:t>
            </w:r>
            <w:r>
              <w:rPr>
                <w:rFonts w:hint="default" w:ascii="Times New Roman" w:hAnsi="Times New Roman" w:eastAsia="华文中宋" w:cs="Times New Roman"/>
                <w:b w:val="0"/>
                <w:bCs w:val="0"/>
                <w:color w:val="000000" w:themeColor="text1"/>
                <w:sz w:val="24"/>
                <w:szCs w:val="24"/>
                <w:highlight w:val="none"/>
                <w:vertAlign w:val="superscript"/>
                <w:lang w:eastAsia="zh-CN"/>
                <w14:textFill>
                  <w14:solidFill>
                    <w14:schemeClr w14:val="tx1"/>
                  </w14:solidFill>
                </w14:textFill>
              </w:rPr>
              <w:t>3</w:t>
            </w:r>
            <w:r>
              <w:rPr>
                <w:rFonts w:hint="default" w:ascii="Times New Roman" w:hAnsi="Times New Roman" w:eastAsia="华文中宋" w:cs="Times New Roman"/>
                <w:b w:val="0"/>
                <w:bCs w:val="0"/>
                <w:color w:val="000000" w:themeColor="text1"/>
                <w:sz w:val="24"/>
                <w:szCs w:val="24"/>
                <w:highlight w:val="none"/>
                <w:lang w:eastAsia="zh-CN"/>
                <w14:textFill>
                  <w14:solidFill>
                    <w14:schemeClr w14:val="tx1"/>
                  </w14:solidFill>
                </w14:textFill>
              </w:rPr>
              <w:t>/d（162m</w:t>
            </w:r>
            <w:r>
              <w:rPr>
                <w:rFonts w:hint="default" w:ascii="Times New Roman" w:hAnsi="Times New Roman" w:eastAsia="华文中宋" w:cs="Times New Roman"/>
                <w:b w:val="0"/>
                <w:bCs w:val="0"/>
                <w:color w:val="000000" w:themeColor="text1"/>
                <w:sz w:val="24"/>
                <w:szCs w:val="24"/>
                <w:highlight w:val="none"/>
                <w:vertAlign w:val="superscript"/>
                <w:lang w:eastAsia="zh-CN"/>
                <w14:textFill>
                  <w14:solidFill>
                    <w14:schemeClr w14:val="tx1"/>
                  </w14:solidFill>
                </w14:textFill>
              </w:rPr>
              <w:t>3</w:t>
            </w:r>
            <w:r>
              <w:rPr>
                <w:rFonts w:hint="default" w:ascii="Times New Roman" w:hAnsi="Times New Roman" w:eastAsia="华文中宋" w:cs="Times New Roman"/>
                <w:b w:val="0"/>
                <w:bCs w:val="0"/>
                <w:color w:val="000000" w:themeColor="text1"/>
                <w:sz w:val="24"/>
                <w:szCs w:val="24"/>
                <w:highlight w:val="none"/>
                <w:lang w:eastAsia="zh-CN"/>
                <w14:textFill>
                  <w14:solidFill>
                    <w14:schemeClr w14:val="tx1"/>
                  </w14:solidFill>
                </w14:textFill>
              </w:rPr>
              <w:t>/a）。</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2）钻探用水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本项目钻探采用垂直地面钻探，泥浆用量0.3m</w:t>
            </w:r>
            <w:r>
              <w:rPr>
                <w:rFonts w:hint="default" w:ascii="Times New Roman" w:hAnsi="Times New Roman" w:eastAsia="华文中宋"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/m，泥浆配比以水、絮凝剂/粘土为主，主要起到保护钻机及护壁。钻探总工作量500m计，则工作量需用泥浆量150m</w:t>
            </w:r>
            <w:r>
              <w:rPr>
                <w:rFonts w:hint="default" w:ascii="Times New Roman" w:hAnsi="Times New Roman" w:eastAsia="华文中宋"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，泥浆含水率按75%计，则钻探过程用水量总量为112.5m</w:t>
            </w:r>
            <w:r>
              <w:rPr>
                <w:rFonts w:hint="default" w:ascii="Times New Roman" w:hAnsi="Times New Roman" w:eastAsia="华文中宋"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。用水来源包括泥浆池上清液循环用水和新鲜水补水，其中泥浆池上清液循环利用量约60%，水量67.5m</w:t>
            </w:r>
            <w:r>
              <w:rPr>
                <w:rFonts w:hint="default" w:ascii="Times New Roman" w:hAnsi="Times New Roman" w:eastAsia="华文中宋"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/a，补充新鲜水量合计约45m</w:t>
            </w:r>
            <w:r>
              <w:rPr>
                <w:rFonts w:hint="default" w:ascii="Times New Roman" w:hAnsi="Times New Roman" w:eastAsia="华文中宋"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/a。</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设备冷却水：钻探过程中钻机需定期冷却，用水约为0.2m</w:t>
            </w:r>
            <w:r>
              <w:rPr>
                <w:rFonts w:hint="default" w:ascii="Times New Roman" w:hAnsi="Times New Roman" w:eastAsia="华文中宋"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/d，共计36m</w:t>
            </w:r>
            <w:r>
              <w:rPr>
                <w:rFonts w:hint="default" w:ascii="Times New Roman" w:hAnsi="Times New Roman" w:eastAsia="华文中宋"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/a，为新鲜水补水。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3）降尘用水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项目勘探期间抑尘洒水过程用水量约为0.1m</w:t>
            </w:r>
            <w:r>
              <w:rPr>
                <w:rFonts w:hint="default" w:ascii="Times New Roman" w:hAnsi="Times New Roman" w:eastAsia="华文中宋"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/d（18m</w:t>
            </w:r>
            <w:r>
              <w:rPr>
                <w:rFonts w:hint="default" w:ascii="Times New Roman" w:hAnsi="Times New Roman" w:eastAsia="华文中宋"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/a）。降尘用水大部分由洒水地面吸收、少部分自然蒸发，无废水产生。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（2）排水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本项目生活污水产生量较少，生活污水量以生活用水量的80%计，则可知本项目探矿期生活污水产生量为</w:t>
            </w:r>
            <w:r>
              <w:rPr>
                <w:rFonts w:hint="default" w:ascii="Times New Roman" w:hAnsi="Times New Roman" w:eastAsia="华文中宋" w:cs="Times New Roman"/>
                <w:color w:val="000000" w:themeColor="text1"/>
                <w:highlight w:val="none"/>
                <w:lang w:val="en-US" w:eastAsia="zh-CN"/>
                <w14:textFill>
                  <w14:solidFill>
                    <w14:schemeClr w14:val="tx1"/>
                  </w14:solidFill>
                </w14:textFill>
              </w:rPr>
              <w:t>0.72m³/d（129.9m³/a）</w:t>
            </w:r>
            <w:r>
              <w:rPr>
                <w:rFonts w:hint="default" w:ascii="Times New Roman" w:hAnsi="Times New Roman" w:eastAsia="华文中宋" w:cs="Times New Roman"/>
                <w:color w:val="000000" w:themeColor="text1"/>
                <w:lang w:val="en-US" w:eastAsia="zh-CN"/>
                <w14:textFill>
                  <w14:solidFill>
                    <w14:schemeClr w14:val="tx1"/>
                  </w14:solidFill>
                </w14:textFill>
              </w:rPr>
              <w:t>。</w:t>
            </w: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在施工营地设置的化粪池（容积10m</w:t>
            </w:r>
            <w:r>
              <w:rPr>
                <w:rFonts w:hint="default" w:ascii="Times New Roman" w:hAnsi="Times New Roman" w:eastAsia="华文中宋"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），定期拉运至且末县污水处理厂。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本项目钻探过程会有泥浆水外流，为此提前在钻孔处做一流水槽，流水槽上铺设一层塑料膜，连接钻孔与</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临时沉淀池</w:t>
            </w: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，废水经沉淀后回用不排放；上清液回用率按60%计，即回用水量为67.5m</w:t>
            </w:r>
            <w:r>
              <w:rPr>
                <w:rFonts w:hint="default" w:ascii="Times New Roman" w:hAnsi="Times New Roman" w:eastAsia="华文中宋"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/a。</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（3）供电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项目生产及生活采用自备柴油发电机供电。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（4）供暖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本项目冬季寒冷期不进行勘探作业，无供暖需求。</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2"/>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7、工程占地情况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项目的占地一览表见表2-6。</w:t>
            </w:r>
          </w:p>
          <w:p>
            <w:pPr>
              <w:keepNext w:val="0"/>
              <w:keepLines w:val="0"/>
              <w:pageBreakBefore w:val="0"/>
              <w:widowControl w:val="0"/>
              <w:kinsoku/>
              <w:wordWrap/>
              <w:overflowPunct/>
              <w:topLinePunct w:val="0"/>
              <w:autoSpaceDE/>
              <w:autoSpaceDN/>
              <w:bidi w:val="0"/>
              <w:adjustRightInd/>
              <w:snapToGrid/>
              <w:spacing w:line="500" w:lineRule="exact"/>
              <w:ind w:firstLine="961" w:firstLineChars="400"/>
              <w:jc w:val="center"/>
              <w:textAlignment w:val="auto"/>
              <w:outlineLvl w:val="2"/>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表2-6  项目占地一览表</w:t>
            </w:r>
          </w:p>
          <w:tbl>
            <w:tblPr>
              <w:tblStyle w:val="29"/>
              <w:tblW w:w="5000" w:type="pct"/>
              <w:tblInd w:w="-2"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96"/>
              <w:gridCol w:w="749"/>
              <w:gridCol w:w="994"/>
              <w:gridCol w:w="1529"/>
              <w:gridCol w:w="224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序号</w:t>
                  </w:r>
                </w:p>
              </w:tc>
              <w:tc>
                <w:tcPr>
                  <w:tcW w:w="1170"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名称</w:t>
                  </w:r>
                </w:p>
              </w:tc>
              <w:tc>
                <w:tcPr>
                  <w:tcW w:w="462"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单位</w:t>
                  </w:r>
                </w:p>
              </w:tc>
              <w:tc>
                <w:tcPr>
                  <w:tcW w:w="61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highlight w:val="none"/>
                      <w14:textFill>
                        <w14:solidFill>
                          <w14:schemeClr w14:val="tx1"/>
                        </w14:solidFill>
                      </w14:textFill>
                    </w:rPr>
                  </w:pPr>
                  <w:r>
                    <w:rPr>
                      <w:rFonts w:hint="default" w:ascii="Times New Roman" w:hAnsi="Times New Roman" w:eastAsia="华文中宋" w:cs="Times New Roman"/>
                      <w:color w:val="000000" w:themeColor="text1"/>
                      <w:kern w:val="0"/>
                      <w:sz w:val="21"/>
                      <w:szCs w:val="21"/>
                      <w:highlight w:val="none"/>
                      <w14:textFill>
                        <w14:solidFill>
                          <w14:schemeClr w14:val="tx1"/>
                        </w14:solidFill>
                      </w14:textFill>
                    </w:rPr>
                    <w:t>数量</w:t>
                  </w:r>
                </w:p>
              </w:tc>
              <w:tc>
                <w:tcPr>
                  <w:tcW w:w="94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性质</w:t>
                  </w:r>
                </w:p>
              </w:tc>
              <w:tc>
                <w:tcPr>
                  <w:tcW w:w="138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96" w:type="pct"/>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t>探矿权范围</w:t>
                  </w:r>
                </w:p>
              </w:tc>
              <w:tc>
                <w:tcPr>
                  <w:tcW w:w="462"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t>km</w:t>
                  </w:r>
                  <w:r>
                    <w:rPr>
                      <w:rFonts w:hint="default" w:ascii="Times New Roman" w:hAnsi="Times New Roman" w:eastAsia="华文中宋" w:cs="Times New Roman"/>
                      <w:color w:val="000000" w:themeColor="text1"/>
                      <w:kern w:val="0"/>
                      <w:sz w:val="21"/>
                      <w:szCs w:val="21"/>
                      <w:vertAlign w:val="superscript"/>
                      <w:lang w:val="en-US" w:eastAsia="zh-CN"/>
                      <w14:textFill>
                        <w14:solidFill>
                          <w14:schemeClr w14:val="tx1"/>
                        </w14:solidFill>
                      </w14:textFill>
                    </w:rPr>
                    <w:t>2</w:t>
                  </w:r>
                </w:p>
              </w:tc>
              <w:tc>
                <w:tcPr>
                  <w:tcW w:w="61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1"/>
                      <w:szCs w:val="21"/>
                      <w:highlight w:val="none"/>
                      <w:lang w:val="en-US" w:eastAsia="zh-CN"/>
                      <w14:textFill>
                        <w14:solidFill>
                          <w14:schemeClr w14:val="tx1"/>
                        </w14:solidFill>
                      </w14:textFill>
                    </w:rPr>
                    <w:t>18.99</w:t>
                  </w:r>
                </w:p>
              </w:tc>
              <w:tc>
                <w:tcPr>
                  <w:tcW w:w="94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14:textFill>
                        <w14:solidFill>
                          <w14:schemeClr w14:val="tx1"/>
                        </w14:solidFill>
                      </w14:textFill>
                    </w:rPr>
                  </w:pPr>
                </w:p>
              </w:tc>
              <w:tc>
                <w:tcPr>
                  <w:tcW w:w="138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t>其中</w:t>
                  </w:r>
                </w:p>
              </w:tc>
              <w:tc>
                <w:tcPr>
                  <w:tcW w:w="1170"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t>探槽工程</w:t>
                  </w:r>
                </w:p>
              </w:tc>
              <w:tc>
                <w:tcPr>
                  <w:tcW w:w="462"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m</w:t>
                  </w:r>
                  <w:r>
                    <w:rPr>
                      <w:rFonts w:hint="default" w:ascii="Times New Roman" w:hAnsi="Times New Roman" w:eastAsia="华文中宋" w:cs="Times New Roman"/>
                      <w:color w:val="000000" w:themeColor="text1"/>
                      <w:kern w:val="0"/>
                      <w:sz w:val="21"/>
                      <w:szCs w:val="21"/>
                      <w:vertAlign w:val="superscript"/>
                      <w14:textFill>
                        <w14:solidFill>
                          <w14:schemeClr w14:val="tx1"/>
                        </w14:solidFill>
                      </w14:textFill>
                    </w:rPr>
                    <w:t>2</w:t>
                  </w:r>
                </w:p>
              </w:tc>
              <w:tc>
                <w:tcPr>
                  <w:tcW w:w="61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1"/>
                      <w:szCs w:val="21"/>
                      <w:highlight w:val="none"/>
                      <w:lang w:val="en-US" w:eastAsia="zh-CN"/>
                      <w14:textFill>
                        <w14:solidFill>
                          <w14:schemeClr w14:val="tx1"/>
                        </w14:solidFill>
                      </w14:textFill>
                    </w:rPr>
                    <w:t>1333</w:t>
                  </w:r>
                </w:p>
              </w:tc>
              <w:tc>
                <w:tcPr>
                  <w:tcW w:w="94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临时占地</w:t>
                  </w:r>
                </w:p>
              </w:tc>
              <w:tc>
                <w:tcPr>
                  <w:tcW w:w="138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t>其他草地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lang w:eastAsia="zh-CN"/>
                      <w14:textFill>
                        <w14:solidFill>
                          <w14:schemeClr w14:val="tx1"/>
                        </w14:solidFill>
                      </w14:textFill>
                    </w:rPr>
                  </w:pPr>
                </w:p>
              </w:tc>
              <w:tc>
                <w:tcPr>
                  <w:tcW w:w="1170"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钻探工程</w:t>
                  </w:r>
                </w:p>
              </w:tc>
              <w:tc>
                <w:tcPr>
                  <w:tcW w:w="462"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m</w:t>
                  </w:r>
                  <w:r>
                    <w:rPr>
                      <w:rFonts w:hint="default" w:ascii="Times New Roman" w:hAnsi="Times New Roman" w:eastAsia="华文中宋" w:cs="Times New Roman"/>
                      <w:color w:val="000000" w:themeColor="text1"/>
                      <w:kern w:val="0"/>
                      <w:sz w:val="21"/>
                      <w:szCs w:val="21"/>
                      <w:vertAlign w:val="superscript"/>
                      <w14:textFill>
                        <w14:solidFill>
                          <w14:schemeClr w14:val="tx1"/>
                        </w14:solidFill>
                      </w14:textFill>
                    </w:rPr>
                    <w:t>2</w:t>
                  </w:r>
                </w:p>
              </w:tc>
              <w:tc>
                <w:tcPr>
                  <w:tcW w:w="61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1"/>
                      <w:szCs w:val="21"/>
                      <w:highlight w:val="none"/>
                      <w:lang w:val="en-US" w:eastAsia="zh-CN"/>
                      <w14:textFill>
                        <w14:solidFill>
                          <w14:schemeClr w14:val="tx1"/>
                        </w14:solidFill>
                      </w14:textFill>
                    </w:rPr>
                    <w:t>300</w:t>
                  </w:r>
                </w:p>
              </w:tc>
              <w:tc>
                <w:tcPr>
                  <w:tcW w:w="94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临时占地</w:t>
                  </w:r>
                </w:p>
              </w:tc>
              <w:tc>
                <w:tcPr>
                  <w:tcW w:w="138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t>其他草地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lang w:eastAsia="zh-CN"/>
                      <w14:textFill>
                        <w14:solidFill>
                          <w14:schemeClr w14:val="tx1"/>
                        </w14:solidFill>
                      </w14:textFill>
                    </w:rPr>
                  </w:pPr>
                </w:p>
              </w:tc>
              <w:tc>
                <w:tcPr>
                  <w:tcW w:w="1170"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t>临时道路</w:t>
                  </w:r>
                </w:p>
              </w:tc>
              <w:tc>
                <w:tcPr>
                  <w:tcW w:w="462"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m</w:t>
                  </w:r>
                  <w:r>
                    <w:rPr>
                      <w:rFonts w:hint="default" w:ascii="Times New Roman" w:hAnsi="Times New Roman" w:eastAsia="华文中宋" w:cs="Times New Roman"/>
                      <w:color w:val="000000" w:themeColor="text1"/>
                      <w:kern w:val="0"/>
                      <w:sz w:val="21"/>
                      <w:szCs w:val="21"/>
                      <w:vertAlign w:val="superscript"/>
                      <w14:textFill>
                        <w14:solidFill>
                          <w14:schemeClr w14:val="tx1"/>
                        </w14:solidFill>
                      </w14:textFill>
                    </w:rPr>
                    <w:t>2</w:t>
                  </w:r>
                </w:p>
              </w:tc>
              <w:tc>
                <w:tcPr>
                  <w:tcW w:w="61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highlight w:val="yellow"/>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t>16000</w:t>
                  </w:r>
                </w:p>
              </w:tc>
              <w:tc>
                <w:tcPr>
                  <w:tcW w:w="94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临时占地</w:t>
                  </w:r>
                </w:p>
              </w:tc>
              <w:tc>
                <w:tcPr>
                  <w:tcW w:w="138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t>4km×4m</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lang w:eastAsia="zh-CN"/>
                      <w14:textFill>
                        <w14:solidFill>
                          <w14:schemeClr w14:val="tx1"/>
                        </w14:solidFill>
                      </w14:textFill>
                    </w:rPr>
                  </w:pPr>
                </w:p>
              </w:tc>
              <w:tc>
                <w:tcPr>
                  <w:tcW w:w="1170"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lang w:eastAsia="zh-CN"/>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t>生活区</w:t>
                  </w:r>
                </w:p>
              </w:tc>
              <w:tc>
                <w:tcPr>
                  <w:tcW w:w="462"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m</w:t>
                  </w:r>
                  <w:r>
                    <w:rPr>
                      <w:rFonts w:hint="default" w:ascii="Times New Roman" w:hAnsi="Times New Roman" w:eastAsia="华文中宋" w:cs="Times New Roman"/>
                      <w:color w:val="000000" w:themeColor="text1"/>
                      <w:kern w:val="0"/>
                      <w:sz w:val="21"/>
                      <w:szCs w:val="21"/>
                      <w:vertAlign w:val="superscript"/>
                      <w14:textFill>
                        <w14:solidFill>
                          <w14:schemeClr w14:val="tx1"/>
                        </w14:solidFill>
                      </w14:textFill>
                    </w:rPr>
                    <w:t>2</w:t>
                  </w:r>
                </w:p>
              </w:tc>
              <w:tc>
                <w:tcPr>
                  <w:tcW w:w="61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highlight w:val="yellow"/>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1"/>
                      <w:szCs w:val="21"/>
                      <w:highlight w:val="none"/>
                      <w:lang w:val="en-US" w:eastAsia="zh-CN"/>
                      <w14:textFill>
                        <w14:solidFill>
                          <w14:schemeClr w14:val="tx1"/>
                        </w14:solidFill>
                      </w14:textFill>
                    </w:rPr>
                    <w:t>370</w:t>
                  </w:r>
                </w:p>
              </w:tc>
              <w:tc>
                <w:tcPr>
                  <w:tcW w:w="94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临时占地</w:t>
                  </w:r>
                </w:p>
              </w:tc>
              <w:tc>
                <w:tcPr>
                  <w:tcW w:w="138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t>其他草地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lang w:eastAsia="zh-CN"/>
                      <w14:textFill>
                        <w14:solidFill>
                          <w14:schemeClr w14:val="tx1"/>
                        </w14:solidFill>
                      </w14:textFill>
                    </w:rPr>
                  </w:pPr>
                </w:p>
              </w:tc>
              <w:tc>
                <w:tcPr>
                  <w:tcW w:w="1170"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t>合计</w:t>
                  </w:r>
                </w:p>
              </w:tc>
              <w:tc>
                <w:tcPr>
                  <w:tcW w:w="462"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m</w:t>
                  </w:r>
                  <w:r>
                    <w:rPr>
                      <w:rFonts w:hint="default" w:ascii="Times New Roman" w:hAnsi="Times New Roman" w:eastAsia="华文中宋" w:cs="Times New Roman"/>
                      <w:color w:val="000000" w:themeColor="text1"/>
                      <w:kern w:val="0"/>
                      <w:sz w:val="21"/>
                      <w:szCs w:val="21"/>
                      <w:vertAlign w:val="superscript"/>
                      <w14:textFill>
                        <w14:solidFill>
                          <w14:schemeClr w14:val="tx1"/>
                        </w14:solidFill>
                      </w14:textFill>
                    </w:rPr>
                    <w:t>2</w:t>
                  </w:r>
                </w:p>
              </w:tc>
              <w:tc>
                <w:tcPr>
                  <w:tcW w:w="61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1"/>
                      <w:szCs w:val="21"/>
                      <w:highlight w:val="none"/>
                      <w:lang w:val="en-US" w:eastAsia="zh-CN"/>
                      <w14:textFill>
                        <w14:solidFill>
                          <w14:schemeClr w14:val="tx1"/>
                        </w14:solidFill>
                      </w14:textFill>
                    </w:rPr>
                    <w:t>18003</w:t>
                  </w:r>
                </w:p>
              </w:tc>
              <w:tc>
                <w:tcPr>
                  <w:tcW w:w="94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14:textFill>
                        <w14:solidFill>
                          <w14:schemeClr w14:val="tx1"/>
                        </w14:solidFill>
                      </w14:textFill>
                    </w:rPr>
                  </w:pPr>
                </w:p>
              </w:tc>
              <w:tc>
                <w:tcPr>
                  <w:tcW w:w="1383"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spacing w:line="260" w:lineRule="exact"/>
                    <w:ind w:firstLine="0" w:firstLineChars="0"/>
                    <w:jc w:val="center"/>
                    <w:textAlignment w:val="baseline"/>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pPr>
                </w:p>
              </w:tc>
            </w:tr>
          </w:tbl>
          <w:p>
            <w:pPr>
              <w:bidi w:val="0"/>
              <w:ind w:left="0" w:leftChars="0" w:firstLine="0" w:firstLineChars="0"/>
              <w:jc w:val="left"/>
              <w:rPr>
                <w:rFonts w:hint="default" w:ascii="Times New Roman" w:hAnsi="Times New Roman" w:eastAsia="华文中宋" w:cs="Times New Roman"/>
                <w:color w:val="000000" w:themeColor="text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8" w:type="dxa"/>
            <w:noWrap w:val="0"/>
            <w:vAlign w:val="center"/>
          </w:tcPr>
          <w:p>
            <w:pPr>
              <w:adjustRightInd w:val="0"/>
              <w:snapToGrid w:val="0"/>
              <w:ind w:left="0" w:leftChars="0" w:firstLine="0" w:firstLineChars="0"/>
              <w:jc w:val="both"/>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4"/>
                <w14:textFill>
                  <w14:solidFill>
                    <w14:schemeClr w14:val="tx1"/>
                  </w14:solidFill>
                </w14:textFill>
              </w:rPr>
              <w:t>总平面及现场布置</w:t>
            </w:r>
          </w:p>
        </w:tc>
        <w:tc>
          <w:tcPr>
            <w:tcW w:w="8332" w:type="dxa"/>
            <w:noWrap w:val="0"/>
            <w:vAlign w:val="center"/>
          </w:tcPr>
          <w:p>
            <w:pPr>
              <w:keepNext w:val="0"/>
              <w:keepLines w:val="0"/>
              <w:pageBreakBefore w:val="0"/>
              <w:widowControl w:val="0"/>
              <w:kinsoku/>
              <w:wordWrap/>
              <w:overflowPunct/>
              <w:topLinePunct w:val="0"/>
              <w:autoSpaceDE/>
              <w:autoSpaceDN/>
              <w:bidi w:val="0"/>
              <w:spacing w:line="500" w:lineRule="exact"/>
              <w:ind w:firstLine="480" w:firstLineChars="200"/>
              <w:textAlignment w:val="auto"/>
              <w:outlineLvl w:val="2"/>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本工程为矿产资源勘探工程，工程主要内容为槽探、钻探。本项目主要组成部分有：勘查区和生活区。勘查区面积18.99平方公里；生活区位于勘查区北部，主要由彩钢板房、生活污水收集池、仓储、柴油发电机等设施组成。仓储设施主要存放岩心样品和勘探设备及材料。各勘探孔附近可利用循环池循环泥浆。故本项目平面布置合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本项目平面布置详见</w:t>
            </w:r>
            <w:r>
              <w:rPr>
                <w:rFonts w:hint="default" w:ascii="Times New Roman" w:hAnsi="Times New Roman" w:eastAsia="华文中宋" w:cs="Times New Roman"/>
                <w:color w:val="000000" w:themeColor="text1"/>
                <w:kern w:val="0"/>
                <w:sz w:val="24"/>
                <w:szCs w:val="24"/>
                <w:highlight w:val="none"/>
                <w:lang w:val="en-US" w:eastAsia="zh-CN"/>
                <w14:textFill>
                  <w14:solidFill>
                    <w14:schemeClr w14:val="tx1"/>
                  </w14:solidFill>
                </w14:textFill>
              </w:rPr>
              <w:t>附图4 项目区平面布置图。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758" w:type="dxa"/>
            <w:noWrap w:val="0"/>
            <w:vAlign w:val="center"/>
          </w:tcPr>
          <w:p>
            <w:pPr>
              <w:adjustRightInd w:val="0"/>
              <w:snapToGrid w:val="0"/>
              <w:ind w:left="0" w:leftChars="0" w:firstLine="0" w:firstLineChars="0"/>
              <w:jc w:val="both"/>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4"/>
                <w14:textFill>
                  <w14:solidFill>
                    <w14:schemeClr w14:val="tx1"/>
                  </w14:solidFill>
                </w14:textFill>
              </w:rPr>
              <w:t>施工方案</w:t>
            </w:r>
          </w:p>
        </w:tc>
        <w:tc>
          <w:tcPr>
            <w:tcW w:w="8332" w:type="dxa"/>
            <w:noWrap w:val="0"/>
            <w:vAlign w:val="center"/>
          </w:tcPr>
          <w:p>
            <w:pPr>
              <w:pStyle w:val="96"/>
              <w:bidi w:val="0"/>
              <w:jc w:val="left"/>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1.施工期工艺流程</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本项目为新建项目，施工期主要污染来自临时生活营地建设和道路修建时产生的施工扬尘、施工噪声、开挖土石方等，施工期工艺流程图及产污环节见下图。</w:t>
            </w:r>
          </w:p>
          <w:p>
            <w:pPr>
              <w:pStyle w:val="95"/>
              <w:bidi w:val="0"/>
              <w:spacing w:line="240" w:lineRule="auto"/>
              <w:ind w:left="0" w:leftChars="0" w:firstLine="0" w:firstLineChars="0"/>
              <w:jc w:val="center"/>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drawing>
                <wp:inline distT="0" distB="0" distL="114300" distR="114300">
                  <wp:extent cx="4580890" cy="1332230"/>
                  <wp:effectExtent l="9525" t="9525" r="19685" b="1714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4580890" cy="1332230"/>
                          </a:xfrm>
                          <a:prstGeom prst="rect">
                            <a:avLst/>
                          </a:prstGeom>
                          <a:noFill/>
                          <a:ln>
                            <a:solidFill>
                              <a:schemeClr val="tx1"/>
                            </a:solidFill>
                          </a:ln>
                        </pic:spPr>
                      </pic:pic>
                    </a:graphicData>
                  </a:graphic>
                </wp:inline>
              </w:drawing>
            </w:r>
          </w:p>
          <w:p>
            <w:pPr>
              <w:pStyle w:val="97"/>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图2-1    生活营地建设工艺及产污环节图</w:t>
            </w:r>
          </w:p>
          <w:p>
            <w:pPr>
              <w:pStyle w:val="9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drawing>
                <wp:inline distT="0" distB="0" distL="114300" distR="114300">
                  <wp:extent cx="4582160" cy="1666240"/>
                  <wp:effectExtent l="9525" t="9525" r="18415" b="1333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2"/>
                          <a:stretch>
                            <a:fillRect/>
                          </a:stretch>
                        </pic:blipFill>
                        <pic:spPr>
                          <a:xfrm>
                            <a:off x="0" y="0"/>
                            <a:ext cx="4582160" cy="1666240"/>
                          </a:xfrm>
                          <a:prstGeom prst="rect">
                            <a:avLst/>
                          </a:prstGeom>
                          <a:noFill/>
                          <a:ln>
                            <a:solidFill>
                              <a:schemeClr val="tx1"/>
                            </a:solidFill>
                          </a:ln>
                        </pic:spPr>
                      </pic:pic>
                    </a:graphicData>
                  </a:graphic>
                </wp:inline>
              </w:drawing>
            </w:r>
          </w:p>
          <w:p>
            <w:pPr>
              <w:pStyle w:val="97"/>
              <w:bidi w:val="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图2-</w:t>
            </w:r>
            <w:r>
              <w:rPr>
                <w:rFonts w:hint="default" w:ascii="Times New Roman" w:hAnsi="Times New Roman" w:eastAsia="华文中宋" w:cs="Times New Roman"/>
                <w:color w:val="000000" w:themeColor="text1"/>
                <w:lang w:val="en-US" w:eastAsia="zh-CN"/>
                <w14:textFill>
                  <w14:solidFill>
                    <w14:schemeClr w14:val="tx1"/>
                  </w14:solidFill>
                </w14:textFill>
              </w:rPr>
              <w:t>2</w:t>
            </w:r>
            <w:r>
              <w:rPr>
                <w:rFonts w:hint="default" w:ascii="Times New Roman" w:hAnsi="Times New Roman" w:eastAsia="华文中宋" w:cs="Times New Roman"/>
                <w:color w:val="000000" w:themeColor="text1"/>
                <w14:textFill>
                  <w14:solidFill>
                    <w14:schemeClr w14:val="tx1"/>
                  </w14:solidFill>
                </w14:textFill>
              </w:rPr>
              <w:t xml:space="preserve">    道路修建工艺及产污环节图</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道路施工的施工工序为：路基地表清理、土方开挖→土方回填、原土夯实→摊铺、压实。</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路基处理：采用挖掘机清除施工范围内的碎石等杂物以保证基底土的密实，其中表土剥离厚度大概约0.3m。</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土方开挖：根据路基标高进行土方开挖，采用挖掘机开挖、自卸汽车运输。对于适用的土方，开挖前清除地表不良土质。不论开挖量和深度大小，均应自上而下分层分段开挖，不得乱挖超挖。根据开挖深度和长度确定开挖方法：开挖方法主要有横挖法、纵挖法和混合式开挖法。</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路基填方：用不含有腐殖土、树根、草泥或其他有害物质的挖方土填筑。道路基础填料后，用推土机将填料大致整平，再用平地机整平，用压路机压实。</w:t>
            </w:r>
          </w:p>
          <w:p>
            <w:pPr>
              <w:bidi w:val="0"/>
              <w:rPr>
                <w:rFonts w:hint="default" w:ascii="Times New Roman" w:hAnsi="Times New Roman" w:eastAsia="华文中宋" w:cs="Times New Roman"/>
                <w:b/>
                <w:bCs/>
                <w:color w:val="000000" w:themeColor="text1"/>
                <w:lang w:val="en-US" w:eastAsia="zh-CN"/>
                <w14:textFill>
                  <w14:solidFill>
                    <w14:schemeClr w14:val="tx1"/>
                  </w14:solidFill>
                </w14:textFill>
              </w:rPr>
            </w:pPr>
            <w:r>
              <w:rPr>
                <w:rFonts w:hint="default" w:ascii="Times New Roman" w:hAnsi="Times New Roman" w:eastAsia="华文中宋" w:cs="Times New Roman"/>
                <w:b/>
                <w:bCs/>
                <w:color w:val="000000" w:themeColor="text1"/>
                <w:lang w:val="en-US" w:eastAsia="zh-CN"/>
                <w14:textFill>
                  <w14:solidFill>
                    <w14:schemeClr w14:val="tx1"/>
                  </w14:solidFill>
                </w14:textFill>
              </w:rPr>
              <w:t>2、勘探期工艺流程</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0" w:firstLineChars="0"/>
              <w:jc w:val="center"/>
              <w:textAlignment w:val="auto"/>
              <w:rPr>
                <w:rFonts w:hint="default" w:ascii="Times New Roman" w:hAnsi="Times New Roman" w:eastAsia="华文中宋" w:cs="Times New Roman"/>
                <w:b w:val="0"/>
                <w:bCs w:val="0"/>
                <w:color w:val="000000" w:themeColor="text1"/>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lang w:val="en-US" w:eastAsia="zh-CN"/>
                <w14:textFill>
                  <w14:solidFill>
                    <w14:schemeClr w14:val="tx1"/>
                  </w14:solidFill>
                </w14:textFill>
              </w:rPr>
              <w:drawing>
                <wp:inline distT="0" distB="0" distL="114300" distR="114300">
                  <wp:extent cx="5147945" cy="1798955"/>
                  <wp:effectExtent l="9525" t="9525" r="11430" b="20320"/>
                  <wp:docPr id="2" name="图片 2" descr="e8f5d2c2-efa9-447b-a1e9-b84bdc3bc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8f5d2c2-efa9-447b-a1e9-b84bdc3bc945"/>
                          <pic:cNvPicPr>
                            <a:picLocks noChangeAspect="1"/>
                          </pic:cNvPicPr>
                        </pic:nvPicPr>
                        <pic:blipFill>
                          <a:blip r:embed="rId13"/>
                          <a:stretch>
                            <a:fillRect/>
                          </a:stretch>
                        </pic:blipFill>
                        <pic:spPr>
                          <a:xfrm>
                            <a:off x="0" y="0"/>
                            <a:ext cx="5147945" cy="1798955"/>
                          </a:xfrm>
                          <a:prstGeom prst="rect">
                            <a:avLst/>
                          </a:prstGeom>
                          <a:ln>
                            <a:solidFill>
                              <a:schemeClr val="tx1"/>
                            </a:solidFill>
                          </a:ln>
                        </pic:spPr>
                      </pic:pic>
                    </a:graphicData>
                  </a:graphic>
                </wp:inline>
              </w:drawing>
            </w:r>
          </w:p>
          <w:p>
            <w:pPr>
              <w:adjustRightInd w:val="0"/>
              <w:snapToGrid w:val="0"/>
              <w:spacing w:line="480" w:lineRule="exact"/>
              <w:ind w:firstLine="480" w:firstLineChars="200"/>
              <w:jc w:val="center"/>
              <w:rPr>
                <w:rFonts w:hint="default" w:ascii="Times New Roman" w:hAnsi="Times New Roman" w:eastAsia="华文中宋" w:cs="Times New Roman"/>
                <w:b/>
                <w:bCs/>
                <w:color w:val="000000" w:themeColor="text1"/>
                <w14:textFill>
                  <w14:solidFill>
                    <w14:schemeClr w14:val="tx1"/>
                  </w14:solidFill>
                </w14:textFill>
              </w:rPr>
            </w:pPr>
            <w:r>
              <w:rPr>
                <w:rFonts w:hint="default" w:ascii="Times New Roman" w:hAnsi="Times New Roman" w:eastAsia="华文中宋" w:cs="Times New Roman"/>
                <w:b/>
                <w:bCs/>
                <w:color w:val="000000" w:themeColor="text1"/>
                <w14:textFill>
                  <w14:solidFill>
                    <w14:schemeClr w14:val="tx1"/>
                  </w14:solidFill>
                </w14:textFill>
              </w:rPr>
              <w:t>图</w:t>
            </w:r>
            <w:r>
              <w:rPr>
                <w:rFonts w:hint="default" w:ascii="Times New Roman" w:hAnsi="Times New Roman" w:eastAsia="华文中宋" w:cs="Times New Roman"/>
                <w:b/>
                <w:bCs/>
                <w:color w:val="000000" w:themeColor="text1"/>
                <w:lang w:val="en-US" w:eastAsia="zh-CN"/>
                <w14:textFill>
                  <w14:solidFill>
                    <w14:schemeClr w14:val="tx1"/>
                  </w14:solidFill>
                </w14:textFill>
              </w:rPr>
              <w:t>2-3</w:t>
            </w:r>
            <w:r>
              <w:rPr>
                <w:rFonts w:hint="default" w:ascii="Times New Roman" w:hAnsi="Times New Roman" w:eastAsia="华文中宋" w:cs="Times New Roman"/>
                <w:b/>
                <w:bCs/>
                <w:color w:val="000000" w:themeColor="text1"/>
                <w14:textFill>
                  <w14:solidFill>
                    <w14:schemeClr w14:val="tx1"/>
                  </w14:solidFill>
                </w14:textFill>
              </w:rPr>
              <w:t xml:space="preserve">  </w:t>
            </w:r>
            <w:r>
              <w:rPr>
                <w:rFonts w:hint="default" w:ascii="Times New Roman" w:hAnsi="Times New Roman" w:eastAsia="华文中宋" w:cs="Times New Roman"/>
                <w:b/>
                <w:bCs/>
                <w:color w:val="000000" w:themeColor="text1"/>
                <w:lang w:val="en-US" w:eastAsia="zh-CN"/>
                <w14:textFill>
                  <w14:solidFill>
                    <w14:schemeClr w14:val="tx1"/>
                  </w14:solidFill>
                </w14:textFill>
              </w:rPr>
              <w:t>项目工艺流程及产污节点示意</w:t>
            </w:r>
            <w:r>
              <w:rPr>
                <w:rFonts w:hint="default" w:ascii="Times New Roman" w:hAnsi="Times New Roman" w:eastAsia="华文中宋" w:cs="Times New Roman"/>
                <w:b/>
                <w:bCs/>
                <w:color w:val="000000" w:themeColor="text1"/>
                <w14:textFill>
                  <w14:solidFill>
                    <w14:schemeClr w14:val="tx1"/>
                  </w14:solidFill>
                </w14:textFill>
              </w:rPr>
              <w:t>图</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工艺流程简述：</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1）测量工作：测量包括地形测量和地质测量，主要是对槽探、钻孔等探矿工程采用经纬仪或全站仪进行精确定位。平面坐标系采用2000年坐标系，高程控制采用1985年黄海高程系，工作精度为精测。工作要求：钻孔定位经三测（初测、定测、复测）。</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2）钻探工作：按照勘查区勘探工作程度要求，钻探工程用于揭露控制矿体倾斜延伸深部变化情况，探获各类资源量。钻探的施工方式为钻机施工，钻孔液为水基，钻孔设置抽水泵，不断将此部分水注入钻杆从而形成循环水。</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钻探总工作量：500米，共2个孔，钻孔平均孔深250米。在矿化较好地段，按沿倾向和走向以勘探阶段工程布置要求钻孔间距100-200米工程间距施工钻探，以了解矿化向下的延深情况；规模、分布、形状等。在矿体变化复杂或品位较低的区域钻空间距加密至50-100米，以提高控制精度。</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所有钻探工作量与钻孔位置都要根据野外工作成果可适当的调整。钻孔位置采用仪器法定位，钻孔孔径终孔时不得小于75mm。</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3）槽探工作：槽探是坑探的一种类型。其特点是人员可进入工程内部，对所揭露的地质及矿产现象能进行直接观测及采样，能检验钻探资料或成果的可靠程度，获得比较精确的地质资料，探明精度较高的矿产储量。</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野外工作中依据地质测量观察情况，根据实际矿化蚀变带采用100-200m的工程间距对矿化体进行揭露控制，探槽方位的确定以基本垂直所揭露地质体总体走向为原则。</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本次槽探总工作量：2000立方米，共5条。所布置的槽探位置与工作量根据地形，地貌，矿化蚀变带揭露情况可适当调整。槽探工程主要采用机械挖掘进行施工，槽口平均宽1.20米～1.50米，底平均宽1.20米～1.50米，平均深1.50米，各槽探完工后均埋桩编号建立固定标志。编录过程根据实际岩性变化进行分层描述、素描，在矿化地段布置样品，</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样品的布置以控制主矿体及矿化为目的，采样位置用铁丝加红布条实地标注，并在样品两端用记号笔标记箭头指示采样方向，由专人负责检查，满足地质规范要求，验收合格后进行槽探回填，平整。</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（4）采样：样品采集工作方法和技术要求执行《固体矿产样品采集规范》，各样品采集和送检过程中，严格采取防止污染、混淆、遗失的有效措施。样品采集后及时送有资质的化验测试单位进行矿石化验测试。</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（5）就地回填：作业结束后，及时拆除施工设备和设施，将开挖的碎石回填，同时利用表土进行覆盖，逐步复原生态环境。</w:t>
            </w:r>
          </w:p>
          <w:p>
            <w:pPr>
              <w:numPr>
                <w:ilvl w:val="0"/>
                <w:numId w:val="0"/>
              </w:numPr>
              <w:bidi w:val="0"/>
              <w:ind w:firstLine="480" w:firstLineChars="200"/>
              <w:rPr>
                <w:rFonts w:hint="default" w:ascii="Times New Roman" w:hAnsi="Times New Roman" w:eastAsia="华文中宋" w:cs="Times New Roman"/>
                <w:b/>
                <w:bCs/>
                <w:color w:val="000000" w:themeColor="text1"/>
                <w:lang w:val="en-US" w:eastAsia="zh-CN"/>
                <w14:textFill>
                  <w14:solidFill>
                    <w14:schemeClr w14:val="tx1"/>
                  </w14:solidFill>
                </w14:textFill>
              </w:rPr>
            </w:pPr>
            <w:r>
              <w:rPr>
                <w:rFonts w:hint="default" w:ascii="Times New Roman" w:hAnsi="Times New Roman" w:eastAsia="华文中宋" w:cs="Times New Roman"/>
                <w:b/>
                <w:bCs/>
                <w:color w:val="000000" w:themeColor="text1"/>
                <w:lang w:val="en-US" w:eastAsia="zh-CN"/>
                <w14:textFill>
                  <w14:solidFill>
                    <w14:schemeClr w14:val="tx1"/>
                  </w14:solidFill>
                </w14:textFill>
              </w:rPr>
              <w:t>3、探矿期勘察工作规范</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根据《绿色地质勘查工作规范》DZ/T0374-2021，项目在勘察过程中按以下方案进行施工：</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驻地建设：控制驻地占地面积，合理规划布局项目驻地工作区和生活区。生活区应保障相关配套设施，保持安全、卫生、整洁。项目驻地应明确绿色勘查岗位职责，建立配套管理制度，规范设置项目概况、环境保护措施等标示牌，驻地管理应符合DZ/T0351—2020要求。</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槽探：槽探施工可采用机械施工和人工开挖两种方式。交通方便，不需新修施工运输道路的地段，可采用机械施工；交通不便、植被茂密的地段，宜采用人工开挖，以避免修路及机械施工造成土地、植被景观的破坏。</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在陡斜地段开挖探槽产生的岩土，应采用可降解材料编织袋装袋，依次堆码于探槽两侧2m~5m范围内较平缓稳定区域，堆放高度不宜超过2m,确保堆填边坡稳定。探槽上方禁止堆放土石，预防形成滑塌或坡面泥石流等次生灾害。</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探槽经地质观测、编录、采样及验收等工作结束后，不需保留的探槽应及时逆序回填压实，应保留回填前后的探槽照片；确需保留的探槽应设立明显标识，对深度较大又确需保留的探槽，应做好围挡设施防止人畜误入造成伤害。</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钻探：钻探施工中产生的沉渣、废浆应设置专用存储池，经沉淀和固化处理后，应满足GB18599要求；未达到要求的严禁向外排放。施工中产生的废料、生活垃圾、钻孔渣土等固体废弃物应及时清理，分类存储，回收利用，按相关管理规定进行现场处置及外运。</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钻孔终孔后应按照相关设计做好封孔工作，实行全孔封闭，并设置永久性标志，确保封孔质量，以恢复地下水环境或减轻钻探施工对地下水环境造成的扰动影响。</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场地修复：地质勘查工作结束后，应及时撤除施工场地和项目驻地的设备、不再使用的临建房屋及水电管线等各项设施，回收各种宣传牌、标示牌、警示牌、防滑防压网、土工布，清理干净场地内固体废弃物及生活垃圾。</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项目驻地和探槽、钻孔(钻井)施工产生的坑、井、池、沟等，用开挖堆放的土石进行分层回填，按后挖的土石先填、先挖的土石后填的顺序进行回填并夯实底部基岩碎石，再回填平整底土，达到勘查设计中环境修复措施要求。斜坡沟槽回填时，应分段进行，自下而上用袋装土石依次堆码回填，避免产生滑动及洪水冲蚀，必要时做好围挡措施。</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损毁土地复原后，应将开挖前的表土均匀覆盖在底土之上，草地有效覆土厚度大于20cm。</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剥离的草皮应全部复植。将原剥离的根系腐殖土铺垫在覆盖的表土上，再将剥离养护的植被依次紧凑铺平复植。植被复植后应适当浇水养护，确保与开挖前状态基本一致。</w:t>
            </w:r>
          </w:p>
          <w:p>
            <w:pPr>
              <w:bidi w:val="0"/>
              <w:rPr>
                <w:rFonts w:hint="default" w:ascii="Times New Roman" w:hAnsi="Times New Roman" w:eastAsia="华文中宋" w:cs="Times New Roman"/>
                <w:b/>
                <w:bCs/>
                <w:color w:val="000000" w:themeColor="text1"/>
                <w:lang w:val="en-US" w:eastAsia="zh-CN"/>
                <w14:textFill>
                  <w14:solidFill>
                    <w14:schemeClr w14:val="tx1"/>
                  </w14:solidFill>
                </w14:textFill>
              </w:rPr>
            </w:pPr>
            <w:r>
              <w:rPr>
                <w:rFonts w:hint="default" w:ascii="Times New Roman" w:hAnsi="Times New Roman" w:eastAsia="华文中宋" w:cs="Times New Roman"/>
                <w:b/>
                <w:bCs/>
                <w:color w:val="000000" w:themeColor="text1"/>
                <w:lang w:val="en-US" w:eastAsia="zh-CN"/>
                <w14:textFill>
                  <w14:solidFill>
                    <w14:schemeClr w14:val="tx1"/>
                  </w14:solidFill>
                </w14:textFill>
              </w:rPr>
              <w:t>4、施工安排</w:t>
            </w:r>
          </w:p>
          <w:p>
            <w:pPr>
              <w:bidi w:val="0"/>
              <w:rPr>
                <w:rFonts w:hint="default" w:ascii="Times New Roman" w:hAnsi="Times New Roman" w:eastAsia="华文中宋" w:cs="Times New Roman"/>
                <w:b w:val="0"/>
                <w:bCs w:val="0"/>
                <w:color w:val="000000" w:themeColor="text1"/>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lang w:val="en-US" w:eastAsia="zh-CN"/>
                <w14:textFill>
                  <w14:solidFill>
                    <w14:schemeClr w14:val="tx1"/>
                  </w14:solidFill>
                </w14:textFill>
              </w:rPr>
              <w:t>本项目计划于2026年9月30日前完成野外工作，后续综合整理、获取各种样品成果资料，编写并提交《新疆且末县苏盖提坎铜镍矿地质普查报告》及相关附图、附表。</w:t>
            </w:r>
          </w:p>
          <w:p>
            <w:pPr>
              <w:bidi w:val="0"/>
              <w:rPr>
                <w:rFonts w:hint="default" w:ascii="Times New Roman" w:hAnsi="Times New Roman" w:eastAsia="华文中宋" w:cs="Times New Roman"/>
                <w:b/>
                <w:bCs/>
                <w:color w:val="000000" w:themeColor="text1"/>
                <w:lang w:val="en-US" w:eastAsia="zh-CN"/>
                <w14:textFill>
                  <w14:solidFill>
                    <w14:schemeClr w14:val="tx1"/>
                  </w14:solidFill>
                </w14:textFill>
              </w:rPr>
            </w:pPr>
            <w:r>
              <w:rPr>
                <w:rFonts w:hint="default" w:ascii="Times New Roman" w:hAnsi="Times New Roman" w:eastAsia="华文中宋" w:cs="Times New Roman"/>
                <w:b/>
                <w:bCs/>
                <w:color w:val="000000" w:themeColor="text1"/>
                <w:lang w:val="en-US" w:eastAsia="zh-CN"/>
                <w14:textFill>
                  <w14:solidFill>
                    <w14:schemeClr w14:val="tx1"/>
                  </w14:solidFill>
                </w14:textFill>
              </w:rPr>
              <w:t>5、运营期工艺流程</w:t>
            </w:r>
          </w:p>
          <w:p>
            <w:pPr>
              <w:bidi w:val="0"/>
              <w:rPr>
                <w:rFonts w:hint="default" w:ascii="Times New Roman" w:hAnsi="Times New Roman" w:eastAsia="华文中宋" w:cs="Times New Roman"/>
                <w:b w:val="0"/>
                <w:bCs w:val="0"/>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highlight w:val="none"/>
                <w:lang w:val="en-US" w:eastAsia="zh-CN"/>
                <w14:textFill>
                  <w14:solidFill>
                    <w14:schemeClr w14:val="tx1"/>
                  </w14:solidFill>
                </w14:textFill>
              </w:rPr>
              <w:t>通过详查及勘查，若勘查报告表明矿产所属范围具有开采价值，将对矿产所属范围进行矿产开采。本次环评只针对本项目勘探所产生的环境影响进行评价，根据勘查结果若后期需要对矿体进行开采，矿体开采的影响及矿区封矿后的环境影响应单独进行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7" w:hRule="atLeast"/>
          <w:jc w:val="center"/>
        </w:trPr>
        <w:tc>
          <w:tcPr>
            <w:tcW w:w="758" w:type="dxa"/>
            <w:noWrap w:val="0"/>
            <w:vAlign w:val="center"/>
          </w:tcPr>
          <w:p>
            <w:pPr>
              <w:adjustRightInd w:val="0"/>
              <w:snapToGrid w:val="0"/>
              <w:ind w:left="0" w:leftChars="0" w:firstLine="0" w:firstLineChars="0"/>
              <w:jc w:val="both"/>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4"/>
                <w14:textFill>
                  <w14:solidFill>
                    <w14:schemeClr w14:val="tx1"/>
                  </w14:solidFill>
                </w14:textFill>
              </w:rPr>
              <w:t>其他</w:t>
            </w:r>
          </w:p>
        </w:tc>
        <w:tc>
          <w:tcPr>
            <w:tcW w:w="8332" w:type="dxa"/>
            <w:noWrap w:val="0"/>
            <w:vAlign w:val="center"/>
          </w:tcPr>
          <w:p>
            <w:pPr>
              <w:adjustRightInd w:val="0"/>
              <w:snapToGrid w:val="0"/>
              <w:spacing w:line="360" w:lineRule="auto"/>
              <w:ind w:firstLine="480" w:firstLineChars="200"/>
              <w:jc w:val="left"/>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sz w:val="24"/>
                <w:szCs w:val="32"/>
                <w:lang w:eastAsia="zh-CN"/>
                <w14:textFill>
                  <w14:solidFill>
                    <w14:schemeClr w14:val="tx1"/>
                  </w14:solidFill>
                </w14:textFill>
              </w:rPr>
              <w:t>本项目为矿山勘探项目，无选址选线比选方案。</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根据项目建设区域占地情况，施工区域内不存在占用宅基地、农田等情况，因此本项目建设不存在移民搬迁等问题。</w:t>
            </w:r>
          </w:p>
        </w:tc>
      </w:tr>
    </w:tbl>
    <w:p>
      <w:pPr>
        <w:pStyle w:val="24"/>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Style w:val="36"/>
          <w:rFonts w:hint="default" w:ascii="Times New Roman" w:hAnsi="Times New Roman" w:eastAsia="华文中宋" w:cs="Times New Roman"/>
          <w:b/>
          <w:bCs/>
          <w:color w:val="000000" w:themeColor="text1"/>
          <w:lang w:val="en-US" w:eastAsia="zh-CN"/>
          <w14:textFill>
            <w14:solidFill>
              <w14:schemeClr w14:val="tx1"/>
            </w14:solidFill>
          </w14:textFill>
        </w:rPr>
      </w:pPr>
      <w:r>
        <w:rPr>
          <w:rFonts w:hint="default" w:ascii="Times New Roman" w:hAnsi="Times New Roman" w:eastAsia="华文中宋" w:cs="Times New Roman"/>
          <w:b/>
          <w:bCs/>
          <w:color w:val="000000" w:themeColor="text1"/>
          <w14:textFill>
            <w14:solidFill>
              <w14:schemeClr w14:val="tx1"/>
            </w14:solidFill>
          </w14:textFill>
        </w:rPr>
        <w:br w:type="page"/>
      </w:r>
      <w:bookmarkStart w:id="13" w:name="_Toc5457"/>
      <w:r>
        <w:rPr>
          <w:rStyle w:val="36"/>
          <w:rFonts w:hint="default" w:ascii="Times New Roman" w:hAnsi="Times New Roman" w:eastAsia="华文中宋" w:cs="Times New Roman"/>
          <w:b/>
          <w:bCs/>
          <w:color w:val="000000" w:themeColor="text1"/>
          <w:lang w:val="en-US" w:eastAsia="zh-CN"/>
          <w14:textFill>
            <w14:solidFill>
              <w14:schemeClr w14:val="tx1"/>
            </w14:solidFill>
          </w14:textFill>
        </w:rPr>
        <w:t>三、生态环境现状、保护目标及评价标准</w:t>
      </w:r>
      <w:bookmarkEnd w:id="13"/>
    </w:p>
    <w:tbl>
      <w:tblPr>
        <w:tblStyle w:val="29"/>
        <w:tblW w:w="91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2"/>
        <w:gridCol w:w="83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2" w:type="dxa"/>
            <w:noWrap w:val="0"/>
            <w:vAlign w:val="center"/>
          </w:tcPr>
          <w:p>
            <w:pPr>
              <w:adjustRightInd w:val="0"/>
              <w:snapToGrid w:val="0"/>
              <w:ind w:left="0" w:leftChars="0" w:firstLine="0" w:firstLineChars="0"/>
              <w:jc w:val="both"/>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4"/>
                <w14:textFill>
                  <w14:solidFill>
                    <w14:schemeClr w14:val="tx1"/>
                  </w14:solidFill>
                </w14:textFill>
              </w:rPr>
              <w:t>生态环境现状</w:t>
            </w:r>
          </w:p>
        </w:tc>
        <w:tc>
          <w:tcPr>
            <w:tcW w:w="8387" w:type="dxa"/>
            <w:noWrap w:val="0"/>
            <w:vAlign w:val="center"/>
          </w:tcPr>
          <w:p>
            <w:pPr>
              <w:bidi w:val="0"/>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bookmarkStart w:id="14" w:name="_Toc85024334"/>
            <w:bookmarkStart w:id="15" w:name="_Toc66694739"/>
            <w:bookmarkStart w:id="16" w:name="_Toc86921891"/>
            <w:bookmarkStart w:id="17" w:name="_Toc67285843"/>
            <w:bookmarkStart w:id="18" w:name="_Toc85024403"/>
            <w:bookmarkStart w:id="19" w:name="_Toc85528908"/>
            <w:bookmarkStart w:id="20" w:name="_Toc67387948"/>
            <w:bookmarkStart w:id="21" w:name="_Toc67229124"/>
            <w:bookmarkStart w:id="22" w:name="_Toc12747"/>
            <w:bookmarkStart w:id="23" w:name="_Toc346190411"/>
            <w:bookmarkStart w:id="24" w:name="_Toc346188395"/>
            <w:bookmarkStart w:id="25" w:name="_Toc5926"/>
            <w:bookmarkStart w:id="26" w:name="_Toc13071"/>
            <w:bookmarkStart w:id="27" w:name="_Toc340144172"/>
            <w:bookmarkStart w:id="28" w:name="_Toc23837"/>
            <w:bookmarkStart w:id="29" w:name="_Toc7335"/>
            <w:bookmarkStart w:id="30" w:name="_Toc5756"/>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1、生态环境现状</w:t>
            </w:r>
          </w:p>
          <w:p>
            <w:pPr>
              <w:bidi w:val="0"/>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（1）生态功能区划</w:t>
            </w:r>
          </w:p>
          <w:p>
            <w:pPr>
              <w:bidi w:val="0"/>
              <w:rPr>
                <w:rFonts w:hint="default" w:ascii="Times New Roman" w:hAnsi="Times New Roman" w:eastAsia="华文中宋" w:cs="Times New Roman"/>
                <w:b/>
                <w:color w:val="000000" w:themeColor="text1"/>
                <w:szCs w:val="21"/>
                <w14:textFill>
                  <w14:solidFill>
                    <w14:schemeClr w14:val="tx1"/>
                  </w14:solidFill>
                </w14:textFill>
              </w:rPr>
            </w:pPr>
            <w:r>
              <w:rPr>
                <w:rFonts w:hint="default" w:ascii="Times New Roman" w:hAnsi="Times New Roman" w:eastAsia="华文中宋" w:cs="Times New Roman"/>
                <w:color w:val="000000" w:themeColor="text1"/>
                <w:sz w:val="24"/>
                <w:szCs w:val="24"/>
                <w:highlight w:val="none"/>
                <w:lang w:eastAsia="zh-CN"/>
                <w14:textFill>
                  <w14:solidFill>
                    <w14:schemeClr w14:val="tx1"/>
                  </w14:solidFill>
                </w14:textFill>
              </w:rPr>
              <w:t>根据《新疆生态功能区划》，本项目所在区域属于“Ⅴ 帕米尔—昆仑山—阿尔金山荒漠干旱草原生态区”之“Ⅴ2 昆仑山高寒草原侵蚀控制生态亚区”中的“74．中昆仑山高寒荒漠草原保护生态功能区”。项目生态功能区划详见表 3-1。项目与新疆生态功能区划位置关系见附图</w:t>
            </w:r>
            <w:r>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华文中宋" w:cs="Times New Roman"/>
                <w:color w:val="000000" w:themeColor="text1"/>
                <w:sz w:val="24"/>
                <w:szCs w:val="24"/>
                <w:highlight w:val="none"/>
                <w:lang w:eastAsia="zh-CN"/>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default" w:ascii="Times New Roman" w:hAnsi="Times New Roman" w:eastAsia="华文中宋" w:cs="Times New Roman"/>
                <w:b/>
                <w:bCs/>
                <w:color w:val="000000" w:themeColor="text1"/>
                <w:kern w:val="2"/>
                <w:sz w:val="24"/>
                <w:szCs w:val="24"/>
                <w:highlight w:val="none"/>
                <w:lang w:eastAsia="zh-CN"/>
                <w14:textFill>
                  <w14:solidFill>
                    <w14:schemeClr w14:val="tx1"/>
                  </w14:solidFill>
                </w14:textFill>
              </w:rPr>
            </w:pPr>
            <w:r>
              <w:rPr>
                <w:rFonts w:hint="default" w:ascii="Times New Roman" w:hAnsi="Times New Roman" w:eastAsia="华文中宋" w:cs="Times New Roman"/>
                <w:b/>
                <w:bCs/>
                <w:color w:val="000000" w:themeColor="text1"/>
                <w:kern w:val="2"/>
                <w:sz w:val="24"/>
                <w:szCs w:val="24"/>
                <w:highlight w:val="none"/>
                <w:lang w:eastAsia="zh-CN"/>
                <w14:textFill>
                  <w14:solidFill>
                    <w14:schemeClr w14:val="tx1"/>
                  </w14:solidFill>
                </w14:textFill>
              </w:rPr>
              <w:t>表3-1         项目所属生态功能区划简表</w:t>
            </w:r>
          </w:p>
          <w:tbl>
            <w:tblPr>
              <w:tblStyle w:val="29"/>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341"/>
              <w:gridCol w:w="608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1"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pPr>
                  <w:r>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t>生态功能分区单元</w:t>
                  </w:r>
                </w:p>
              </w:tc>
              <w:tc>
                <w:tcPr>
                  <w:tcW w:w="82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华文中宋" w:cs="Times New Roman"/>
                      <w:b w:val="0"/>
                      <w:bCs w:val="0"/>
                      <w:color w:val="000000" w:themeColor="text1"/>
                      <w:kern w:val="2"/>
                      <w:sz w:val="21"/>
                      <w:szCs w:val="21"/>
                      <w:highlight w:val="none"/>
                      <w:lang w:eastAsia="zh-CN"/>
                      <w14:textFill>
                        <w14:solidFill>
                          <w14:schemeClr w14:val="tx1"/>
                        </w14:solidFill>
                      </w14:textFill>
                    </w:rPr>
                  </w:pPr>
                  <w:r>
                    <w:rPr>
                      <w:rFonts w:hint="default" w:ascii="Times New Roman" w:hAnsi="Times New Roman" w:eastAsia="华文中宋" w:cs="Times New Roman"/>
                      <w:b w:val="0"/>
                      <w:bCs w:val="0"/>
                      <w:color w:val="000000" w:themeColor="text1"/>
                      <w:kern w:val="2"/>
                      <w:sz w:val="21"/>
                      <w:szCs w:val="21"/>
                      <w:highlight w:val="none"/>
                      <w:lang w:eastAsia="zh-CN"/>
                      <w14:textFill>
                        <w14:solidFill>
                          <w14:schemeClr w14:val="tx1"/>
                        </w14:solidFill>
                      </w14:textFill>
                    </w:rPr>
                    <w:t>生态区</w:t>
                  </w:r>
                </w:p>
              </w:tc>
              <w:tc>
                <w:tcPr>
                  <w:tcW w:w="372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华文中宋" w:cs="Times New Roman"/>
                      <w:b w:val="0"/>
                      <w:bCs w:val="0"/>
                      <w:color w:val="000000" w:themeColor="text1"/>
                      <w:kern w:val="2"/>
                      <w:sz w:val="21"/>
                      <w:szCs w:val="21"/>
                      <w:highlight w:val="none"/>
                      <w:lang w:eastAsia="zh-CN"/>
                      <w14:textFill>
                        <w14:solidFill>
                          <w14:schemeClr w14:val="tx1"/>
                        </w14:solidFill>
                      </w14:textFill>
                    </w:rPr>
                  </w:pPr>
                  <w:r>
                    <w:rPr>
                      <w:rFonts w:hint="default" w:ascii="Times New Roman" w:hAnsi="Times New Roman" w:eastAsia="华文中宋" w:cs="Times New Roman"/>
                      <w:b w:val="0"/>
                      <w:bCs w:val="0"/>
                      <w:color w:val="000000" w:themeColor="text1"/>
                      <w:kern w:val="2"/>
                      <w:sz w:val="21"/>
                      <w:szCs w:val="21"/>
                      <w:highlight w:val="none"/>
                      <w:lang w:eastAsia="zh-CN"/>
                      <w14:textFill>
                        <w14:solidFill>
                          <w14:schemeClr w14:val="tx1"/>
                        </w14:solidFill>
                      </w14:textFill>
                    </w:rPr>
                    <w:t>Ⅴ 帕米尔—昆仑山—阿尔金山荒漠干旱草原生态区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1"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pPr>
                </w:p>
              </w:tc>
              <w:tc>
                <w:tcPr>
                  <w:tcW w:w="82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华文中宋" w:cs="Times New Roman"/>
                      <w:b w:val="0"/>
                      <w:bCs w:val="0"/>
                      <w:color w:val="000000" w:themeColor="text1"/>
                      <w:kern w:val="2"/>
                      <w:sz w:val="21"/>
                      <w:szCs w:val="21"/>
                      <w:highlight w:val="none"/>
                      <w:lang w:eastAsia="zh-CN"/>
                      <w14:textFill>
                        <w14:solidFill>
                          <w14:schemeClr w14:val="tx1"/>
                        </w14:solidFill>
                      </w14:textFill>
                    </w:rPr>
                  </w:pPr>
                  <w:r>
                    <w:rPr>
                      <w:rFonts w:hint="default" w:ascii="Times New Roman" w:hAnsi="Times New Roman" w:eastAsia="华文中宋" w:cs="Times New Roman"/>
                      <w:b w:val="0"/>
                      <w:bCs w:val="0"/>
                      <w:color w:val="000000" w:themeColor="text1"/>
                      <w:kern w:val="2"/>
                      <w:sz w:val="21"/>
                      <w:szCs w:val="21"/>
                      <w:highlight w:val="none"/>
                      <w:lang w:eastAsia="zh-CN"/>
                      <w14:textFill>
                        <w14:solidFill>
                          <w14:schemeClr w14:val="tx1"/>
                        </w14:solidFill>
                      </w14:textFill>
                    </w:rPr>
                    <w:t>生态亚区</w:t>
                  </w:r>
                </w:p>
              </w:tc>
              <w:tc>
                <w:tcPr>
                  <w:tcW w:w="372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华文中宋" w:cs="Times New Roman"/>
                      <w:b w:val="0"/>
                      <w:bCs w:val="0"/>
                      <w:color w:val="000000" w:themeColor="text1"/>
                      <w:kern w:val="2"/>
                      <w:sz w:val="21"/>
                      <w:szCs w:val="21"/>
                      <w:highlight w:val="none"/>
                      <w:lang w:eastAsia="zh-CN"/>
                      <w14:textFill>
                        <w14:solidFill>
                          <w14:schemeClr w14:val="tx1"/>
                        </w14:solidFill>
                      </w14:textFill>
                    </w:rPr>
                  </w:pPr>
                  <w:r>
                    <w:rPr>
                      <w:rFonts w:hint="default" w:ascii="Times New Roman" w:hAnsi="Times New Roman" w:eastAsia="华文中宋" w:cs="Times New Roman"/>
                      <w:b w:val="0"/>
                      <w:bCs w:val="0"/>
                      <w:color w:val="000000" w:themeColor="text1"/>
                      <w:kern w:val="2"/>
                      <w:sz w:val="21"/>
                      <w:szCs w:val="21"/>
                      <w:highlight w:val="none"/>
                      <w:lang w:eastAsia="zh-CN"/>
                      <w14:textFill>
                        <w14:solidFill>
                          <w14:schemeClr w14:val="tx1"/>
                        </w14:solidFill>
                      </w14:textFill>
                    </w:rPr>
                    <w:t>Ⅴ2 昆仑山高寒草原侵蚀控制生态亚区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1"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pPr>
                </w:p>
              </w:tc>
              <w:tc>
                <w:tcPr>
                  <w:tcW w:w="82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pPr>
                  <w:r>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t>生态功能区</w:t>
                  </w:r>
                </w:p>
              </w:tc>
              <w:tc>
                <w:tcPr>
                  <w:tcW w:w="372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pPr>
                  <w:r>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t>74．中昆仑山高寒荒漠草原保护生态功能区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272"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pPr>
                  <w:r>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t>主要生态服务功能</w:t>
                  </w:r>
                </w:p>
              </w:tc>
              <w:tc>
                <w:tcPr>
                  <w:tcW w:w="372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pPr>
                  <w:r>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t>土壤保持、生物多样性维护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272"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pPr>
                  <w:r>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t>主要生态环境问题</w:t>
                  </w:r>
                </w:p>
              </w:tc>
              <w:tc>
                <w:tcPr>
                  <w:tcW w:w="372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pPr>
                  <w:r>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t>草原过牧退化、草场虫害鼠害严重、人畜饮用水缺乏、樵采破坏山地草场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272"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pPr>
                  <w:r>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t>主要生态敏感因子、敏感程度</w:t>
                  </w:r>
                </w:p>
              </w:tc>
              <w:tc>
                <w:tcPr>
                  <w:tcW w:w="372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pPr>
                  <w:r>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t xml:space="preserve">生物多样性及其生境高度敏感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272"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pPr>
                  <w:r>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t>主要保护目标</w:t>
                  </w:r>
                </w:p>
              </w:tc>
              <w:tc>
                <w:tcPr>
                  <w:tcW w:w="372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pPr>
                  <w:r>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t>保护草地植被、保护野生动物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272"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pPr>
                  <w:r>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t>主要保护措施</w:t>
                  </w:r>
                </w:p>
              </w:tc>
              <w:tc>
                <w:tcPr>
                  <w:tcW w:w="372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pPr>
                  <w:r>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t>高寒草场退牧、对牧民实行生态搬迁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272"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pPr>
                  <w:r>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t>适宜发展方向</w:t>
                  </w:r>
                </w:p>
              </w:tc>
              <w:tc>
                <w:tcPr>
                  <w:tcW w:w="372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pPr>
                  <w:r>
                    <w:rPr>
                      <w:rFonts w:hint="default" w:ascii="Times New Roman" w:hAnsi="Times New Roman" w:eastAsia="华文中宋" w:cs="Times New Roman"/>
                      <w:bCs/>
                      <w:color w:val="000000" w:themeColor="text1"/>
                      <w:kern w:val="2"/>
                      <w:sz w:val="21"/>
                      <w:szCs w:val="21"/>
                      <w:highlight w:val="none"/>
                      <w:lang w:eastAsia="zh-CN"/>
                      <w14:textFill>
                        <w14:solidFill>
                          <w14:schemeClr w14:val="tx1"/>
                        </w14:solidFill>
                      </w14:textFill>
                    </w:rPr>
                    <w:t>实施高山牧民生态搬迁和定居舍饲，保持草地生态平衡，发挥涵养水源作用</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t>土地利用调查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sz w:val="24"/>
                <w:szCs w:val="24"/>
                <w:lang w:val="zh-CN"/>
                <w14:textFill>
                  <w14:solidFill>
                    <w14:schemeClr w14:val="tx1"/>
                  </w14:solidFill>
                </w14:textFill>
              </w:rPr>
              <w:t>按照《土地利用现状分类》GB/T21010-2007的土地利用分类标准，矿区范围内主要的土地利用类型为其他草地</w:t>
            </w:r>
            <w:r>
              <w:rPr>
                <w:rFonts w:hint="default" w:ascii="Times New Roman" w:hAnsi="Times New Roman" w:eastAsia="华文中宋" w:cs="Times New Roman"/>
                <w:color w:val="000000" w:themeColor="text1"/>
                <w:sz w:val="24"/>
                <w:szCs w:val="24"/>
                <w:lang w:val="zh-CN"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（3）土壤类型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华文中宋"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勘探区以高山漠土为主。土壤土层浅薄，厚度多浅于50厘米，表层有1～2厘米孔状结皮层和白色盐霜。有机质含量低，表层小于10克/千克，通体有石灰反应，表层之下出现碳酸钙白色粉末或假菌丝体，富含砾石。植被覆盖度不足10%，以耐旱植物为主。</w:t>
            </w:r>
            <w:r>
              <w:rPr>
                <w:rFonts w:hint="default" w:ascii="Times New Roman" w:hAnsi="Times New Roman" w:eastAsia="华文中宋" w:cs="Times New Roman"/>
                <w:color w:val="000000" w:themeColor="text1"/>
                <w:kern w:val="2"/>
                <w:sz w:val="24"/>
                <w:szCs w:val="24"/>
                <w:highlight w:val="none"/>
                <w:lang w:val="en-US" w:eastAsia="zh-CN" w:bidi="ar-SA"/>
                <w14:textFill>
                  <w14:solidFill>
                    <w14:schemeClr w14:val="tx1"/>
                  </w14:solidFill>
                </w14:textFill>
              </w:rPr>
              <w:t>土壤类型见附图6。</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（4）野生植物</w:t>
            </w:r>
          </w:p>
          <w:p>
            <w:pPr>
              <w:pStyle w:val="8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经现场调查，项目区植被覆盖类型有荒漠和高山植被。群落稀疏，植被类型简单，覆盖度较低。对照《新疆维吾尔自治区重点保护野生植物名录》（2024年发布），评价区未发现国家和自治区级野生保护植物种。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（5）野生动物现状调查</w:t>
            </w:r>
          </w:p>
          <w:p>
            <w:pPr>
              <w:pStyle w:val="8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按中国动物地理区划的分级标准，项目区属古北界、中亚亚界、蒙新区。勘探区地处青藏高原北缘东昆仑西段，属高寒气候。因气候寒冷和食物短缺，加之乔灌木植被稀少，无栖息及躲藏之地，野生动物分布数量较少且动物组成较为单一。</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Times New Roman" w:hAnsi="Times New Roman" w:eastAsia="华文中宋" w:cs="Times New Roman"/>
                <w:b w:val="0"/>
                <w:bCs w:val="0"/>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kern w:val="0"/>
                <w:sz w:val="24"/>
                <w:szCs w:val="24"/>
                <w:lang w:val="en-US" w:eastAsia="zh-CN"/>
                <w14:textFill>
                  <w14:solidFill>
                    <w14:schemeClr w14:val="tx1"/>
                  </w14:solidFill>
                </w14:textFill>
              </w:rPr>
              <w:t>（6）沙化土地现状</w:t>
            </w:r>
          </w:p>
          <w:p>
            <w:pPr>
              <w:pStyle w:val="8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sz w:val="24"/>
                <w:lang w:val="en-US" w:eastAsia="zh-CN"/>
                <w14:textFill>
                  <w14:solidFill>
                    <w14:schemeClr w14:val="tx1"/>
                  </w14:solidFill>
                </w14:textFill>
              </w:rPr>
              <w:t>根据《新疆防沙治沙规划（2021-</w:t>
            </w:r>
            <w:r>
              <w:rPr>
                <w:rFonts w:hint="default" w:ascii="Times New Roman" w:hAnsi="Times New Roman" w:eastAsia="华文中宋" w:cs="Times New Roman"/>
                <w:color w:val="000000" w:themeColor="text1"/>
                <w:sz w:val="24"/>
                <w:lang w:val="en-US" w:eastAsia="zh-CN"/>
                <w14:textFill>
                  <w14:solidFill>
                    <w14:schemeClr w14:val="tx1"/>
                  </w14:solidFill>
                </w14:textFill>
              </w:rPr>
              <w:softHyphen/>
            </w:r>
            <w:r>
              <w:rPr>
                <w:rFonts w:hint="default" w:ascii="Times New Roman" w:hAnsi="Times New Roman" w:eastAsia="华文中宋" w:cs="Times New Roman"/>
                <w:color w:val="000000" w:themeColor="text1"/>
                <w:sz w:val="24"/>
                <w:lang w:val="en-US" w:eastAsia="zh-CN"/>
                <w14:textFill>
                  <w14:solidFill>
                    <w14:schemeClr w14:val="tx1"/>
                  </w14:solidFill>
                </w14:textFill>
              </w:rPr>
              <w:t>2030年）》及《新疆第六次沙化监测报告》，本项目位于非沙化土地，</w:t>
            </w:r>
            <w:r>
              <w:rPr>
                <w:rFonts w:hint="default" w:ascii="Times New Roman" w:hAnsi="Times New Roman" w:eastAsia="华文中宋" w:cs="Times New Roman"/>
                <w:color w:val="000000" w:themeColor="text1"/>
                <w:sz w:val="24"/>
                <w:highlight w:val="none"/>
                <w:lang w:val="en-US" w:eastAsia="zh-CN"/>
                <w14:textFill>
                  <w14:solidFill>
                    <w14:schemeClr w14:val="tx1"/>
                  </w14:solidFill>
                </w14:textFill>
              </w:rPr>
              <w:t>具体见附图7。</w:t>
            </w:r>
          </w:p>
          <w:p>
            <w:pPr>
              <w:bidi w:val="0"/>
              <w:rPr>
                <w:rFonts w:hint="default" w:ascii="Times New Roman" w:hAnsi="Times New Roman" w:eastAsia="华文中宋" w:cs="Times New Roman"/>
                <w:b/>
                <w:bCs/>
                <w:color w:val="000000" w:themeColor="text1"/>
                <w:sz w:val="24"/>
                <w:szCs w:val="24"/>
                <w:lang w:val="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华文中宋" w:cs="Times New Roman"/>
                <w:b/>
                <w:bCs/>
                <w:color w:val="000000" w:themeColor="text1"/>
                <w:sz w:val="24"/>
                <w:szCs w:val="24"/>
                <w:lang w:val="zh-CN"/>
                <w14:textFill>
                  <w14:solidFill>
                    <w14:schemeClr w14:val="tx1"/>
                  </w14:solidFill>
                </w14:textFill>
              </w:rPr>
              <w:t>、大气环境现状调查</w:t>
            </w:r>
            <w:bookmarkEnd w:id="14"/>
            <w:bookmarkEnd w:id="15"/>
            <w:bookmarkEnd w:id="16"/>
            <w:bookmarkEnd w:id="17"/>
            <w:bookmarkEnd w:id="18"/>
            <w:bookmarkEnd w:id="19"/>
            <w:bookmarkEnd w:id="20"/>
            <w:bookmarkEnd w:id="21"/>
          </w:p>
          <w:p>
            <w:pPr>
              <w:bidi w:val="0"/>
              <w:rPr>
                <w:rFonts w:hint="default" w:ascii="Times New Roman" w:hAnsi="Times New Roman" w:eastAsia="华文中宋" w:cs="Times New Roman"/>
                <w:color w:val="000000" w:themeColor="text1"/>
                <w:sz w:val="24"/>
                <w:szCs w:val="24"/>
                <w:highlight w:val="none"/>
                <w14:textFill>
                  <w14:solidFill>
                    <w14:schemeClr w14:val="tx1"/>
                  </w14:solidFill>
                </w14:textFill>
              </w:rPr>
            </w:pPr>
            <w:r>
              <w:rPr>
                <w:rFonts w:hint="default" w:ascii="Times New Roman" w:hAnsi="Times New Roman" w:eastAsia="华文中宋" w:cs="Times New Roman"/>
                <w:color w:val="000000" w:themeColor="text1"/>
                <w:sz w:val="24"/>
                <w:szCs w:val="24"/>
                <w:highlight w:val="none"/>
                <w14:textFill>
                  <w14:solidFill>
                    <w14:schemeClr w14:val="tx1"/>
                  </w14:solidFill>
                </w14:textFill>
              </w:rPr>
              <w:t>根据《建设项目环境影响报告表编制技术指南</w:t>
            </w:r>
            <w:r>
              <w:rPr>
                <w:rFonts w:hint="default" w:ascii="Times New Roman" w:hAnsi="Times New Roman" w:eastAsia="华文中宋"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华文中宋" w:cs="Times New Roman"/>
                <w:color w:val="000000" w:themeColor="text1"/>
                <w:sz w:val="24"/>
                <w:szCs w:val="24"/>
                <w:highlight w:val="none"/>
                <w14:textFill>
                  <w14:solidFill>
                    <w14:schemeClr w14:val="tx1"/>
                  </w14:solidFill>
                </w14:textFill>
              </w:rPr>
              <w:t>污染影响类</w:t>
            </w:r>
            <w:r>
              <w:rPr>
                <w:rFonts w:hint="default" w:ascii="Times New Roman" w:hAnsi="Times New Roman" w:eastAsia="华文中宋"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eastAsia="zh-CN"/>
                <w14:textFill>
                  <w14:solidFill>
                    <w14:schemeClr w14:val="tx1"/>
                  </w14:solidFill>
                </w14:textFill>
              </w:rPr>
              <w:t>（试行）》</w:t>
            </w:r>
            <w:r>
              <w:rPr>
                <w:rFonts w:hint="default" w:ascii="Times New Roman" w:hAnsi="Times New Roman" w:eastAsia="华文中宋" w:cs="Times New Roman"/>
                <w:color w:val="000000" w:themeColor="text1"/>
                <w:sz w:val="24"/>
                <w:szCs w:val="24"/>
                <w:highlight w:val="none"/>
                <w14:textFill>
                  <w14:solidFill>
                    <w14:schemeClr w14:val="tx1"/>
                  </w14:solidFill>
                </w14:textFill>
              </w:rPr>
              <w:t>要求，常规污染物引用与建设项目距离近的有效数据，包括近3年的规划环境影响评价的监测数据，国家、地方环境空气质量监测网数据或生态环境主管部门公开发布的质量数据等。</w:t>
            </w:r>
          </w:p>
          <w:p>
            <w:pPr>
              <w:bidi w:val="0"/>
              <w:rPr>
                <w:rFonts w:hint="default" w:ascii="Times New Roman" w:hAnsi="Times New Roman" w:eastAsia="华文中宋" w:cs="Times New Roman"/>
                <w:color w:val="000000" w:themeColor="text1"/>
                <w:sz w:val="24"/>
                <w:szCs w:val="24"/>
                <w:highlight w:val="none"/>
                <w14:textFill>
                  <w14:solidFill>
                    <w14:schemeClr w14:val="tx1"/>
                  </w14:solidFill>
                </w14:textFill>
              </w:rPr>
            </w:pPr>
            <w:r>
              <w:rPr>
                <w:rFonts w:hint="default" w:ascii="Times New Roman" w:hAnsi="Times New Roman" w:eastAsia="华文中宋" w:cs="Times New Roman"/>
                <w:color w:val="000000" w:themeColor="text1"/>
                <w:sz w:val="24"/>
                <w:szCs w:val="24"/>
                <w:highlight w:val="none"/>
                <w14:textFill>
                  <w14:solidFill>
                    <w14:schemeClr w14:val="tx1"/>
                  </w14:solidFill>
                </w14:textFill>
              </w:rPr>
              <w:t>本环评选取大气环境质量常规因子SO</w:t>
            </w:r>
            <w:r>
              <w:rPr>
                <w:rFonts w:hint="default" w:ascii="Times New Roman" w:hAnsi="Times New Roman" w:eastAsia="华文中宋" w:cs="Times New Roman"/>
                <w:color w:val="000000" w:themeColor="text1"/>
                <w:sz w:val="24"/>
                <w:szCs w:val="24"/>
                <w:highlight w:val="none"/>
                <w:vertAlign w:val="subscript"/>
                <w14:textFill>
                  <w14:solidFill>
                    <w14:schemeClr w14:val="tx1"/>
                  </w14:solidFill>
                </w14:textFill>
              </w:rPr>
              <w:t>2</w:t>
            </w:r>
            <w:r>
              <w:rPr>
                <w:rFonts w:hint="default" w:ascii="Times New Roman" w:hAnsi="Times New Roman" w:eastAsia="华文中宋" w:cs="Times New Roman"/>
                <w:color w:val="000000" w:themeColor="text1"/>
                <w:sz w:val="24"/>
                <w:szCs w:val="24"/>
                <w:highlight w:val="none"/>
                <w14:textFill>
                  <w14:solidFill>
                    <w14:schemeClr w14:val="tx1"/>
                  </w14:solidFill>
                </w14:textFill>
              </w:rPr>
              <w:t>、NO</w:t>
            </w:r>
            <w:r>
              <w:rPr>
                <w:rFonts w:hint="default" w:ascii="Times New Roman" w:hAnsi="Times New Roman" w:eastAsia="华文中宋" w:cs="Times New Roman"/>
                <w:color w:val="000000" w:themeColor="text1"/>
                <w:sz w:val="24"/>
                <w:szCs w:val="24"/>
                <w:highlight w:val="none"/>
                <w:vertAlign w:val="subscript"/>
                <w14:textFill>
                  <w14:solidFill>
                    <w14:schemeClr w14:val="tx1"/>
                  </w14:solidFill>
                </w14:textFill>
              </w:rPr>
              <w:t>2</w:t>
            </w:r>
            <w:r>
              <w:rPr>
                <w:rFonts w:hint="default" w:ascii="Times New Roman" w:hAnsi="Times New Roman" w:eastAsia="华文中宋" w:cs="Times New Roman"/>
                <w:color w:val="000000" w:themeColor="text1"/>
                <w:sz w:val="24"/>
                <w:szCs w:val="24"/>
                <w:highlight w:val="none"/>
                <w14:textFill>
                  <w14:solidFill>
                    <w14:schemeClr w14:val="tx1"/>
                  </w14:solidFill>
                </w14:textFill>
              </w:rPr>
              <w:t>、PM</w:t>
            </w:r>
            <w:r>
              <w:rPr>
                <w:rFonts w:hint="default" w:ascii="Times New Roman" w:hAnsi="Times New Roman" w:eastAsia="华文中宋" w:cs="Times New Roman"/>
                <w:color w:val="000000" w:themeColor="text1"/>
                <w:sz w:val="24"/>
                <w:szCs w:val="24"/>
                <w:highlight w:val="none"/>
                <w:vertAlign w:val="subscript"/>
                <w14:textFill>
                  <w14:solidFill>
                    <w14:schemeClr w14:val="tx1"/>
                  </w14:solidFill>
                </w14:textFill>
              </w:rPr>
              <w:t>10</w:t>
            </w:r>
            <w:r>
              <w:rPr>
                <w:rFonts w:hint="default" w:ascii="Times New Roman" w:hAnsi="Times New Roman" w:eastAsia="华文中宋" w:cs="Times New Roman"/>
                <w:color w:val="000000" w:themeColor="text1"/>
                <w:sz w:val="24"/>
                <w:szCs w:val="24"/>
                <w:highlight w:val="none"/>
                <w14:textFill>
                  <w14:solidFill>
                    <w14:schemeClr w14:val="tx1"/>
                  </w14:solidFill>
                </w14:textFill>
              </w:rPr>
              <w:t>、PM</w:t>
            </w:r>
            <w:r>
              <w:rPr>
                <w:rFonts w:hint="default" w:ascii="Times New Roman" w:hAnsi="Times New Roman" w:eastAsia="华文中宋" w:cs="Times New Roman"/>
                <w:color w:val="000000" w:themeColor="text1"/>
                <w:sz w:val="24"/>
                <w:szCs w:val="24"/>
                <w:highlight w:val="none"/>
                <w:vertAlign w:val="subscript"/>
                <w14:textFill>
                  <w14:solidFill>
                    <w14:schemeClr w14:val="tx1"/>
                  </w14:solidFill>
                </w14:textFill>
              </w:rPr>
              <w:t>2.5</w:t>
            </w:r>
            <w:r>
              <w:rPr>
                <w:rFonts w:hint="default" w:ascii="Times New Roman" w:hAnsi="Times New Roman" w:eastAsia="华文中宋" w:cs="Times New Roman"/>
                <w:color w:val="000000" w:themeColor="text1"/>
                <w:sz w:val="24"/>
                <w:szCs w:val="24"/>
                <w:highlight w:val="none"/>
                <w14:textFill>
                  <w14:solidFill>
                    <w14:schemeClr w14:val="tx1"/>
                  </w14:solidFill>
                </w14:textFill>
              </w:rPr>
              <w:t>、CO、O</w:t>
            </w:r>
            <w:r>
              <w:rPr>
                <w:rFonts w:hint="default" w:ascii="Times New Roman" w:hAnsi="Times New Roman" w:eastAsia="华文中宋" w:cs="Times New Roman"/>
                <w:color w:val="000000" w:themeColor="text1"/>
                <w:sz w:val="24"/>
                <w:szCs w:val="24"/>
                <w:highlight w:val="none"/>
                <w:vertAlign w:val="subscript"/>
                <w14:textFill>
                  <w14:solidFill>
                    <w14:schemeClr w14:val="tx1"/>
                  </w14:solidFill>
                </w14:textFill>
              </w:rPr>
              <w:t>3</w:t>
            </w:r>
            <w:r>
              <w:rPr>
                <w:rFonts w:hint="default" w:ascii="Times New Roman" w:hAnsi="Times New Roman" w:eastAsia="华文中宋" w:cs="Times New Roman"/>
                <w:color w:val="000000" w:themeColor="text1"/>
                <w:sz w:val="24"/>
                <w:szCs w:val="24"/>
                <w:highlight w:val="none"/>
                <w14:textFill>
                  <w14:solidFill>
                    <w14:schemeClr w14:val="tx1"/>
                  </w14:solidFill>
                </w14:textFill>
              </w:rPr>
              <w:t>，环境空气质量现状数据采用生态环境部环境工程评估中心环境空气质量模型技术支持服务系统（http：//data.lem.org.cn/eamds/apply/tostepone.html）发布的202</w:t>
            </w:r>
            <w:r>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华文中宋" w:cs="Times New Roman"/>
                <w:color w:val="000000" w:themeColor="text1"/>
                <w:sz w:val="24"/>
                <w:szCs w:val="24"/>
                <w:highlight w:val="none"/>
                <w14:textFill>
                  <w14:solidFill>
                    <w14:schemeClr w14:val="tx1"/>
                  </w14:solidFill>
                </w14:textFill>
              </w:rPr>
              <w:t>年巴音郭楞蒙古自治州国控监测点城市空气质量数据进行评价。基本污染物环境空气质量现状评价表见表3-</w:t>
            </w:r>
            <w:r>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华文中宋" w:cs="Times New Roman"/>
                <w:color w:val="000000" w:themeColor="text1"/>
                <w:sz w:val="24"/>
                <w:szCs w:val="24"/>
                <w:highlight w:val="none"/>
                <w14:textFill>
                  <w14:solidFill>
                    <w14:schemeClr w14:val="tx1"/>
                  </w14:solidFill>
                </w14:textFill>
              </w:rPr>
              <w:t>。</w:t>
            </w:r>
          </w:p>
          <w:p>
            <w:pPr>
              <w:widowControl/>
              <w:ind w:firstLine="1922" w:firstLineChars="800"/>
              <w:jc w:val="left"/>
              <w:rPr>
                <w:rFonts w:hint="default" w:ascii="Times New Roman" w:hAnsi="Times New Roman" w:eastAsia="华文中宋" w:cs="Times New Roman"/>
                <w:b/>
                <w:bCs/>
                <w:color w:val="000000" w:themeColor="text1"/>
                <w:kern w:val="0"/>
                <w:sz w:val="24"/>
                <w:szCs w:val="24"/>
                <w:highlight w:val="none"/>
                <w:lang w:bidi="ar"/>
                <w14:textFill>
                  <w14:solidFill>
                    <w14:schemeClr w14:val="tx1"/>
                  </w14:solidFill>
                </w14:textFill>
              </w:rPr>
            </w:pPr>
            <w:r>
              <w:rPr>
                <w:rFonts w:hint="default" w:ascii="Times New Roman" w:hAnsi="Times New Roman" w:eastAsia="华文中宋" w:cs="Times New Roman"/>
                <w:b/>
                <w:bCs/>
                <w:color w:val="000000" w:themeColor="text1"/>
                <w:sz w:val="24"/>
                <w:szCs w:val="24"/>
                <w:highlight w:val="none"/>
                <w14:textFill>
                  <w14:solidFill>
                    <w14:schemeClr w14:val="tx1"/>
                  </w14:solidFill>
                </w14:textFill>
              </w:rPr>
              <w:t>表3-</w:t>
            </w:r>
            <w:r>
              <w:rPr>
                <w:rFonts w:hint="default" w:ascii="Times New Roman" w:hAnsi="Times New Roman" w:eastAsia="华文中宋"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华文中宋" w:cs="Times New Roman"/>
                <w:b/>
                <w:bCs/>
                <w:color w:val="000000" w:themeColor="text1"/>
                <w:sz w:val="24"/>
                <w:szCs w:val="24"/>
                <w:highlight w:val="none"/>
                <w14:textFill>
                  <w14:solidFill>
                    <w14:schemeClr w14:val="tx1"/>
                  </w14:solidFill>
                </w14:textFill>
              </w:rPr>
              <w:t xml:space="preserve">     </w:t>
            </w:r>
            <w:r>
              <w:rPr>
                <w:rFonts w:hint="default" w:ascii="Times New Roman" w:hAnsi="Times New Roman" w:eastAsia="华文中宋" w:cs="Times New Roman"/>
                <w:b/>
                <w:bCs/>
                <w:color w:val="000000" w:themeColor="text1"/>
                <w:kern w:val="0"/>
                <w:sz w:val="24"/>
                <w:szCs w:val="24"/>
                <w:highlight w:val="none"/>
                <w:lang w:bidi="ar"/>
                <w14:textFill>
                  <w14:solidFill>
                    <w14:schemeClr w14:val="tx1"/>
                  </w14:solidFill>
                </w14:textFill>
              </w:rPr>
              <w:t>环境空气质量达标区判定结果</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588"/>
              <w:gridCol w:w="1096"/>
              <w:gridCol w:w="1068"/>
              <w:gridCol w:w="1161"/>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13" w:type="pct"/>
                  <w:tcBorders>
                    <w:tl2br w:val="nil"/>
                    <w:tr2bl w:val="nil"/>
                  </w:tcBorders>
                  <w:noWrap w:val="0"/>
                  <w:vAlign w:val="center"/>
                </w:tcPr>
                <w:p>
                  <w:pPr>
                    <w:keepNext w:val="0"/>
                    <w:keepLines w:val="0"/>
                    <w:pageBreakBefore w:val="0"/>
                    <w:widowControl/>
                    <w:kinsoku/>
                    <w:wordWrap/>
                    <w:overflowPunct/>
                    <w:topLinePunct/>
                    <w:autoSpaceDE w:val="0"/>
                    <w:autoSpaceDN w:val="0"/>
                    <w:bidi w:val="0"/>
                    <w:adjustRightInd/>
                    <w:snapToGrid/>
                    <w:spacing w:line="240" w:lineRule="auto"/>
                    <w:ind w:firstLine="0" w:firstLineChars="0"/>
                    <w:jc w:val="center"/>
                    <w:textAlignment w:val="baseline"/>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bCs/>
                      <w:color w:val="000000" w:themeColor="text1"/>
                      <w:sz w:val="21"/>
                      <w:szCs w:val="21"/>
                      <w14:textFill>
                        <w14:solidFill>
                          <w14:schemeClr w14:val="tx1"/>
                        </w14:solidFill>
                      </w14:textFill>
                    </w:rPr>
                    <w:t>污染物</w:t>
                  </w:r>
                </w:p>
              </w:tc>
              <w:tc>
                <w:tcPr>
                  <w:tcW w:w="1585" w:type="pct"/>
                  <w:tcBorders>
                    <w:tl2br w:val="nil"/>
                    <w:tr2bl w:val="nil"/>
                  </w:tcBorders>
                  <w:noWrap w:val="0"/>
                  <w:vAlign w:val="center"/>
                </w:tcPr>
                <w:p>
                  <w:pPr>
                    <w:keepNext w:val="0"/>
                    <w:keepLines w:val="0"/>
                    <w:pageBreakBefore w:val="0"/>
                    <w:widowControl/>
                    <w:kinsoku/>
                    <w:wordWrap/>
                    <w:overflowPunct/>
                    <w:topLinePunct/>
                    <w:autoSpaceDE w:val="0"/>
                    <w:autoSpaceDN w:val="0"/>
                    <w:bidi w:val="0"/>
                    <w:adjustRightInd/>
                    <w:snapToGrid/>
                    <w:spacing w:line="240" w:lineRule="auto"/>
                    <w:ind w:firstLine="0" w:firstLineChars="0"/>
                    <w:jc w:val="center"/>
                    <w:textAlignment w:val="baseline"/>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bCs/>
                      <w:color w:val="000000" w:themeColor="text1"/>
                      <w:sz w:val="21"/>
                      <w:szCs w:val="21"/>
                      <w14:textFill>
                        <w14:solidFill>
                          <w14:schemeClr w14:val="tx1"/>
                        </w14:solidFill>
                      </w14:textFill>
                    </w:rPr>
                    <w:t>年评价指标</w:t>
                  </w:r>
                </w:p>
              </w:tc>
              <w:tc>
                <w:tcPr>
                  <w:tcW w:w="671" w:type="pct"/>
                  <w:tcBorders>
                    <w:tl2br w:val="nil"/>
                    <w:tr2bl w:val="nil"/>
                  </w:tcBorders>
                  <w:noWrap w:val="0"/>
                  <w:vAlign w:val="center"/>
                </w:tcPr>
                <w:p>
                  <w:pPr>
                    <w:keepNext w:val="0"/>
                    <w:keepLines w:val="0"/>
                    <w:pageBreakBefore w:val="0"/>
                    <w:widowControl/>
                    <w:kinsoku/>
                    <w:wordWrap/>
                    <w:overflowPunct/>
                    <w:topLinePunct/>
                    <w:autoSpaceDE w:val="0"/>
                    <w:autoSpaceDN w:val="0"/>
                    <w:bidi w:val="0"/>
                    <w:adjustRightInd/>
                    <w:snapToGrid/>
                    <w:spacing w:line="240" w:lineRule="auto"/>
                    <w:ind w:firstLine="0" w:firstLineChars="0"/>
                    <w:jc w:val="center"/>
                    <w:textAlignment w:val="baseline"/>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bCs/>
                      <w:color w:val="000000" w:themeColor="text1"/>
                      <w:sz w:val="21"/>
                      <w:szCs w:val="21"/>
                      <w14:textFill>
                        <w14:solidFill>
                          <w14:schemeClr w14:val="tx1"/>
                        </w14:solidFill>
                      </w14:textFill>
                    </w:rPr>
                    <w:t>现状浓度（μg/m</w:t>
                  </w:r>
                  <w:r>
                    <w:rPr>
                      <w:rFonts w:hint="default" w:ascii="Times New Roman" w:hAnsi="Times New Roman" w:eastAsia="华文中宋" w:cs="Times New Roman"/>
                      <w:bCs/>
                      <w:color w:val="000000" w:themeColor="text1"/>
                      <w:sz w:val="21"/>
                      <w:szCs w:val="21"/>
                      <w:vertAlign w:val="superscript"/>
                      <w14:textFill>
                        <w14:solidFill>
                          <w14:schemeClr w14:val="tx1"/>
                        </w14:solidFill>
                      </w14:textFill>
                    </w:rPr>
                    <w:t>3</w:t>
                  </w:r>
                  <w:r>
                    <w:rPr>
                      <w:rFonts w:hint="default" w:ascii="Times New Roman" w:hAnsi="Times New Roman" w:eastAsia="华文中宋" w:cs="Times New Roman"/>
                      <w:bCs/>
                      <w:color w:val="000000" w:themeColor="text1"/>
                      <w:sz w:val="21"/>
                      <w:szCs w:val="21"/>
                      <w14:textFill>
                        <w14:solidFill>
                          <w14:schemeClr w14:val="tx1"/>
                        </w14:solidFill>
                      </w14:textFill>
                    </w:rPr>
                    <w:t>）</w:t>
                  </w:r>
                </w:p>
              </w:tc>
              <w:tc>
                <w:tcPr>
                  <w:tcW w:w="654" w:type="pct"/>
                  <w:tcBorders>
                    <w:tl2br w:val="nil"/>
                    <w:tr2bl w:val="nil"/>
                  </w:tcBorders>
                  <w:noWrap w:val="0"/>
                  <w:vAlign w:val="center"/>
                </w:tcPr>
                <w:p>
                  <w:pPr>
                    <w:keepNext w:val="0"/>
                    <w:keepLines w:val="0"/>
                    <w:pageBreakBefore w:val="0"/>
                    <w:widowControl/>
                    <w:kinsoku/>
                    <w:wordWrap/>
                    <w:overflowPunct/>
                    <w:topLinePunct/>
                    <w:autoSpaceDE w:val="0"/>
                    <w:autoSpaceDN w:val="0"/>
                    <w:bidi w:val="0"/>
                    <w:adjustRightInd/>
                    <w:snapToGrid/>
                    <w:spacing w:line="240" w:lineRule="auto"/>
                    <w:ind w:firstLine="0" w:firstLineChars="0"/>
                    <w:jc w:val="center"/>
                    <w:textAlignment w:val="baseline"/>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bCs/>
                      <w:color w:val="000000" w:themeColor="text1"/>
                      <w:sz w:val="21"/>
                      <w:szCs w:val="21"/>
                      <w14:textFill>
                        <w14:solidFill>
                          <w14:schemeClr w14:val="tx1"/>
                        </w14:solidFill>
                      </w14:textFill>
                    </w:rPr>
                    <w:t>标准值（μg/m</w:t>
                  </w:r>
                  <w:r>
                    <w:rPr>
                      <w:rFonts w:hint="default" w:ascii="Times New Roman" w:hAnsi="Times New Roman" w:eastAsia="华文中宋" w:cs="Times New Roman"/>
                      <w:bCs/>
                      <w:color w:val="000000" w:themeColor="text1"/>
                      <w:sz w:val="21"/>
                      <w:szCs w:val="21"/>
                      <w:vertAlign w:val="superscript"/>
                      <w14:textFill>
                        <w14:solidFill>
                          <w14:schemeClr w14:val="tx1"/>
                        </w14:solidFill>
                      </w14:textFill>
                    </w:rPr>
                    <w:t>3</w:t>
                  </w:r>
                  <w:r>
                    <w:rPr>
                      <w:rFonts w:hint="default" w:ascii="Times New Roman" w:hAnsi="Times New Roman" w:eastAsia="华文中宋" w:cs="Times New Roman"/>
                      <w:bCs/>
                      <w:color w:val="000000" w:themeColor="text1"/>
                      <w:sz w:val="21"/>
                      <w:szCs w:val="21"/>
                      <w14:textFill>
                        <w14:solidFill>
                          <w14:schemeClr w14:val="tx1"/>
                        </w14:solidFill>
                      </w14:textFill>
                    </w:rPr>
                    <w:t>）</w:t>
                  </w:r>
                </w:p>
              </w:tc>
              <w:tc>
                <w:tcPr>
                  <w:tcW w:w="711" w:type="pct"/>
                  <w:tcBorders>
                    <w:tl2br w:val="nil"/>
                    <w:tr2bl w:val="nil"/>
                  </w:tcBorders>
                  <w:noWrap w:val="0"/>
                  <w:vAlign w:val="center"/>
                </w:tcPr>
                <w:p>
                  <w:pPr>
                    <w:keepNext w:val="0"/>
                    <w:keepLines w:val="0"/>
                    <w:pageBreakBefore w:val="0"/>
                    <w:widowControl/>
                    <w:kinsoku/>
                    <w:wordWrap/>
                    <w:overflowPunct/>
                    <w:topLinePunct/>
                    <w:autoSpaceDE w:val="0"/>
                    <w:autoSpaceDN w:val="0"/>
                    <w:bidi w:val="0"/>
                    <w:adjustRightInd/>
                    <w:snapToGrid/>
                    <w:spacing w:line="240" w:lineRule="auto"/>
                    <w:ind w:firstLine="0" w:firstLineChars="0"/>
                    <w:jc w:val="center"/>
                    <w:textAlignment w:val="baseline"/>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14:textFill>
                        <w14:solidFill>
                          <w14:schemeClr w14:val="tx1"/>
                        </w14:solidFill>
                      </w14:textFill>
                    </w:rPr>
                    <w:t>占标率</w:t>
                  </w: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w:t>
                  </w:r>
                </w:p>
              </w:tc>
              <w:tc>
                <w:tcPr>
                  <w:tcW w:w="763" w:type="pct"/>
                  <w:tcBorders>
                    <w:tl2br w:val="nil"/>
                    <w:tr2bl w:val="nil"/>
                  </w:tcBorders>
                  <w:noWrap w:val="0"/>
                  <w:vAlign w:val="center"/>
                </w:tcPr>
                <w:p>
                  <w:pPr>
                    <w:keepNext w:val="0"/>
                    <w:keepLines w:val="0"/>
                    <w:pageBreakBefore w:val="0"/>
                    <w:widowControl/>
                    <w:kinsoku/>
                    <w:wordWrap/>
                    <w:overflowPunct/>
                    <w:topLinePunct/>
                    <w:autoSpaceDE w:val="0"/>
                    <w:autoSpaceDN w:val="0"/>
                    <w:bidi w:val="0"/>
                    <w:adjustRightInd/>
                    <w:snapToGrid/>
                    <w:spacing w:line="240" w:lineRule="auto"/>
                    <w:ind w:firstLine="0" w:firstLineChars="0"/>
                    <w:jc w:val="center"/>
                    <w:textAlignment w:val="baseline"/>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bCs/>
                      <w:color w:val="000000" w:themeColor="text1"/>
                      <w:sz w:val="21"/>
                      <w:szCs w:val="21"/>
                      <w14:textFill>
                        <w14:solidFill>
                          <w14:schemeClr w14:val="tx1"/>
                        </w14:solidFill>
                      </w14:textFill>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tcBorders>
                    <w:tl2br w:val="nil"/>
                    <w:tr2bl w:val="nil"/>
                  </w:tcBorders>
                  <w:noWrap w:val="0"/>
                  <w:vAlign w:val="center"/>
                </w:tcPr>
                <w:p>
                  <w:pPr>
                    <w:keepNext w:val="0"/>
                    <w:keepLines w:val="0"/>
                    <w:pageBreakBefore w:val="0"/>
                    <w:widowControl w:val="0"/>
                    <w:suppressLineNumbers w:val="0"/>
                    <w:kinsoku/>
                    <w:wordWrap/>
                    <w:overflowPunct/>
                    <w:autoSpaceDE w:val="0"/>
                    <w:autoSpaceDN w:val="0"/>
                    <w:bidi w:val="0"/>
                    <w:adjustRightInd/>
                    <w:snapToGrid/>
                    <w:spacing w:beforeAutospacing="0" w:afterAutospacing="0" w:line="240" w:lineRule="auto"/>
                    <w:ind w:left="0" w:leftChars="0" w:right="0" w:rightChars="0" w:firstLine="0" w:firstLineChars="0"/>
                    <w:jc w:val="center"/>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bidi="ar"/>
                      <w14:textFill>
                        <w14:solidFill>
                          <w14:schemeClr w14:val="tx1"/>
                        </w14:solidFill>
                      </w14:textFill>
                    </w:rPr>
                    <w:t>SO</w:t>
                  </w:r>
                  <w:r>
                    <w:rPr>
                      <w:rFonts w:hint="default" w:ascii="Times New Roman" w:hAnsi="Times New Roman" w:eastAsia="华文中宋" w:cs="Times New Roman"/>
                      <w:color w:val="000000" w:themeColor="text1"/>
                      <w:kern w:val="0"/>
                      <w:sz w:val="21"/>
                      <w:szCs w:val="21"/>
                      <w:vertAlign w:val="subscript"/>
                      <w:lang w:val="en-US" w:eastAsia="zh-CN" w:bidi="ar"/>
                      <w14:textFill>
                        <w14:solidFill>
                          <w14:schemeClr w14:val="tx1"/>
                        </w14:solidFill>
                      </w14:textFill>
                    </w:rPr>
                    <w:t>2</w:t>
                  </w:r>
                </w:p>
              </w:tc>
              <w:tc>
                <w:tcPr>
                  <w:tcW w:w="1585" w:type="pct"/>
                  <w:tcBorders>
                    <w:tl2br w:val="nil"/>
                    <w:tr2bl w:val="nil"/>
                  </w:tcBorders>
                  <w:noWrap w:val="0"/>
                  <w:vAlign w:val="center"/>
                </w:tcPr>
                <w:p>
                  <w:pPr>
                    <w:keepNext w:val="0"/>
                    <w:keepLines w:val="0"/>
                    <w:pageBreakBefore w:val="0"/>
                    <w:widowControl/>
                    <w:kinsoku/>
                    <w:wordWrap/>
                    <w:overflowPunct/>
                    <w:topLinePunct/>
                    <w:autoSpaceDE w:val="0"/>
                    <w:autoSpaceDN w:val="0"/>
                    <w:bidi w:val="0"/>
                    <w:adjustRightInd/>
                    <w:snapToGrid/>
                    <w:spacing w:line="240" w:lineRule="auto"/>
                    <w:ind w:firstLine="0" w:firstLineChars="0"/>
                    <w:jc w:val="center"/>
                    <w:textAlignment w:val="baseline"/>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bCs/>
                      <w:color w:val="000000" w:themeColor="text1"/>
                      <w:sz w:val="21"/>
                      <w:szCs w:val="21"/>
                      <w14:textFill>
                        <w14:solidFill>
                          <w14:schemeClr w14:val="tx1"/>
                        </w14:solidFill>
                      </w14:textFill>
                    </w:rPr>
                    <w:t>年平均质量浓度</w:t>
                  </w:r>
                </w:p>
              </w:tc>
              <w:tc>
                <w:tcPr>
                  <w:tcW w:w="671" w:type="pct"/>
                  <w:tcBorders>
                    <w:tl2br w:val="nil"/>
                    <w:tr2bl w:val="nil"/>
                  </w:tcBorders>
                  <w:noWrap w:val="0"/>
                  <w:vAlign w:val="center"/>
                </w:tcPr>
                <w:p>
                  <w:pPr>
                    <w:keepNext w:val="0"/>
                    <w:keepLines w:val="0"/>
                    <w:pageBreakBefore w:val="0"/>
                    <w:widowControl w:val="0"/>
                    <w:suppressLineNumbers w:val="0"/>
                    <w:kinsoku/>
                    <w:wordWrap/>
                    <w:overflowPunct/>
                    <w:bidi w:val="0"/>
                    <w:adjustRightInd/>
                    <w:snapToGrid/>
                    <w:spacing w:beforeAutospacing="0" w:afterAutospacing="0" w:line="240" w:lineRule="auto"/>
                    <w:ind w:left="0" w:leftChars="0" w:right="0" w:rightChars="0" w:firstLine="0" w:firstLineChars="0"/>
                    <w:jc w:val="cente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5</w:t>
                  </w:r>
                </w:p>
              </w:tc>
              <w:tc>
                <w:tcPr>
                  <w:tcW w:w="654" w:type="pct"/>
                  <w:tcBorders>
                    <w:tl2br w:val="nil"/>
                    <w:tr2bl w:val="nil"/>
                  </w:tcBorders>
                  <w:noWrap w:val="0"/>
                  <w:vAlign w:val="center"/>
                </w:tcPr>
                <w:p>
                  <w:pPr>
                    <w:keepNext w:val="0"/>
                    <w:keepLines w:val="0"/>
                    <w:pageBreakBefore w:val="0"/>
                    <w:widowControl/>
                    <w:suppressLineNumbers w:val="0"/>
                    <w:kinsoku/>
                    <w:wordWrap/>
                    <w:overflowPunct/>
                    <w:bidi w:val="0"/>
                    <w:adjustRightInd/>
                    <w:snapToGrid/>
                    <w:spacing w:beforeAutospacing="0" w:afterAutospacing="0" w:line="240" w:lineRule="auto"/>
                    <w:ind w:left="0" w:leftChars="0" w:right="0" w:rightChars="0" w:firstLine="0" w:firstLineChars="0"/>
                    <w:jc w:val="center"/>
                    <w:textAlignment w:val="cente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60</w:t>
                  </w:r>
                </w:p>
              </w:tc>
              <w:tc>
                <w:tcPr>
                  <w:tcW w:w="711" w:type="pct"/>
                  <w:tcBorders>
                    <w:tl2br w:val="nil"/>
                    <w:tr2bl w:val="nil"/>
                  </w:tcBorders>
                  <w:noWrap w:val="0"/>
                  <w:vAlign w:val="center"/>
                </w:tcPr>
                <w:p>
                  <w:pPr>
                    <w:keepNext w:val="0"/>
                    <w:keepLines w:val="0"/>
                    <w:pageBreakBefore w:val="0"/>
                    <w:widowControl/>
                    <w:kinsoku/>
                    <w:wordWrap/>
                    <w:overflowPunct/>
                    <w:autoSpaceDE w:val="0"/>
                    <w:autoSpaceDN w:val="0"/>
                    <w:bidi w:val="0"/>
                    <w:adjustRightInd/>
                    <w:snapToGrid/>
                    <w:spacing w:line="240" w:lineRule="auto"/>
                    <w:ind w:firstLine="0" w:firstLineChars="0"/>
                    <w:jc w:val="center"/>
                    <w:textAlignment w:val="cente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8.3</w:t>
                  </w:r>
                </w:p>
              </w:tc>
              <w:tc>
                <w:tcPr>
                  <w:tcW w:w="763" w:type="pct"/>
                  <w:tcBorders>
                    <w:tl2br w:val="nil"/>
                    <w:tr2bl w:val="nil"/>
                  </w:tcBorders>
                  <w:noWrap w:val="0"/>
                  <w:vAlign w:val="center"/>
                </w:tcPr>
                <w:p>
                  <w:pPr>
                    <w:keepNext w:val="0"/>
                    <w:keepLines w:val="0"/>
                    <w:pageBreakBefore w:val="0"/>
                    <w:widowControl/>
                    <w:kinsoku/>
                    <w:wordWrap/>
                    <w:overflowPunct/>
                    <w:topLinePunct/>
                    <w:autoSpaceDE w:val="0"/>
                    <w:autoSpaceDN w:val="0"/>
                    <w:bidi w:val="0"/>
                    <w:adjustRightInd/>
                    <w:snapToGrid/>
                    <w:spacing w:line="240" w:lineRule="auto"/>
                    <w:ind w:firstLine="0" w:firstLineChars="0"/>
                    <w:jc w:val="center"/>
                    <w:textAlignment w:val="baseline"/>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tcBorders>
                    <w:tl2br w:val="nil"/>
                    <w:tr2bl w:val="nil"/>
                  </w:tcBorders>
                  <w:noWrap w:val="0"/>
                  <w:vAlign w:val="center"/>
                </w:tcPr>
                <w:p>
                  <w:pPr>
                    <w:keepNext w:val="0"/>
                    <w:keepLines w:val="0"/>
                    <w:pageBreakBefore w:val="0"/>
                    <w:widowControl w:val="0"/>
                    <w:suppressLineNumbers w:val="0"/>
                    <w:kinsoku/>
                    <w:wordWrap/>
                    <w:overflowPunct/>
                    <w:autoSpaceDE w:val="0"/>
                    <w:autoSpaceDN w:val="0"/>
                    <w:bidi w:val="0"/>
                    <w:adjustRightInd/>
                    <w:snapToGrid/>
                    <w:spacing w:beforeAutospacing="0" w:afterAutospacing="0" w:line="240" w:lineRule="auto"/>
                    <w:ind w:left="0" w:leftChars="0" w:right="0" w:rightChars="0" w:firstLine="0" w:firstLineChars="0"/>
                    <w:jc w:val="center"/>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bidi="ar"/>
                      <w14:textFill>
                        <w14:solidFill>
                          <w14:schemeClr w14:val="tx1"/>
                        </w14:solidFill>
                      </w14:textFill>
                    </w:rPr>
                    <w:t>NO</w:t>
                  </w:r>
                  <w:r>
                    <w:rPr>
                      <w:rFonts w:hint="default" w:ascii="Times New Roman" w:hAnsi="Times New Roman" w:eastAsia="华文中宋" w:cs="Times New Roman"/>
                      <w:color w:val="000000" w:themeColor="text1"/>
                      <w:kern w:val="0"/>
                      <w:sz w:val="21"/>
                      <w:szCs w:val="21"/>
                      <w:vertAlign w:val="subscript"/>
                      <w:lang w:val="en-US" w:eastAsia="zh-CN" w:bidi="ar"/>
                      <w14:textFill>
                        <w14:solidFill>
                          <w14:schemeClr w14:val="tx1"/>
                        </w14:solidFill>
                      </w14:textFill>
                    </w:rPr>
                    <w:t>2</w:t>
                  </w:r>
                </w:p>
              </w:tc>
              <w:tc>
                <w:tcPr>
                  <w:tcW w:w="1585" w:type="pct"/>
                  <w:tcBorders>
                    <w:tl2br w:val="nil"/>
                    <w:tr2bl w:val="nil"/>
                  </w:tcBorders>
                  <w:noWrap w:val="0"/>
                  <w:vAlign w:val="center"/>
                </w:tcPr>
                <w:p>
                  <w:pPr>
                    <w:keepNext w:val="0"/>
                    <w:keepLines w:val="0"/>
                    <w:pageBreakBefore w:val="0"/>
                    <w:widowControl/>
                    <w:kinsoku/>
                    <w:wordWrap/>
                    <w:overflowPunct/>
                    <w:topLinePunct/>
                    <w:autoSpaceDE w:val="0"/>
                    <w:autoSpaceDN w:val="0"/>
                    <w:bidi w:val="0"/>
                    <w:adjustRightInd/>
                    <w:snapToGrid/>
                    <w:spacing w:line="240" w:lineRule="auto"/>
                    <w:ind w:firstLine="0" w:firstLineChars="0"/>
                    <w:jc w:val="center"/>
                    <w:textAlignment w:val="baseline"/>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bCs/>
                      <w:color w:val="000000" w:themeColor="text1"/>
                      <w:sz w:val="21"/>
                      <w:szCs w:val="21"/>
                      <w14:textFill>
                        <w14:solidFill>
                          <w14:schemeClr w14:val="tx1"/>
                        </w14:solidFill>
                      </w14:textFill>
                    </w:rPr>
                    <w:t>年平均质量浓度</w:t>
                  </w:r>
                </w:p>
              </w:tc>
              <w:tc>
                <w:tcPr>
                  <w:tcW w:w="671" w:type="pct"/>
                  <w:tcBorders>
                    <w:tl2br w:val="nil"/>
                    <w:tr2bl w:val="nil"/>
                  </w:tcBorders>
                  <w:noWrap w:val="0"/>
                  <w:vAlign w:val="center"/>
                </w:tcPr>
                <w:p>
                  <w:pPr>
                    <w:keepNext w:val="0"/>
                    <w:keepLines w:val="0"/>
                    <w:pageBreakBefore w:val="0"/>
                    <w:widowControl w:val="0"/>
                    <w:suppressLineNumbers w:val="0"/>
                    <w:kinsoku/>
                    <w:wordWrap/>
                    <w:overflowPunct/>
                    <w:bidi w:val="0"/>
                    <w:adjustRightInd/>
                    <w:snapToGrid/>
                    <w:spacing w:beforeAutospacing="0" w:afterAutospacing="0" w:line="240" w:lineRule="auto"/>
                    <w:ind w:left="0" w:leftChars="0" w:right="0" w:rightChars="0" w:firstLine="0" w:firstLineChars="0"/>
                    <w:jc w:val="cente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23</w:t>
                  </w:r>
                </w:p>
              </w:tc>
              <w:tc>
                <w:tcPr>
                  <w:tcW w:w="654" w:type="pct"/>
                  <w:tcBorders>
                    <w:tl2br w:val="nil"/>
                    <w:tr2bl w:val="nil"/>
                  </w:tcBorders>
                  <w:noWrap w:val="0"/>
                  <w:vAlign w:val="center"/>
                </w:tcPr>
                <w:p>
                  <w:pPr>
                    <w:keepNext w:val="0"/>
                    <w:keepLines w:val="0"/>
                    <w:pageBreakBefore w:val="0"/>
                    <w:widowControl/>
                    <w:suppressLineNumbers w:val="0"/>
                    <w:kinsoku/>
                    <w:wordWrap/>
                    <w:overflowPunct/>
                    <w:bidi w:val="0"/>
                    <w:adjustRightInd/>
                    <w:snapToGrid/>
                    <w:spacing w:beforeAutospacing="0" w:afterAutospacing="0" w:line="240" w:lineRule="auto"/>
                    <w:ind w:left="0" w:leftChars="0" w:right="0" w:rightChars="0" w:firstLine="0" w:firstLineChars="0"/>
                    <w:jc w:val="center"/>
                    <w:textAlignment w:val="cente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40</w:t>
                  </w:r>
                </w:p>
              </w:tc>
              <w:tc>
                <w:tcPr>
                  <w:tcW w:w="711" w:type="pct"/>
                  <w:tcBorders>
                    <w:tl2br w:val="nil"/>
                    <w:tr2bl w:val="nil"/>
                  </w:tcBorders>
                  <w:noWrap w:val="0"/>
                  <w:vAlign w:val="center"/>
                </w:tcPr>
                <w:p>
                  <w:pPr>
                    <w:keepNext w:val="0"/>
                    <w:keepLines w:val="0"/>
                    <w:pageBreakBefore w:val="0"/>
                    <w:widowControl/>
                    <w:kinsoku/>
                    <w:wordWrap/>
                    <w:overflowPunct/>
                    <w:autoSpaceDE w:val="0"/>
                    <w:autoSpaceDN w:val="0"/>
                    <w:bidi w:val="0"/>
                    <w:adjustRightInd/>
                    <w:snapToGrid/>
                    <w:spacing w:line="240" w:lineRule="auto"/>
                    <w:ind w:firstLine="0" w:firstLineChars="0"/>
                    <w:jc w:val="center"/>
                    <w:textAlignment w:val="cente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57.5</w:t>
                  </w:r>
                </w:p>
              </w:tc>
              <w:tc>
                <w:tcPr>
                  <w:tcW w:w="763" w:type="pct"/>
                  <w:tcBorders>
                    <w:tl2br w:val="nil"/>
                    <w:tr2bl w:val="nil"/>
                  </w:tcBorders>
                  <w:noWrap w:val="0"/>
                  <w:vAlign w:val="center"/>
                </w:tcPr>
                <w:p>
                  <w:pPr>
                    <w:keepNext w:val="0"/>
                    <w:keepLines w:val="0"/>
                    <w:pageBreakBefore w:val="0"/>
                    <w:widowControl/>
                    <w:kinsoku/>
                    <w:wordWrap/>
                    <w:overflowPunct/>
                    <w:topLinePunct/>
                    <w:autoSpaceDE w:val="0"/>
                    <w:autoSpaceDN w:val="0"/>
                    <w:bidi w:val="0"/>
                    <w:adjustRightInd/>
                    <w:snapToGrid/>
                    <w:spacing w:line="240" w:lineRule="auto"/>
                    <w:ind w:firstLine="0" w:firstLineChars="0"/>
                    <w:jc w:val="center"/>
                    <w:textAlignment w:val="baseline"/>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bCs/>
                      <w:color w:val="000000" w:themeColor="text1"/>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tcBorders>
                    <w:tl2br w:val="nil"/>
                    <w:tr2bl w:val="nil"/>
                  </w:tcBorders>
                  <w:noWrap w:val="0"/>
                  <w:vAlign w:val="center"/>
                </w:tcPr>
                <w:p>
                  <w:pPr>
                    <w:keepNext w:val="0"/>
                    <w:keepLines w:val="0"/>
                    <w:pageBreakBefore w:val="0"/>
                    <w:widowControl w:val="0"/>
                    <w:suppressLineNumbers w:val="0"/>
                    <w:kinsoku/>
                    <w:wordWrap/>
                    <w:overflowPunct/>
                    <w:autoSpaceDE w:val="0"/>
                    <w:autoSpaceDN w:val="0"/>
                    <w:bidi w:val="0"/>
                    <w:adjustRightInd/>
                    <w:snapToGrid/>
                    <w:spacing w:beforeAutospacing="0" w:afterAutospacing="0" w:line="240" w:lineRule="auto"/>
                    <w:ind w:left="0" w:leftChars="0" w:right="0" w:rightChars="0" w:firstLine="0" w:firstLineChars="0"/>
                    <w:jc w:val="center"/>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bidi="ar"/>
                      <w14:textFill>
                        <w14:solidFill>
                          <w14:schemeClr w14:val="tx1"/>
                        </w14:solidFill>
                      </w14:textFill>
                    </w:rPr>
                    <w:t>PM</w:t>
                  </w:r>
                  <w:r>
                    <w:rPr>
                      <w:rFonts w:hint="default" w:ascii="Times New Roman" w:hAnsi="Times New Roman" w:eastAsia="华文中宋" w:cs="Times New Roman"/>
                      <w:color w:val="000000" w:themeColor="text1"/>
                      <w:kern w:val="0"/>
                      <w:sz w:val="21"/>
                      <w:szCs w:val="21"/>
                      <w:vertAlign w:val="subscript"/>
                      <w:lang w:val="en-US" w:eastAsia="zh-CN" w:bidi="ar"/>
                      <w14:textFill>
                        <w14:solidFill>
                          <w14:schemeClr w14:val="tx1"/>
                        </w14:solidFill>
                      </w14:textFill>
                    </w:rPr>
                    <w:t>10</w:t>
                  </w:r>
                </w:p>
              </w:tc>
              <w:tc>
                <w:tcPr>
                  <w:tcW w:w="1585" w:type="pct"/>
                  <w:tcBorders>
                    <w:tl2br w:val="nil"/>
                    <w:tr2bl w:val="nil"/>
                  </w:tcBorders>
                  <w:noWrap w:val="0"/>
                  <w:vAlign w:val="center"/>
                </w:tcPr>
                <w:p>
                  <w:pPr>
                    <w:keepNext w:val="0"/>
                    <w:keepLines w:val="0"/>
                    <w:pageBreakBefore w:val="0"/>
                    <w:widowControl/>
                    <w:kinsoku/>
                    <w:wordWrap/>
                    <w:overflowPunct/>
                    <w:topLinePunct/>
                    <w:autoSpaceDE w:val="0"/>
                    <w:autoSpaceDN w:val="0"/>
                    <w:bidi w:val="0"/>
                    <w:adjustRightInd/>
                    <w:snapToGrid/>
                    <w:spacing w:line="240" w:lineRule="auto"/>
                    <w:ind w:firstLine="0" w:firstLineChars="0"/>
                    <w:jc w:val="center"/>
                    <w:textAlignment w:val="baseline"/>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bCs/>
                      <w:color w:val="000000" w:themeColor="text1"/>
                      <w:sz w:val="21"/>
                      <w:szCs w:val="21"/>
                      <w14:textFill>
                        <w14:solidFill>
                          <w14:schemeClr w14:val="tx1"/>
                        </w14:solidFill>
                      </w14:textFill>
                    </w:rPr>
                    <w:t>年平均质量浓度</w:t>
                  </w:r>
                </w:p>
              </w:tc>
              <w:tc>
                <w:tcPr>
                  <w:tcW w:w="671" w:type="pct"/>
                  <w:tcBorders>
                    <w:tl2br w:val="nil"/>
                    <w:tr2bl w:val="nil"/>
                  </w:tcBorders>
                  <w:noWrap w:val="0"/>
                  <w:vAlign w:val="center"/>
                </w:tcPr>
                <w:p>
                  <w:pPr>
                    <w:keepNext w:val="0"/>
                    <w:keepLines w:val="0"/>
                    <w:pageBreakBefore w:val="0"/>
                    <w:widowControl w:val="0"/>
                    <w:suppressLineNumbers w:val="0"/>
                    <w:kinsoku/>
                    <w:wordWrap/>
                    <w:overflowPunct/>
                    <w:bidi w:val="0"/>
                    <w:adjustRightInd/>
                    <w:snapToGrid/>
                    <w:spacing w:beforeAutospacing="0" w:afterAutospacing="0" w:line="240" w:lineRule="auto"/>
                    <w:ind w:left="0" w:leftChars="0" w:right="0" w:rightChars="0" w:firstLine="0" w:firstLineChars="0"/>
                    <w:jc w:val="cente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74</w:t>
                  </w:r>
                </w:p>
              </w:tc>
              <w:tc>
                <w:tcPr>
                  <w:tcW w:w="654" w:type="pct"/>
                  <w:tcBorders>
                    <w:tl2br w:val="nil"/>
                    <w:tr2bl w:val="nil"/>
                  </w:tcBorders>
                  <w:noWrap w:val="0"/>
                  <w:vAlign w:val="center"/>
                </w:tcPr>
                <w:p>
                  <w:pPr>
                    <w:keepNext w:val="0"/>
                    <w:keepLines w:val="0"/>
                    <w:pageBreakBefore w:val="0"/>
                    <w:widowControl/>
                    <w:suppressLineNumbers w:val="0"/>
                    <w:kinsoku/>
                    <w:wordWrap/>
                    <w:overflowPunct/>
                    <w:bidi w:val="0"/>
                    <w:adjustRightInd/>
                    <w:snapToGrid/>
                    <w:spacing w:beforeAutospacing="0" w:afterAutospacing="0" w:line="240" w:lineRule="auto"/>
                    <w:ind w:left="0" w:leftChars="0" w:right="0" w:rightChars="0" w:firstLine="0" w:firstLineChars="0"/>
                    <w:jc w:val="center"/>
                    <w:textAlignment w:val="cente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60</w:t>
                  </w:r>
                </w:p>
              </w:tc>
              <w:tc>
                <w:tcPr>
                  <w:tcW w:w="711" w:type="pct"/>
                  <w:tcBorders>
                    <w:tl2br w:val="nil"/>
                    <w:tr2bl w:val="nil"/>
                  </w:tcBorders>
                  <w:noWrap w:val="0"/>
                  <w:vAlign w:val="center"/>
                </w:tcPr>
                <w:p>
                  <w:pPr>
                    <w:keepNext w:val="0"/>
                    <w:keepLines w:val="0"/>
                    <w:pageBreakBefore w:val="0"/>
                    <w:widowControl/>
                    <w:kinsoku/>
                    <w:wordWrap/>
                    <w:overflowPunct/>
                    <w:autoSpaceDE w:val="0"/>
                    <w:autoSpaceDN w:val="0"/>
                    <w:bidi w:val="0"/>
                    <w:adjustRightInd/>
                    <w:snapToGrid/>
                    <w:spacing w:line="240" w:lineRule="auto"/>
                    <w:ind w:firstLine="0" w:firstLineChars="0"/>
                    <w:jc w:val="center"/>
                    <w:textAlignment w:val="cente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123.3</w:t>
                  </w:r>
                </w:p>
              </w:tc>
              <w:tc>
                <w:tcPr>
                  <w:tcW w:w="763" w:type="pct"/>
                  <w:tcBorders>
                    <w:tl2br w:val="nil"/>
                    <w:tr2bl w:val="nil"/>
                  </w:tcBorders>
                  <w:noWrap w:val="0"/>
                  <w:vAlign w:val="center"/>
                </w:tcPr>
                <w:p>
                  <w:pPr>
                    <w:keepNext w:val="0"/>
                    <w:keepLines w:val="0"/>
                    <w:pageBreakBefore w:val="0"/>
                    <w:widowControl w:val="0"/>
                    <w:suppressLineNumbers w:val="0"/>
                    <w:kinsoku/>
                    <w:wordWrap/>
                    <w:overflowPunct/>
                    <w:bidi w:val="0"/>
                    <w:adjustRightInd/>
                    <w:snapToGrid/>
                    <w:spacing w:beforeAutospacing="0" w:afterAutospacing="0" w:line="240" w:lineRule="auto"/>
                    <w:ind w:left="0" w:leftChars="0" w:right="0" w:rightChars="0" w:firstLine="0" w:firstLineChars="0"/>
                    <w:jc w:val="center"/>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
                      <w14:textFill>
                        <w14:solidFill>
                          <w14:schemeClr w14:val="tx1"/>
                        </w14:solidFill>
                      </w14:textFill>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tcBorders>
                    <w:tl2br w:val="nil"/>
                    <w:tr2bl w:val="nil"/>
                  </w:tcBorders>
                  <w:noWrap w:val="0"/>
                  <w:vAlign w:val="center"/>
                </w:tcPr>
                <w:p>
                  <w:pPr>
                    <w:keepNext w:val="0"/>
                    <w:keepLines w:val="0"/>
                    <w:pageBreakBefore w:val="0"/>
                    <w:widowControl w:val="0"/>
                    <w:suppressLineNumbers w:val="0"/>
                    <w:kinsoku/>
                    <w:wordWrap/>
                    <w:overflowPunct/>
                    <w:bidi w:val="0"/>
                    <w:adjustRightInd/>
                    <w:snapToGrid/>
                    <w:spacing w:beforeAutospacing="0" w:afterAutospacing="0" w:line="240" w:lineRule="auto"/>
                    <w:ind w:left="0" w:leftChars="0" w:right="0" w:rightChars="0" w:firstLine="0" w:firstLineChars="0"/>
                    <w:jc w:val="center"/>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bidi="ar"/>
                      <w14:textFill>
                        <w14:solidFill>
                          <w14:schemeClr w14:val="tx1"/>
                        </w14:solidFill>
                      </w14:textFill>
                    </w:rPr>
                    <w:t>PM</w:t>
                  </w:r>
                  <w:r>
                    <w:rPr>
                      <w:rFonts w:hint="default" w:ascii="Times New Roman" w:hAnsi="Times New Roman" w:eastAsia="华文中宋" w:cs="Times New Roman"/>
                      <w:color w:val="000000" w:themeColor="text1"/>
                      <w:kern w:val="0"/>
                      <w:sz w:val="21"/>
                      <w:szCs w:val="21"/>
                      <w:vertAlign w:val="subscript"/>
                      <w:lang w:val="en-US" w:eastAsia="zh-CN" w:bidi="ar"/>
                      <w14:textFill>
                        <w14:solidFill>
                          <w14:schemeClr w14:val="tx1"/>
                        </w14:solidFill>
                      </w14:textFill>
                    </w:rPr>
                    <w:t>2.5</w:t>
                  </w:r>
                </w:p>
              </w:tc>
              <w:tc>
                <w:tcPr>
                  <w:tcW w:w="1585" w:type="pct"/>
                  <w:tcBorders>
                    <w:tl2br w:val="nil"/>
                    <w:tr2bl w:val="nil"/>
                  </w:tcBorders>
                  <w:noWrap w:val="0"/>
                  <w:vAlign w:val="center"/>
                </w:tcPr>
                <w:p>
                  <w:pPr>
                    <w:keepNext w:val="0"/>
                    <w:keepLines w:val="0"/>
                    <w:pageBreakBefore w:val="0"/>
                    <w:widowControl/>
                    <w:kinsoku/>
                    <w:wordWrap/>
                    <w:overflowPunct/>
                    <w:topLinePunct/>
                    <w:autoSpaceDE w:val="0"/>
                    <w:autoSpaceDN w:val="0"/>
                    <w:bidi w:val="0"/>
                    <w:adjustRightInd/>
                    <w:snapToGrid/>
                    <w:spacing w:line="240" w:lineRule="auto"/>
                    <w:ind w:firstLine="0" w:firstLineChars="0"/>
                    <w:jc w:val="center"/>
                    <w:textAlignment w:val="baseline"/>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bCs/>
                      <w:color w:val="000000" w:themeColor="text1"/>
                      <w:sz w:val="21"/>
                      <w:szCs w:val="21"/>
                      <w14:textFill>
                        <w14:solidFill>
                          <w14:schemeClr w14:val="tx1"/>
                        </w14:solidFill>
                      </w14:textFill>
                    </w:rPr>
                    <w:t>年平均质量浓度</w:t>
                  </w:r>
                </w:p>
              </w:tc>
              <w:tc>
                <w:tcPr>
                  <w:tcW w:w="671" w:type="pct"/>
                  <w:tcBorders>
                    <w:tl2br w:val="nil"/>
                    <w:tr2bl w:val="nil"/>
                  </w:tcBorders>
                  <w:noWrap w:val="0"/>
                  <w:vAlign w:val="center"/>
                </w:tcPr>
                <w:p>
                  <w:pPr>
                    <w:keepNext w:val="0"/>
                    <w:keepLines w:val="0"/>
                    <w:pageBreakBefore w:val="0"/>
                    <w:widowControl w:val="0"/>
                    <w:suppressLineNumbers w:val="0"/>
                    <w:kinsoku/>
                    <w:wordWrap/>
                    <w:overflowPunct/>
                    <w:bidi w:val="0"/>
                    <w:adjustRightInd/>
                    <w:snapToGrid/>
                    <w:spacing w:beforeAutospacing="0" w:afterAutospacing="0" w:line="240" w:lineRule="auto"/>
                    <w:ind w:left="0" w:leftChars="0" w:right="0" w:rightChars="0" w:firstLine="0" w:firstLineChars="0"/>
                    <w:jc w:val="cente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26</w:t>
                  </w:r>
                </w:p>
              </w:tc>
              <w:tc>
                <w:tcPr>
                  <w:tcW w:w="654" w:type="pct"/>
                  <w:tcBorders>
                    <w:tl2br w:val="nil"/>
                    <w:tr2bl w:val="nil"/>
                  </w:tcBorders>
                  <w:noWrap w:val="0"/>
                  <w:vAlign w:val="center"/>
                </w:tcPr>
                <w:p>
                  <w:pPr>
                    <w:keepNext w:val="0"/>
                    <w:keepLines w:val="0"/>
                    <w:pageBreakBefore w:val="0"/>
                    <w:widowControl/>
                    <w:suppressLineNumbers w:val="0"/>
                    <w:kinsoku/>
                    <w:wordWrap/>
                    <w:overflowPunct/>
                    <w:bidi w:val="0"/>
                    <w:adjustRightInd/>
                    <w:snapToGrid/>
                    <w:spacing w:beforeAutospacing="0" w:afterAutospacing="0" w:line="240" w:lineRule="auto"/>
                    <w:ind w:left="0" w:leftChars="0" w:right="0" w:rightChars="0" w:firstLine="0" w:firstLineChars="0"/>
                    <w:jc w:val="center"/>
                    <w:textAlignment w:val="cente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30</w:t>
                  </w:r>
                </w:p>
              </w:tc>
              <w:tc>
                <w:tcPr>
                  <w:tcW w:w="711" w:type="pct"/>
                  <w:tcBorders>
                    <w:tl2br w:val="nil"/>
                    <w:tr2bl w:val="nil"/>
                  </w:tcBorders>
                  <w:noWrap w:val="0"/>
                  <w:vAlign w:val="center"/>
                </w:tcPr>
                <w:p>
                  <w:pPr>
                    <w:keepNext w:val="0"/>
                    <w:keepLines w:val="0"/>
                    <w:pageBreakBefore w:val="0"/>
                    <w:widowControl/>
                    <w:kinsoku/>
                    <w:wordWrap/>
                    <w:overflowPunct/>
                    <w:autoSpaceDE w:val="0"/>
                    <w:autoSpaceDN w:val="0"/>
                    <w:bidi w:val="0"/>
                    <w:adjustRightInd/>
                    <w:snapToGrid/>
                    <w:spacing w:line="240" w:lineRule="auto"/>
                    <w:ind w:firstLine="0" w:firstLineChars="0"/>
                    <w:jc w:val="center"/>
                    <w:textAlignment w:val="cente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86.7</w:t>
                  </w:r>
                </w:p>
              </w:tc>
              <w:tc>
                <w:tcPr>
                  <w:tcW w:w="763" w:type="pct"/>
                  <w:tcBorders>
                    <w:tl2br w:val="nil"/>
                    <w:tr2bl w:val="nil"/>
                  </w:tcBorders>
                  <w:noWrap w:val="0"/>
                  <w:vAlign w:val="center"/>
                </w:tcPr>
                <w:p>
                  <w:pPr>
                    <w:keepNext w:val="0"/>
                    <w:keepLines w:val="0"/>
                    <w:pageBreakBefore w:val="0"/>
                    <w:widowControl w:val="0"/>
                    <w:suppressLineNumbers w:val="0"/>
                    <w:kinsoku/>
                    <w:wordWrap/>
                    <w:overflowPunct/>
                    <w:bidi w:val="0"/>
                    <w:adjustRightInd/>
                    <w:snapToGrid/>
                    <w:spacing w:beforeAutospacing="0" w:afterAutospacing="0" w:line="240" w:lineRule="auto"/>
                    <w:ind w:left="0" w:leftChars="0" w:right="0" w:rightChars="0" w:firstLine="0" w:firstLineChars="0"/>
                    <w:jc w:val="center"/>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13" w:type="pct"/>
                  <w:tcBorders>
                    <w:tl2br w:val="nil"/>
                    <w:tr2bl w:val="nil"/>
                  </w:tcBorders>
                  <w:noWrap w:val="0"/>
                  <w:vAlign w:val="center"/>
                </w:tcPr>
                <w:p>
                  <w:pPr>
                    <w:keepNext w:val="0"/>
                    <w:keepLines w:val="0"/>
                    <w:pageBreakBefore w:val="0"/>
                    <w:widowControl w:val="0"/>
                    <w:suppressLineNumbers w:val="0"/>
                    <w:kinsoku/>
                    <w:wordWrap/>
                    <w:overflowPunct/>
                    <w:bidi w:val="0"/>
                    <w:adjustRightInd/>
                    <w:snapToGrid/>
                    <w:spacing w:beforeAutospacing="0" w:afterAutospacing="0" w:line="240" w:lineRule="auto"/>
                    <w:ind w:left="0" w:leftChars="0" w:right="0" w:rightChars="0" w:firstLine="0" w:firstLineChars="0"/>
                    <w:jc w:val="center"/>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bidi="ar"/>
                      <w14:textFill>
                        <w14:solidFill>
                          <w14:schemeClr w14:val="tx1"/>
                        </w14:solidFill>
                      </w14:textFill>
                    </w:rPr>
                    <w:t>CO</w:t>
                  </w:r>
                </w:p>
              </w:tc>
              <w:tc>
                <w:tcPr>
                  <w:tcW w:w="1585" w:type="pct"/>
                  <w:tcBorders>
                    <w:tl2br w:val="nil"/>
                    <w:tr2bl w:val="nil"/>
                  </w:tcBorders>
                  <w:noWrap w:val="0"/>
                  <w:vAlign w:val="center"/>
                </w:tcPr>
                <w:p>
                  <w:pPr>
                    <w:keepNext w:val="0"/>
                    <w:keepLines w:val="0"/>
                    <w:pageBreakBefore w:val="0"/>
                    <w:widowControl/>
                    <w:kinsoku/>
                    <w:wordWrap/>
                    <w:overflowPunct/>
                    <w:topLinePunct/>
                    <w:autoSpaceDE w:val="0"/>
                    <w:autoSpaceDN w:val="0"/>
                    <w:bidi w:val="0"/>
                    <w:adjustRightInd/>
                    <w:snapToGrid/>
                    <w:spacing w:line="240" w:lineRule="auto"/>
                    <w:ind w:firstLine="0" w:firstLineChars="0"/>
                    <w:jc w:val="center"/>
                    <w:textAlignment w:val="baseline"/>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24h平均第95百分位数</w:t>
                  </w:r>
                </w:p>
              </w:tc>
              <w:tc>
                <w:tcPr>
                  <w:tcW w:w="671" w:type="pct"/>
                  <w:tcBorders>
                    <w:tl2br w:val="nil"/>
                    <w:tr2bl w:val="nil"/>
                  </w:tcBorders>
                  <w:noWrap w:val="0"/>
                  <w:vAlign w:val="center"/>
                </w:tcPr>
                <w:p>
                  <w:pPr>
                    <w:keepNext w:val="0"/>
                    <w:keepLines w:val="0"/>
                    <w:pageBreakBefore w:val="0"/>
                    <w:widowControl w:val="0"/>
                    <w:suppressLineNumbers w:val="0"/>
                    <w:kinsoku/>
                    <w:wordWrap/>
                    <w:overflowPunct/>
                    <w:bidi w:val="0"/>
                    <w:adjustRightInd/>
                    <w:snapToGrid/>
                    <w:spacing w:beforeAutospacing="0" w:afterAutospacing="0" w:line="240" w:lineRule="auto"/>
                    <w:ind w:left="0" w:leftChars="0" w:right="0" w:rightChars="0" w:firstLine="0" w:firstLineChars="0"/>
                    <w:jc w:val="cente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900</w:t>
                  </w:r>
                </w:p>
              </w:tc>
              <w:tc>
                <w:tcPr>
                  <w:tcW w:w="654" w:type="pct"/>
                  <w:tcBorders>
                    <w:tl2br w:val="nil"/>
                    <w:tr2bl w:val="nil"/>
                  </w:tcBorders>
                  <w:noWrap w:val="0"/>
                  <w:vAlign w:val="center"/>
                </w:tcPr>
                <w:p>
                  <w:pPr>
                    <w:keepNext w:val="0"/>
                    <w:keepLines w:val="0"/>
                    <w:pageBreakBefore w:val="0"/>
                    <w:widowControl w:val="0"/>
                    <w:suppressLineNumbers w:val="0"/>
                    <w:kinsoku/>
                    <w:wordWrap/>
                    <w:overflowPunct/>
                    <w:bidi w:val="0"/>
                    <w:adjustRightInd/>
                    <w:snapToGrid/>
                    <w:spacing w:beforeAutospacing="0" w:afterAutospacing="0" w:line="240" w:lineRule="auto"/>
                    <w:ind w:left="0" w:leftChars="0" w:right="0" w:rightChars="0" w:firstLine="0" w:firstLineChars="0"/>
                    <w:jc w:val="cente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4000</w:t>
                  </w:r>
                </w:p>
              </w:tc>
              <w:tc>
                <w:tcPr>
                  <w:tcW w:w="711" w:type="pct"/>
                  <w:tcBorders>
                    <w:tl2br w:val="nil"/>
                    <w:tr2bl w:val="nil"/>
                  </w:tcBorders>
                  <w:noWrap w:val="0"/>
                  <w:vAlign w:val="center"/>
                </w:tcPr>
                <w:p>
                  <w:pPr>
                    <w:keepNext w:val="0"/>
                    <w:keepLines w:val="0"/>
                    <w:pageBreakBefore w:val="0"/>
                    <w:widowControl/>
                    <w:kinsoku/>
                    <w:wordWrap/>
                    <w:overflowPunct/>
                    <w:autoSpaceDE w:val="0"/>
                    <w:autoSpaceDN w:val="0"/>
                    <w:bidi w:val="0"/>
                    <w:adjustRightInd/>
                    <w:snapToGrid/>
                    <w:spacing w:line="240" w:lineRule="auto"/>
                    <w:ind w:firstLine="0" w:firstLineChars="0"/>
                    <w:jc w:val="center"/>
                    <w:textAlignment w:val="cente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22.5</w:t>
                  </w:r>
                </w:p>
              </w:tc>
              <w:tc>
                <w:tcPr>
                  <w:tcW w:w="763" w:type="pct"/>
                  <w:tcBorders>
                    <w:tl2br w:val="nil"/>
                    <w:tr2bl w:val="nil"/>
                  </w:tcBorders>
                  <w:noWrap w:val="0"/>
                  <w:vAlign w:val="center"/>
                </w:tcPr>
                <w:p>
                  <w:pPr>
                    <w:keepNext w:val="0"/>
                    <w:keepLines w:val="0"/>
                    <w:pageBreakBefore w:val="0"/>
                    <w:widowControl/>
                    <w:kinsoku/>
                    <w:wordWrap/>
                    <w:overflowPunct/>
                    <w:topLinePunct/>
                    <w:autoSpaceDE w:val="0"/>
                    <w:autoSpaceDN w:val="0"/>
                    <w:bidi w:val="0"/>
                    <w:adjustRightInd/>
                    <w:snapToGrid/>
                    <w:spacing w:line="240" w:lineRule="auto"/>
                    <w:ind w:firstLine="0" w:firstLineChars="0"/>
                    <w:jc w:val="center"/>
                    <w:textAlignment w:val="baseline"/>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bCs/>
                      <w:color w:val="000000" w:themeColor="text1"/>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tcBorders>
                    <w:tl2br w:val="nil"/>
                    <w:tr2bl w:val="nil"/>
                  </w:tcBorders>
                  <w:noWrap w:val="0"/>
                  <w:vAlign w:val="center"/>
                </w:tcPr>
                <w:p>
                  <w:pPr>
                    <w:keepNext w:val="0"/>
                    <w:keepLines w:val="0"/>
                    <w:pageBreakBefore w:val="0"/>
                    <w:widowControl/>
                    <w:kinsoku/>
                    <w:wordWrap/>
                    <w:overflowPunct/>
                    <w:autoSpaceDE w:val="0"/>
                    <w:autoSpaceDN w:val="0"/>
                    <w:bidi w:val="0"/>
                    <w:adjustRightInd/>
                    <w:snapToGrid/>
                    <w:spacing w:line="240" w:lineRule="auto"/>
                    <w:ind w:firstLine="0" w:firstLineChars="0"/>
                    <w:jc w:val="center"/>
                    <w:textAlignment w:val="baseline"/>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bCs/>
                      <w:color w:val="000000" w:themeColor="text1"/>
                      <w:sz w:val="21"/>
                      <w:szCs w:val="21"/>
                      <w14:textFill>
                        <w14:solidFill>
                          <w14:schemeClr w14:val="tx1"/>
                        </w14:solidFill>
                      </w14:textFill>
                    </w:rPr>
                    <w:t>O</w:t>
                  </w:r>
                  <w:r>
                    <w:rPr>
                      <w:rFonts w:hint="default" w:ascii="Times New Roman" w:hAnsi="Times New Roman" w:eastAsia="华文中宋" w:cs="Times New Roman"/>
                      <w:bCs/>
                      <w:color w:val="000000" w:themeColor="text1"/>
                      <w:sz w:val="21"/>
                      <w:szCs w:val="21"/>
                      <w:vertAlign w:val="subscript"/>
                      <w14:textFill>
                        <w14:solidFill>
                          <w14:schemeClr w14:val="tx1"/>
                        </w14:solidFill>
                      </w14:textFill>
                    </w:rPr>
                    <w:t>3</w:t>
                  </w:r>
                  <w:r>
                    <w:rPr>
                      <w:rFonts w:hint="default" w:ascii="Times New Roman" w:hAnsi="Times New Roman" w:eastAsia="华文中宋" w:cs="Times New Roman"/>
                      <w:bCs/>
                      <w:color w:val="000000" w:themeColor="text1"/>
                      <w:sz w:val="21"/>
                      <w:szCs w:val="21"/>
                      <w14:textFill>
                        <w14:solidFill>
                          <w14:schemeClr w14:val="tx1"/>
                        </w14:solidFill>
                      </w14:textFill>
                    </w:rPr>
                    <w:t>（8小时均值）</w:t>
                  </w:r>
                </w:p>
              </w:tc>
              <w:tc>
                <w:tcPr>
                  <w:tcW w:w="1585" w:type="pct"/>
                  <w:tcBorders>
                    <w:tl2br w:val="nil"/>
                    <w:tr2bl w:val="nil"/>
                  </w:tcBorders>
                  <w:noWrap w:val="0"/>
                  <w:vAlign w:val="center"/>
                </w:tcPr>
                <w:p>
                  <w:pPr>
                    <w:keepNext w:val="0"/>
                    <w:keepLines w:val="0"/>
                    <w:pageBreakBefore w:val="0"/>
                    <w:widowControl/>
                    <w:kinsoku/>
                    <w:wordWrap/>
                    <w:overflowPunct/>
                    <w:topLinePunct/>
                    <w:autoSpaceDE w:val="0"/>
                    <w:autoSpaceDN w:val="0"/>
                    <w:bidi w:val="0"/>
                    <w:adjustRightInd/>
                    <w:snapToGrid/>
                    <w:spacing w:line="240" w:lineRule="auto"/>
                    <w:ind w:firstLine="0" w:firstLineChars="0"/>
                    <w:jc w:val="center"/>
                    <w:textAlignment w:val="baseline"/>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bCs/>
                      <w:color w:val="000000" w:themeColor="text1"/>
                      <w:sz w:val="21"/>
                      <w:szCs w:val="21"/>
                      <w14:textFill>
                        <w14:solidFill>
                          <w14:schemeClr w14:val="tx1"/>
                        </w14:solidFill>
                      </w14:textFill>
                    </w:rPr>
                    <w:t>8h最大平均第90百分位数</w:t>
                  </w:r>
                </w:p>
              </w:tc>
              <w:tc>
                <w:tcPr>
                  <w:tcW w:w="671" w:type="pct"/>
                  <w:tcBorders>
                    <w:tl2br w:val="nil"/>
                    <w:tr2bl w:val="nil"/>
                  </w:tcBorders>
                  <w:noWrap w:val="0"/>
                  <w:vAlign w:val="center"/>
                </w:tcPr>
                <w:p>
                  <w:pPr>
                    <w:keepNext w:val="0"/>
                    <w:keepLines w:val="0"/>
                    <w:pageBreakBefore w:val="0"/>
                    <w:widowControl w:val="0"/>
                    <w:suppressLineNumbers w:val="0"/>
                    <w:kinsoku/>
                    <w:wordWrap/>
                    <w:overflowPunct/>
                    <w:bidi w:val="0"/>
                    <w:adjustRightInd/>
                    <w:snapToGrid/>
                    <w:spacing w:beforeAutospacing="0" w:afterAutospacing="0" w:line="240" w:lineRule="auto"/>
                    <w:ind w:left="0" w:leftChars="0" w:right="0" w:rightChars="0" w:firstLine="0" w:firstLineChars="0"/>
                    <w:jc w:val="cente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121</w:t>
                  </w:r>
                </w:p>
              </w:tc>
              <w:tc>
                <w:tcPr>
                  <w:tcW w:w="654" w:type="pct"/>
                  <w:tcBorders>
                    <w:tl2br w:val="nil"/>
                    <w:tr2bl w:val="nil"/>
                  </w:tcBorders>
                  <w:noWrap w:val="0"/>
                  <w:vAlign w:val="center"/>
                </w:tcPr>
                <w:p>
                  <w:pPr>
                    <w:keepNext w:val="0"/>
                    <w:keepLines w:val="0"/>
                    <w:pageBreakBefore w:val="0"/>
                    <w:widowControl w:val="0"/>
                    <w:suppressLineNumbers w:val="0"/>
                    <w:kinsoku/>
                    <w:wordWrap/>
                    <w:overflowPunct/>
                    <w:bidi w:val="0"/>
                    <w:adjustRightInd/>
                    <w:snapToGrid/>
                    <w:spacing w:beforeAutospacing="0" w:afterAutospacing="0" w:line="240" w:lineRule="auto"/>
                    <w:ind w:left="0" w:leftChars="0" w:right="0" w:rightChars="0" w:firstLine="0" w:firstLineChars="0"/>
                    <w:jc w:val="cente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160</w:t>
                  </w:r>
                </w:p>
              </w:tc>
              <w:tc>
                <w:tcPr>
                  <w:tcW w:w="711" w:type="pct"/>
                  <w:tcBorders>
                    <w:tl2br w:val="nil"/>
                    <w:tr2bl w:val="nil"/>
                  </w:tcBorders>
                  <w:noWrap w:val="0"/>
                  <w:vAlign w:val="center"/>
                </w:tcPr>
                <w:p>
                  <w:pPr>
                    <w:keepNext w:val="0"/>
                    <w:keepLines w:val="0"/>
                    <w:pageBreakBefore w:val="0"/>
                    <w:widowControl/>
                    <w:kinsoku/>
                    <w:wordWrap/>
                    <w:overflowPunct/>
                    <w:autoSpaceDE w:val="0"/>
                    <w:autoSpaceDN w:val="0"/>
                    <w:bidi w:val="0"/>
                    <w:adjustRightInd/>
                    <w:snapToGrid/>
                    <w:spacing w:line="240" w:lineRule="auto"/>
                    <w:ind w:firstLine="0" w:firstLineChars="0"/>
                    <w:jc w:val="center"/>
                    <w:textAlignment w:val="cente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Cs/>
                      <w:color w:val="000000" w:themeColor="text1"/>
                      <w:sz w:val="21"/>
                      <w:szCs w:val="21"/>
                      <w:lang w:val="en-US" w:eastAsia="zh-CN"/>
                      <w14:textFill>
                        <w14:solidFill>
                          <w14:schemeClr w14:val="tx1"/>
                        </w14:solidFill>
                      </w14:textFill>
                    </w:rPr>
                    <w:t>75.6</w:t>
                  </w:r>
                </w:p>
              </w:tc>
              <w:tc>
                <w:tcPr>
                  <w:tcW w:w="763" w:type="pct"/>
                  <w:tcBorders>
                    <w:tl2br w:val="nil"/>
                    <w:tr2bl w:val="nil"/>
                  </w:tcBorders>
                  <w:noWrap w:val="0"/>
                  <w:vAlign w:val="center"/>
                </w:tcPr>
                <w:p>
                  <w:pPr>
                    <w:keepNext w:val="0"/>
                    <w:keepLines w:val="0"/>
                    <w:pageBreakBefore w:val="0"/>
                    <w:widowControl/>
                    <w:kinsoku/>
                    <w:wordWrap/>
                    <w:overflowPunct/>
                    <w:topLinePunct/>
                    <w:autoSpaceDE w:val="0"/>
                    <w:autoSpaceDN w:val="0"/>
                    <w:bidi w:val="0"/>
                    <w:adjustRightInd/>
                    <w:snapToGrid/>
                    <w:spacing w:line="240" w:lineRule="auto"/>
                    <w:ind w:firstLine="0" w:firstLineChars="0"/>
                    <w:jc w:val="center"/>
                    <w:textAlignment w:val="baseline"/>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bCs/>
                      <w:color w:val="000000" w:themeColor="text1"/>
                      <w:sz w:val="21"/>
                      <w:szCs w:val="21"/>
                      <w14:textFill>
                        <w14:solidFill>
                          <w14:schemeClr w14:val="tx1"/>
                        </w14:solidFill>
                      </w14:textFill>
                    </w:rPr>
                    <w:t>达标</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华文中宋" w:cs="Times New Roman"/>
                <w:color w:val="000000" w:themeColor="text1"/>
                <w:sz w:val="24"/>
                <w:szCs w:val="24"/>
                <w:lang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由上表</w:t>
            </w:r>
            <w:r>
              <w:rPr>
                <w:rFonts w:hint="default" w:ascii="Times New Roman" w:hAnsi="Times New Roman" w:eastAsia="华文中宋" w:cs="Times New Roman"/>
                <w:color w:val="000000" w:themeColor="text1"/>
                <w:sz w:val="24"/>
                <w:szCs w:val="24"/>
                <w14:textFill>
                  <w14:solidFill>
                    <w14:schemeClr w14:val="tx1"/>
                  </w14:solidFill>
                </w14:textFill>
              </w:rPr>
              <w:t>可知，SO</w:t>
            </w:r>
            <w:r>
              <w:rPr>
                <w:rFonts w:hint="default" w:ascii="Times New Roman" w:hAnsi="Times New Roman" w:eastAsia="华文中宋" w:cs="Times New Roman"/>
                <w:color w:val="000000" w:themeColor="text1"/>
                <w:sz w:val="24"/>
                <w:szCs w:val="24"/>
                <w:vertAlign w:val="subscript"/>
                <w14:textFill>
                  <w14:solidFill>
                    <w14:schemeClr w14:val="tx1"/>
                  </w14:solidFill>
                </w14:textFill>
              </w:rPr>
              <w:t>2</w:t>
            </w:r>
            <w:r>
              <w:rPr>
                <w:rFonts w:hint="default" w:ascii="Times New Roman" w:hAnsi="Times New Roman" w:eastAsia="华文中宋" w:cs="Times New Roman"/>
                <w:color w:val="000000" w:themeColor="text1"/>
                <w:sz w:val="24"/>
                <w:szCs w:val="24"/>
                <w14:textFill>
                  <w14:solidFill>
                    <w14:schemeClr w14:val="tx1"/>
                  </w14:solidFill>
                </w14:textFill>
              </w:rPr>
              <w:t>、NO</w:t>
            </w:r>
            <w:r>
              <w:rPr>
                <w:rFonts w:hint="default" w:ascii="Times New Roman" w:hAnsi="Times New Roman" w:eastAsia="华文中宋" w:cs="Times New Roman"/>
                <w:color w:val="000000" w:themeColor="text1"/>
                <w:sz w:val="24"/>
                <w:szCs w:val="24"/>
                <w:vertAlign w:val="subscript"/>
                <w14:textFill>
                  <w14:solidFill>
                    <w14:schemeClr w14:val="tx1"/>
                  </w14:solidFill>
                </w14:textFill>
              </w:rPr>
              <w:t>2</w:t>
            </w:r>
            <w:r>
              <w:rPr>
                <w:rFonts w:hint="default" w:ascii="Times New Roman" w:hAnsi="Times New Roman" w:eastAsia="华文中宋" w:cs="Times New Roman"/>
                <w:color w:val="000000" w:themeColor="text1"/>
                <w:sz w:val="24"/>
                <w:szCs w:val="24"/>
                <w14:textFill>
                  <w14:solidFill>
                    <w14:schemeClr w14:val="tx1"/>
                  </w14:solidFill>
                </w14:textFill>
              </w:rPr>
              <w:t>、CO</w:t>
            </w:r>
            <w:r>
              <w:rPr>
                <w:rFonts w:hint="default" w:ascii="Times New Roman" w:hAnsi="Times New Roman" w:eastAsia="华文中宋" w:cs="Times New Roman"/>
                <w:color w:val="000000" w:themeColor="text1"/>
                <w:sz w:val="24"/>
                <w:szCs w:val="24"/>
                <w:lang w:eastAsia="zh-CN"/>
                <w14:textFill>
                  <w14:solidFill>
                    <w14:schemeClr w14:val="tx1"/>
                  </w14:solidFill>
                </w14:textFill>
              </w:rPr>
              <w:t>、</w:t>
            </w:r>
            <w:r>
              <w:rPr>
                <w:rFonts w:hint="default" w:ascii="Times New Roman" w:hAnsi="Times New Roman" w:eastAsia="华文中宋" w:cs="Times New Roman"/>
                <w:color w:val="000000" w:themeColor="text1"/>
                <w:sz w:val="24"/>
                <w:szCs w:val="24"/>
                <w14:textFill>
                  <w14:solidFill>
                    <w14:schemeClr w14:val="tx1"/>
                  </w14:solidFill>
                </w14:textFill>
              </w:rPr>
              <w:t>O</w:t>
            </w:r>
            <w:r>
              <w:rPr>
                <w:rFonts w:hint="default" w:ascii="Times New Roman" w:hAnsi="Times New Roman" w:eastAsia="华文中宋" w:cs="Times New Roman"/>
                <w:color w:val="000000" w:themeColor="text1"/>
                <w:sz w:val="24"/>
                <w:szCs w:val="24"/>
                <w:vertAlign w:val="subscript"/>
                <w14:textFill>
                  <w14:solidFill>
                    <w14:schemeClr w14:val="tx1"/>
                  </w14:solidFill>
                </w14:textFill>
              </w:rPr>
              <w:t>3</w:t>
            </w:r>
            <w:r>
              <w:rPr>
                <w:rFonts w:hint="default" w:ascii="Times New Roman" w:hAnsi="Times New Roman" w:eastAsia="华文中宋" w:cs="Times New Roman"/>
                <w:color w:val="000000" w:themeColor="text1"/>
                <w:sz w:val="24"/>
                <w:szCs w:val="24"/>
                <w:vertAlign w:val="baseline"/>
                <w:lang w:eastAsia="zh-CN"/>
                <w14:textFill>
                  <w14:solidFill>
                    <w14:schemeClr w14:val="tx1"/>
                  </w14:solidFill>
                </w14:textFill>
              </w:rPr>
              <w:t>、</w:t>
            </w:r>
            <w:r>
              <w:rPr>
                <w:rFonts w:hint="default" w:ascii="Times New Roman" w:hAnsi="Times New Roman" w:eastAsia="华文中宋" w:cs="Times New Roman"/>
                <w:color w:val="000000" w:themeColor="text1"/>
                <w:sz w:val="24"/>
                <w:szCs w:val="24"/>
                <w14:textFill>
                  <w14:solidFill>
                    <w14:schemeClr w14:val="tx1"/>
                  </w14:solidFill>
                </w14:textFill>
              </w:rPr>
              <w:t>PM</w:t>
            </w:r>
            <w:r>
              <w:rPr>
                <w:rFonts w:hint="default" w:ascii="Times New Roman" w:hAnsi="Times New Roman" w:eastAsia="华文中宋" w:cs="Times New Roman"/>
                <w:color w:val="000000" w:themeColor="text1"/>
                <w:sz w:val="24"/>
                <w:szCs w:val="24"/>
                <w:vertAlign w:val="subscript"/>
                <w14:textFill>
                  <w14:solidFill>
                    <w14:schemeClr w14:val="tx1"/>
                  </w14:solidFill>
                </w14:textFill>
              </w:rPr>
              <w:t>2.5</w:t>
            </w:r>
            <w:r>
              <w:rPr>
                <w:rFonts w:hint="default" w:ascii="Times New Roman" w:hAnsi="Times New Roman" w:eastAsia="华文中宋" w:cs="Times New Roman"/>
                <w:color w:val="000000" w:themeColor="text1"/>
                <w:sz w:val="24"/>
                <w:szCs w:val="24"/>
                <w14:textFill>
                  <w14:solidFill>
                    <w14:schemeClr w14:val="tx1"/>
                  </w14:solidFill>
                </w14:textFill>
              </w:rPr>
              <w:t>占标率小于100，</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PM</w:t>
            </w:r>
            <w:r>
              <w:rPr>
                <w:rFonts w:hint="default" w:ascii="Times New Roman" w:hAnsi="Times New Roman" w:eastAsia="华文中宋" w:cs="Times New Roman"/>
                <w:color w:val="000000" w:themeColor="text1"/>
                <w:sz w:val="24"/>
                <w:szCs w:val="24"/>
                <w:vertAlign w:val="subscript"/>
                <w:lang w:val="en-US" w:eastAsia="zh-CN"/>
                <w14:textFill>
                  <w14:solidFill>
                    <w14:schemeClr w14:val="tx1"/>
                  </w14:solidFill>
                </w14:textFill>
              </w:rPr>
              <w:t>10</w:t>
            </w:r>
            <w:r>
              <w:rPr>
                <w:rFonts w:hint="default" w:ascii="Times New Roman" w:hAnsi="Times New Roman" w:eastAsia="华文中宋" w:cs="Times New Roman"/>
                <w:color w:val="000000" w:themeColor="text1"/>
                <w:sz w:val="24"/>
                <w:szCs w:val="24"/>
                <w14:textFill>
                  <w14:solidFill>
                    <w14:schemeClr w14:val="tx1"/>
                  </w14:solidFill>
                </w14:textFill>
              </w:rPr>
              <w:t>超出《环境空气质量标准》（GB3095-20</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26</w:t>
            </w:r>
            <w:r>
              <w:rPr>
                <w:rFonts w:hint="default" w:ascii="Times New Roman" w:hAnsi="Times New Roman" w:eastAsia="华文中宋" w:cs="Times New Roman"/>
                <w:color w:val="000000" w:themeColor="text1"/>
                <w:sz w:val="24"/>
                <w:szCs w:val="24"/>
                <w14:textFill>
                  <w14:solidFill>
                    <w14:schemeClr w14:val="tx1"/>
                  </w14:solidFill>
                </w14:textFill>
              </w:rPr>
              <w:t>）</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过渡阶段二</w:t>
            </w:r>
            <w:r>
              <w:rPr>
                <w:rFonts w:hint="default" w:ascii="Times New Roman" w:hAnsi="Times New Roman" w:eastAsia="华文中宋" w:cs="Times New Roman"/>
                <w:color w:val="000000" w:themeColor="text1"/>
                <w:sz w:val="24"/>
                <w:szCs w:val="24"/>
                <w14:textFill>
                  <w14:solidFill>
                    <w14:schemeClr w14:val="tx1"/>
                  </w14:solidFill>
                </w14:textFill>
              </w:rPr>
              <w:t>级标准浓度限值</w:t>
            </w:r>
            <w:r>
              <w:rPr>
                <w:rFonts w:hint="default" w:ascii="Times New Roman" w:hAnsi="Times New Roman" w:eastAsia="华文中宋" w:cs="Times New Roman"/>
                <w:color w:val="000000" w:themeColor="text1"/>
                <w:sz w:val="24"/>
                <w:szCs w:val="24"/>
                <w:lang w:eastAsia="zh-CN"/>
                <w14:textFill>
                  <w14:solidFill>
                    <w14:schemeClr w14:val="tx1"/>
                  </w14:solidFill>
                </w14:textFill>
              </w:rPr>
              <w:t>，</w:t>
            </w:r>
            <w:r>
              <w:rPr>
                <w:rFonts w:hint="default" w:ascii="Times New Roman" w:hAnsi="Times New Roman" w:eastAsia="华文中宋" w:cs="Times New Roman"/>
                <w:color w:val="000000" w:themeColor="text1"/>
                <w:sz w:val="24"/>
                <w:szCs w:val="24"/>
                <w14:textFill>
                  <w14:solidFill>
                    <w14:schemeClr w14:val="tx1"/>
                  </w14:solidFill>
                </w14:textFill>
              </w:rPr>
              <w:t>区域大气环境质量</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为不达标区</w:t>
            </w:r>
            <w:r>
              <w:rPr>
                <w:rFonts w:hint="default" w:ascii="Times New Roman" w:hAnsi="Times New Roman" w:eastAsia="华文中宋" w:cs="Times New Roman"/>
                <w:color w:val="000000" w:themeColor="text1"/>
                <w:sz w:val="24"/>
                <w:szCs w:val="24"/>
                <w14:textFill>
                  <w14:solidFill>
                    <w14:schemeClr w14:val="tx1"/>
                  </w14:solidFill>
                </w14:textFill>
              </w:rPr>
              <w:t>。</w:t>
            </w:r>
          </w:p>
          <w:p>
            <w:pPr>
              <w:pStyle w:val="5"/>
              <w:pageBreakBefore w:val="0"/>
              <w:kinsoku/>
              <w:wordWrap/>
              <w:overflowPunct/>
              <w:topLinePunct w:val="0"/>
              <w:autoSpaceDE/>
              <w:autoSpaceDN/>
              <w:bidi w:val="0"/>
              <w:adjustRightInd/>
              <w:snapToGrid/>
              <w:spacing w:before="0" w:after="0" w:line="500" w:lineRule="exact"/>
              <w:ind w:right="0" w:rightChars="0"/>
              <w:textAlignment w:val="auto"/>
              <w:outlineLvl w:val="1"/>
              <w:rPr>
                <w:rFonts w:hint="default" w:ascii="Times New Roman" w:hAnsi="Times New Roman" w:eastAsia="华文中宋" w:cs="Times New Roman"/>
                <w:color w:val="000000" w:themeColor="text1"/>
                <w:sz w:val="24"/>
                <w:szCs w:val="24"/>
                <w:lang w:val="zh-CN"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3</w:t>
            </w:r>
            <w:r>
              <w:rPr>
                <w:rFonts w:hint="default" w:ascii="Times New Roman" w:hAnsi="Times New Roman" w:eastAsia="华文中宋" w:cs="Times New Roman"/>
                <w:color w:val="000000" w:themeColor="text1"/>
                <w:sz w:val="24"/>
                <w:szCs w:val="24"/>
                <w:lang w:val="zh-CN"/>
                <w14:textFill>
                  <w14:solidFill>
                    <w14:schemeClr w14:val="tx1"/>
                  </w14:solidFill>
                </w14:textFill>
              </w:rPr>
              <w:t>、</w:t>
            </w:r>
            <w:r>
              <w:rPr>
                <w:rFonts w:hint="default" w:ascii="Times New Roman" w:hAnsi="Times New Roman" w:eastAsia="华文中宋" w:cs="Times New Roman"/>
                <w:color w:val="000000" w:themeColor="text1"/>
                <w:sz w:val="24"/>
                <w:szCs w:val="24"/>
                <w:lang w:val="zh-CN" w:eastAsia="zh-CN"/>
                <w14:textFill>
                  <w14:solidFill>
                    <w14:schemeClr w14:val="tx1"/>
                  </w14:solidFill>
                </w14:textFill>
              </w:rPr>
              <w:t>地</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表</w:t>
            </w:r>
            <w:r>
              <w:rPr>
                <w:rFonts w:hint="default" w:ascii="Times New Roman" w:hAnsi="Times New Roman" w:eastAsia="华文中宋" w:cs="Times New Roman"/>
                <w:color w:val="000000" w:themeColor="text1"/>
                <w:sz w:val="24"/>
                <w:szCs w:val="24"/>
                <w:lang w:val="zh-CN" w:eastAsia="zh-CN"/>
                <w14:textFill>
                  <w14:solidFill>
                    <w14:schemeClr w14:val="tx1"/>
                  </w14:solidFill>
                </w14:textFill>
              </w:rPr>
              <w:t>水环境质量现状评价</w:t>
            </w:r>
          </w:p>
          <w:p>
            <w:pPr>
              <w:pStyle w:val="11"/>
              <w:keepNext w:val="0"/>
              <w:keepLines w:val="0"/>
              <w:pageBreakBefore w:val="0"/>
              <w:widowControl/>
              <w:kinsoku/>
              <w:wordWrap/>
              <w:overflowPunct/>
              <w:topLinePunct w:val="0"/>
              <w:autoSpaceDE/>
              <w:autoSpaceDN/>
              <w:bidi w:val="0"/>
              <w:adjustRightInd/>
              <w:snapToGrid w:val="0"/>
              <w:spacing w:before="0" w:after="0" w:line="500" w:lineRule="exact"/>
              <w:ind w:right="0" w:firstLine="480"/>
              <w:jc w:val="both"/>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bookmarkStart w:id="31" w:name="OLE_LINK25"/>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本项目为勘探项目，项目钻探过程废水循环使用，无生产废水外排，勘探不产生探槽涌水；生活污水修建化粪池，定期拉运至且末县污水处理厂处理；运营过程中无废水外排，依据《环境影响评价技术导则 地表水环境》（HJ2.3-2018）的规定，本项目地表水评价等级为三级B，本次不做地表水环境质量调查。</w:t>
            </w:r>
          </w:p>
          <w:bookmarkEnd w:id="31"/>
          <w:p>
            <w:pPr>
              <w:pStyle w:val="5"/>
              <w:pageBreakBefore w:val="0"/>
              <w:kinsoku/>
              <w:wordWrap/>
              <w:overflowPunct/>
              <w:topLinePunct w:val="0"/>
              <w:autoSpaceDE/>
              <w:autoSpaceDN/>
              <w:bidi w:val="0"/>
              <w:adjustRightInd/>
              <w:snapToGrid/>
              <w:spacing w:before="0" w:after="0" w:line="500" w:lineRule="exact"/>
              <w:ind w:right="0" w:rightChars="0"/>
              <w:textAlignment w:val="auto"/>
              <w:outlineLvl w:val="1"/>
              <w:rPr>
                <w:rFonts w:hint="default" w:ascii="Times New Roman" w:hAnsi="Times New Roman" w:eastAsia="华文中宋" w:cs="Times New Roman"/>
                <w:color w:val="000000" w:themeColor="text1"/>
                <w:sz w:val="24"/>
                <w:szCs w:val="24"/>
                <w:lang w:val="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4、</w:t>
            </w:r>
            <w:r>
              <w:rPr>
                <w:rFonts w:hint="default" w:ascii="Times New Roman" w:hAnsi="Times New Roman" w:eastAsia="华文中宋" w:cs="Times New Roman"/>
                <w:color w:val="000000" w:themeColor="text1"/>
                <w:sz w:val="24"/>
                <w:szCs w:val="24"/>
                <w:lang w:val="zh-CN"/>
                <w14:textFill>
                  <w14:solidFill>
                    <w14:schemeClr w14:val="tx1"/>
                  </w14:solidFill>
                </w14:textFill>
              </w:rPr>
              <w:t>地下水环境质量现状调查与评价</w:t>
            </w:r>
            <w:bookmarkEnd w:id="22"/>
            <w:bookmarkEnd w:id="23"/>
            <w:bookmarkEnd w:id="24"/>
            <w:bookmarkEnd w:id="25"/>
            <w:bookmarkEnd w:id="26"/>
            <w:bookmarkEnd w:id="27"/>
          </w:p>
          <w:bookmarkEnd w:id="28"/>
          <w:bookmarkEnd w:id="29"/>
          <w:bookmarkEnd w:id="30"/>
          <w:p>
            <w:pPr>
              <w:pStyle w:val="11"/>
              <w:keepNext w:val="0"/>
              <w:keepLines w:val="0"/>
              <w:pageBreakBefore w:val="0"/>
              <w:widowControl/>
              <w:kinsoku/>
              <w:wordWrap/>
              <w:overflowPunct/>
              <w:topLinePunct w:val="0"/>
              <w:autoSpaceDE/>
              <w:autoSpaceDN/>
              <w:bidi w:val="0"/>
              <w:adjustRightInd/>
              <w:snapToGrid w:val="0"/>
              <w:spacing w:before="0" w:after="0" w:line="500" w:lineRule="exact"/>
              <w:ind w:right="0" w:firstLine="480"/>
              <w:jc w:val="both"/>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根据《环境影响评价技术导则·地下水环境》（HJ610-2016）中关于地下水环境影响评价等级的规定，本项目属于“</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地质勘查矿产资源地质勘查（包括勘探活动）</w:t>
            </w:r>
            <w:r>
              <w:rPr>
                <w:rFonts w:hint="default" w:ascii="Times New Roman" w:hAnsi="Times New Roman" w:eastAsia="华文中宋" w:cs="Times New Roman"/>
                <w:color w:val="000000" w:themeColor="text1"/>
                <w:sz w:val="24"/>
                <w:szCs w:val="24"/>
                <w14:textFill>
                  <w14:solidFill>
                    <w14:schemeClr w14:val="tx1"/>
                  </w14:solidFill>
                </w14:textFill>
              </w:rPr>
              <w:t>”，属于Ⅳ类项目，因此确定本项目不需开展地下水环境影响评价工作。</w:t>
            </w:r>
          </w:p>
          <w:p>
            <w:pPr>
              <w:pageBreakBefore w:val="0"/>
              <w:widowControl w:val="0"/>
              <w:kinsoku/>
              <w:wordWrap/>
              <w:overflowPunct w:val="0"/>
              <w:autoSpaceDE/>
              <w:autoSpaceDN/>
              <w:bidi w:val="0"/>
              <w:adjustRightInd/>
              <w:snapToGrid/>
              <w:spacing w:line="500" w:lineRule="exact"/>
              <w:textAlignment w:val="auto"/>
              <w:rPr>
                <w:rFonts w:hint="default" w:ascii="Times New Roman" w:hAnsi="Times New Roman" w:eastAsia="华文中宋" w:cs="Times New Roman"/>
                <w:b/>
                <w:color w:val="000000" w:themeColor="text1"/>
                <w:sz w:val="24"/>
                <w:szCs w:val="24"/>
                <w14:textFill>
                  <w14:solidFill>
                    <w14:schemeClr w14:val="tx1"/>
                  </w14:solidFill>
                </w14:textFill>
              </w:rPr>
            </w:pPr>
            <w:r>
              <w:rPr>
                <w:rFonts w:hint="default" w:ascii="Times New Roman" w:hAnsi="Times New Roman" w:eastAsia="华文中宋" w:cs="Times New Roman"/>
                <w:b/>
                <w:color w:val="000000" w:themeColor="text1"/>
                <w:sz w:val="24"/>
                <w:szCs w:val="24"/>
                <w:lang w:val="en-US" w:eastAsia="zh-CN"/>
                <w14:textFill>
                  <w14:solidFill>
                    <w14:schemeClr w14:val="tx1"/>
                  </w14:solidFill>
                </w14:textFill>
              </w:rPr>
              <w:t>5</w:t>
            </w:r>
            <w:r>
              <w:rPr>
                <w:rFonts w:hint="default" w:ascii="Times New Roman" w:hAnsi="Times New Roman" w:eastAsia="华文中宋" w:cs="Times New Roman"/>
                <w:b/>
                <w:color w:val="000000" w:themeColor="text1"/>
                <w:sz w:val="24"/>
                <w:szCs w:val="24"/>
                <w14:textFill>
                  <w14:solidFill>
                    <w14:schemeClr w14:val="tx1"/>
                  </w14:solidFill>
                </w14:textFill>
              </w:rPr>
              <w:t>、声环境质量现状监测与评价</w:t>
            </w:r>
          </w:p>
          <w:p>
            <w:pPr>
              <w:pageBreakBefore w:val="0"/>
              <w:widowControl w:val="0"/>
              <w:kinsoku/>
              <w:wordWrap/>
              <w:autoSpaceDE/>
              <w:autoSpaceDN/>
              <w:bidi w:val="0"/>
              <w:adjustRightInd/>
              <w:snapToGrid/>
              <w:spacing w:line="500" w:lineRule="exact"/>
              <w:ind w:firstLine="480" w:firstLineChars="200"/>
              <w:jc w:val="both"/>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根据《建设项目环境影响报告表编制技术指南 生态影响类（试行）》中现状调查和评价的规定，本项目边界50m范围内无敏感目标，故不</w:t>
            </w:r>
            <w:r>
              <w:rPr>
                <w:rFonts w:hint="default" w:ascii="Times New Roman" w:hAnsi="Times New Roman" w:eastAsia="华文中宋" w:cs="Times New Roman"/>
                <w:color w:val="000000" w:themeColor="text1"/>
                <w:sz w:val="24"/>
                <w:szCs w:val="24"/>
                <w14:textFill>
                  <w14:solidFill>
                    <w14:schemeClr w14:val="tx1"/>
                  </w14:solidFill>
                </w14:textFill>
              </w:rPr>
              <w:t>需开展</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声</w:t>
            </w:r>
            <w:r>
              <w:rPr>
                <w:rFonts w:hint="default" w:ascii="Times New Roman" w:hAnsi="Times New Roman" w:eastAsia="华文中宋" w:cs="Times New Roman"/>
                <w:color w:val="000000" w:themeColor="text1"/>
                <w:sz w:val="24"/>
                <w:szCs w:val="24"/>
                <w:lang w:eastAsia="zh-CN"/>
                <w14:textFill>
                  <w14:solidFill>
                    <w14:schemeClr w14:val="tx1"/>
                  </w14:solidFill>
                </w14:textFill>
              </w:rPr>
              <w:t>环境质量现状调查监测</w:t>
            </w:r>
            <w:r>
              <w:rPr>
                <w:rFonts w:hint="default" w:ascii="Times New Roman" w:hAnsi="Times New Roman" w:eastAsia="华文中宋"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default" w:ascii="Times New Roman" w:hAnsi="Times New Roman" w:eastAsia="华文中宋" w:cs="Times New Roman"/>
                <w:b/>
                <w:bCs/>
                <w:color w:val="000000" w:themeColor="text1"/>
                <w:sz w:val="24"/>
                <w:szCs w:val="24"/>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6</w:t>
            </w:r>
            <w:r>
              <w:rPr>
                <w:rFonts w:hint="default" w:ascii="Times New Roman" w:hAnsi="Times New Roman" w:eastAsia="华文中宋" w:cs="Times New Roman"/>
                <w:b/>
                <w:bCs/>
                <w:color w:val="000000" w:themeColor="text1"/>
                <w:sz w:val="24"/>
                <w:szCs w:val="24"/>
                <w14:textFill>
                  <w14:solidFill>
                    <w14:schemeClr w14:val="tx1"/>
                  </w14:solidFill>
                </w14:textFill>
              </w:rPr>
              <w:t>、土壤环境状况调查及评价</w:t>
            </w:r>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lang w:val="zh-CN"/>
                <w14:textFill>
                  <w14:solidFill>
                    <w14:schemeClr w14:val="tx1"/>
                  </w14:solidFill>
                </w14:textFill>
              </w:rPr>
            </w:pPr>
            <w:r>
              <w:rPr>
                <w:rFonts w:hint="default" w:ascii="Times New Roman" w:hAnsi="Times New Roman" w:eastAsia="华文中宋" w:cs="Times New Roman"/>
                <w:color w:val="000000" w:themeColor="text1"/>
                <w:sz w:val="24"/>
                <w:szCs w:val="24"/>
                <w:lang w:val="zh-CN"/>
                <w14:textFill>
                  <w14:solidFill>
                    <w14:schemeClr w14:val="tx1"/>
                  </w14:solidFill>
                </w14:textFill>
              </w:rPr>
              <w:t xml:space="preserve">根据《环境影响评价技术导则 </w:t>
            </w:r>
            <w:r>
              <w:rPr>
                <w:rFonts w:hint="default" w:ascii="Times New Roman" w:hAnsi="Times New Roman" w:eastAsia="华文中宋" w:cs="Times New Roman"/>
                <w:color w:val="000000" w:themeColor="text1"/>
                <w:sz w:val="24"/>
                <w:szCs w:val="24"/>
                <w14:textFill>
                  <w14:solidFill>
                    <w14:schemeClr w14:val="tx1"/>
                  </w14:solidFill>
                </w14:textFill>
              </w:rPr>
              <w:t>土壤</w:t>
            </w:r>
            <w:r>
              <w:rPr>
                <w:rFonts w:hint="default" w:ascii="Times New Roman" w:hAnsi="Times New Roman" w:eastAsia="华文中宋" w:cs="Times New Roman"/>
                <w:color w:val="000000" w:themeColor="text1"/>
                <w:sz w:val="24"/>
                <w:szCs w:val="24"/>
                <w:lang w:val="zh-CN"/>
                <w14:textFill>
                  <w14:solidFill>
                    <w14:schemeClr w14:val="tx1"/>
                  </w14:solidFill>
                </w14:textFill>
              </w:rPr>
              <w:t>环境》（HJ</w:t>
            </w:r>
            <w:r>
              <w:rPr>
                <w:rFonts w:hint="default" w:ascii="Times New Roman" w:hAnsi="Times New Roman" w:eastAsia="华文中宋" w:cs="Times New Roman"/>
                <w:color w:val="000000" w:themeColor="text1"/>
                <w:sz w:val="24"/>
                <w:szCs w:val="24"/>
                <w14:textFill>
                  <w14:solidFill>
                    <w14:schemeClr w14:val="tx1"/>
                  </w14:solidFill>
                </w14:textFill>
              </w:rPr>
              <w:t>964</w:t>
            </w:r>
            <w:r>
              <w:rPr>
                <w:rFonts w:hint="default" w:ascii="Times New Roman" w:hAnsi="Times New Roman" w:eastAsia="华文中宋" w:cs="Times New Roman"/>
                <w:color w:val="000000" w:themeColor="text1"/>
                <w:sz w:val="24"/>
                <w:szCs w:val="24"/>
                <w:lang w:val="zh-CN"/>
                <w14:textFill>
                  <w14:solidFill>
                    <w14:schemeClr w14:val="tx1"/>
                  </w14:solidFill>
                </w14:textFill>
              </w:rPr>
              <w:t>-201</w:t>
            </w:r>
            <w:r>
              <w:rPr>
                <w:rFonts w:hint="default" w:ascii="Times New Roman" w:hAnsi="Times New Roman" w:eastAsia="华文中宋" w:cs="Times New Roman"/>
                <w:color w:val="000000" w:themeColor="text1"/>
                <w:sz w:val="24"/>
                <w:szCs w:val="24"/>
                <w14:textFill>
                  <w14:solidFill>
                    <w14:schemeClr w14:val="tx1"/>
                  </w14:solidFill>
                </w14:textFill>
              </w:rPr>
              <w:t>8</w:t>
            </w:r>
            <w:r>
              <w:rPr>
                <w:rFonts w:hint="default" w:ascii="Times New Roman" w:hAnsi="Times New Roman" w:eastAsia="华文中宋" w:cs="Times New Roman"/>
                <w:color w:val="000000" w:themeColor="text1"/>
                <w:sz w:val="24"/>
                <w:szCs w:val="24"/>
                <w:lang w:val="zh-CN"/>
                <w14:textFill>
                  <w14:solidFill>
                    <w14:schemeClr w14:val="tx1"/>
                  </w14:solidFill>
                </w14:textFill>
              </w:rPr>
              <w:t>）（2019年7月1日实施）</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表A1土壤环境影响评价项目类别</w:t>
            </w:r>
            <w:r>
              <w:rPr>
                <w:rFonts w:hint="default" w:ascii="Times New Roman" w:hAnsi="Times New Roman" w:eastAsia="华文中宋" w:cs="Times New Roman"/>
                <w:color w:val="000000" w:themeColor="text1"/>
                <w:sz w:val="24"/>
                <w:szCs w:val="24"/>
                <w:lang w:val="zh-CN"/>
                <w14:textFill>
                  <w14:solidFill>
                    <w14:schemeClr w14:val="tx1"/>
                  </w14:solidFill>
                </w14:textFill>
              </w:rPr>
              <w:t>，本项目属于“</w:t>
            </w:r>
            <w:r>
              <w:rPr>
                <w:rFonts w:hint="default" w:ascii="Times New Roman" w:hAnsi="Times New Roman" w:eastAsia="华文中宋" w:cs="Times New Roman"/>
                <w:color w:val="000000" w:themeColor="text1"/>
                <w:sz w:val="24"/>
                <w:szCs w:val="24"/>
                <w14:textFill>
                  <w14:solidFill>
                    <w14:schemeClr w14:val="tx1"/>
                  </w14:solidFill>
                </w14:textFill>
              </w:rPr>
              <w:t>其他行业</w:t>
            </w:r>
            <w:r>
              <w:rPr>
                <w:rFonts w:hint="default" w:ascii="Times New Roman" w:hAnsi="Times New Roman" w:eastAsia="华文中宋" w:cs="Times New Roman"/>
                <w:color w:val="000000" w:themeColor="text1"/>
                <w:sz w:val="24"/>
                <w:szCs w:val="24"/>
                <w:lang w:val="zh-CN"/>
                <w14:textFill>
                  <w14:solidFill>
                    <w14:schemeClr w14:val="tx1"/>
                  </w14:solidFill>
                </w14:textFill>
              </w:rPr>
              <w:t>”，</w:t>
            </w:r>
            <w:r>
              <w:rPr>
                <w:rFonts w:hint="default" w:ascii="Times New Roman" w:hAnsi="Times New Roman" w:eastAsia="华文中宋" w:cs="Times New Roman"/>
                <w:color w:val="000000" w:themeColor="text1"/>
                <w:sz w:val="24"/>
                <w:szCs w:val="24"/>
                <w14:textFill>
                  <w14:solidFill>
                    <w14:schemeClr w14:val="tx1"/>
                  </w14:solidFill>
                </w14:textFill>
              </w:rPr>
              <w:t>土壤</w:t>
            </w:r>
            <w:r>
              <w:rPr>
                <w:rFonts w:hint="default" w:ascii="Times New Roman" w:hAnsi="Times New Roman" w:eastAsia="华文中宋" w:cs="Times New Roman"/>
                <w:color w:val="000000" w:themeColor="text1"/>
                <w:sz w:val="24"/>
                <w:szCs w:val="24"/>
                <w:lang w:val="zh-CN"/>
                <w14:textFill>
                  <w14:solidFill>
                    <w14:schemeClr w14:val="tx1"/>
                  </w14:solidFill>
                </w14:textFill>
              </w:rPr>
              <w:t>环境影响评价类别为Ⅳ类，故不进行</w:t>
            </w:r>
            <w:r>
              <w:rPr>
                <w:rFonts w:hint="default" w:ascii="Times New Roman" w:hAnsi="Times New Roman" w:eastAsia="华文中宋" w:cs="Times New Roman"/>
                <w:color w:val="000000" w:themeColor="text1"/>
                <w:sz w:val="24"/>
                <w:szCs w:val="24"/>
                <w14:textFill>
                  <w14:solidFill>
                    <w14:schemeClr w14:val="tx1"/>
                  </w14:solidFill>
                </w14:textFill>
              </w:rPr>
              <w:t>土壤环境</w:t>
            </w:r>
            <w:r>
              <w:rPr>
                <w:rFonts w:hint="default" w:ascii="Times New Roman" w:hAnsi="Times New Roman" w:eastAsia="华文中宋" w:cs="Times New Roman"/>
                <w:color w:val="000000" w:themeColor="text1"/>
                <w:sz w:val="24"/>
                <w:szCs w:val="24"/>
                <w:lang w:val="zh-CN"/>
                <w14:textFill>
                  <w14:solidFill>
                    <w14:schemeClr w14:val="tx1"/>
                  </w14:solidFill>
                </w14:textFill>
              </w:rPr>
              <w:t>质量现状调查与评价。</w:t>
            </w:r>
          </w:p>
          <w:p>
            <w:pPr>
              <w:spacing w:line="500" w:lineRule="exact"/>
              <w:ind w:left="0" w:leftChars="0" w:firstLine="0" w:firstLineChars="0"/>
              <w:rPr>
                <w:rFonts w:hint="default" w:ascii="Times New Roman" w:hAnsi="Times New Roman" w:eastAsia="华文中宋" w:cs="Times New Roman"/>
                <w:color w:val="000000" w:themeColor="text1"/>
                <w:sz w:val="24"/>
                <w:szCs w:val="24"/>
                <w:lang w:val="zh-CN"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92" w:type="dxa"/>
            <w:noWrap w:val="0"/>
            <w:vAlign w:val="center"/>
          </w:tcPr>
          <w:p>
            <w:pPr>
              <w:adjustRightInd w:val="0"/>
              <w:snapToGrid w:val="0"/>
              <w:ind w:left="0" w:leftChars="0" w:firstLine="0" w:firstLineChars="0"/>
              <w:jc w:val="both"/>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bCs/>
                <w:color w:val="000000" w:themeColor="text1"/>
                <w:sz w:val="24"/>
                <w:szCs w:val="24"/>
                <w14:textFill>
                  <w14:solidFill>
                    <w14:schemeClr w14:val="tx1"/>
                  </w14:solidFill>
                </w14:textFill>
              </w:rPr>
              <w:t>与项目有关的原有环境污染和生态破坏问题</w:t>
            </w:r>
          </w:p>
        </w:tc>
        <w:tc>
          <w:tcPr>
            <w:tcW w:w="8387" w:type="dxa"/>
            <w:noWrap w:val="0"/>
            <w:vAlign w:val="center"/>
          </w:tcPr>
          <w:p>
            <w:pPr>
              <w:tabs>
                <w:tab w:val="left" w:pos="191"/>
              </w:tabs>
              <w:spacing w:line="360" w:lineRule="auto"/>
              <w:ind w:firstLine="480" w:firstLineChars="200"/>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本项目为</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新勘探项目。不存在</w:t>
            </w:r>
            <w:r>
              <w:rPr>
                <w:rFonts w:hint="default" w:ascii="Times New Roman" w:hAnsi="Times New Roman" w:eastAsia="华文中宋" w:cs="Times New Roman"/>
                <w:bCs/>
                <w:color w:val="000000" w:themeColor="text1"/>
                <w:sz w:val="24"/>
                <w:szCs w:val="24"/>
                <w14:textFill>
                  <w14:solidFill>
                    <w14:schemeClr w14:val="tx1"/>
                  </w14:solidFill>
                </w14:textFill>
              </w:rPr>
              <w:t>与项目有关的原有环境污染和生态破坏问题</w:t>
            </w:r>
            <w:r>
              <w:rPr>
                <w:rFonts w:hint="default" w:ascii="Times New Roman" w:hAnsi="Times New Roman" w:eastAsia="华文中宋" w:cs="Times New Roman"/>
                <w:color w:val="000000" w:themeColor="text1"/>
                <w:sz w:val="24"/>
                <w:szCs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7" w:hRule="atLeast"/>
          <w:jc w:val="center"/>
        </w:trPr>
        <w:tc>
          <w:tcPr>
            <w:tcW w:w="792" w:type="dxa"/>
            <w:noWrap w:val="0"/>
            <w:vAlign w:val="center"/>
          </w:tcPr>
          <w:p>
            <w:pPr>
              <w:adjustRightInd w:val="0"/>
              <w:snapToGrid w:val="0"/>
              <w:ind w:left="0" w:leftChars="0" w:firstLine="0" w:firstLineChars="0"/>
              <w:jc w:val="both"/>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4"/>
                <w14:textFill>
                  <w14:solidFill>
                    <w14:schemeClr w14:val="tx1"/>
                  </w14:solidFill>
                </w14:textFill>
              </w:rPr>
              <w:t>生态环境保护目标</w:t>
            </w:r>
          </w:p>
        </w:tc>
        <w:tc>
          <w:tcPr>
            <w:tcW w:w="8387" w:type="dxa"/>
            <w:noWrap w:val="0"/>
            <w:vAlign w:val="center"/>
          </w:tcPr>
          <w:p>
            <w:pPr>
              <w:spacing w:line="480" w:lineRule="exact"/>
              <w:ind w:firstLine="480" w:firstLineChars="200"/>
              <w:rPr>
                <w:rFonts w:hint="default" w:ascii="Times New Roman" w:hAnsi="Times New Roman" w:eastAsia="华文中宋" w:cs="Times New Roman"/>
                <w:b/>
                <w:bCs/>
                <w:color w:val="000000" w:themeColor="text1"/>
                <w:sz w:val="24"/>
                <w14:textFill>
                  <w14:solidFill>
                    <w14:schemeClr w14:val="tx1"/>
                  </w14:solidFill>
                </w14:textFill>
              </w:rPr>
            </w:pPr>
            <w:r>
              <w:rPr>
                <w:rFonts w:hint="default" w:ascii="Times New Roman" w:hAnsi="Times New Roman" w:eastAsia="华文中宋" w:cs="Times New Roman"/>
                <w:b/>
                <w:bCs/>
                <w:color w:val="000000" w:themeColor="text1"/>
                <w:sz w:val="24"/>
                <w14:textFill>
                  <w14:solidFill>
                    <w14:schemeClr w14:val="tx1"/>
                  </w14:solidFill>
                </w14:textFill>
              </w:rPr>
              <w:t>1、大气环境</w:t>
            </w:r>
          </w:p>
          <w:p>
            <w:pPr>
              <w:pStyle w:val="11"/>
              <w:keepNext w:val="0"/>
              <w:keepLines w:val="0"/>
              <w:pageBreakBefore w:val="0"/>
              <w:widowControl/>
              <w:kinsoku/>
              <w:wordWrap/>
              <w:overflowPunct/>
              <w:topLinePunct w:val="0"/>
              <w:autoSpaceDE/>
              <w:autoSpaceDN/>
              <w:bidi w:val="0"/>
              <w:adjustRightInd/>
              <w:snapToGrid w:val="0"/>
              <w:spacing w:before="0" w:after="0" w:line="500" w:lineRule="exact"/>
              <w:ind w:right="0" w:firstLine="480"/>
              <w:jc w:val="left"/>
              <w:textAlignment w:val="auto"/>
              <w:rPr>
                <w:rFonts w:hint="default" w:ascii="Times New Roman" w:hAnsi="Times New Roman" w:eastAsia="华文中宋" w:cs="Times New Roman"/>
                <w:color w:val="000000" w:themeColor="text1"/>
                <w:kern w:val="2"/>
                <w:sz w:val="24"/>
                <w:szCs w:val="20"/>
                <w:lang w:val="en-US" w:eastAsia="zh-CN" w:bidi="ar-SA"/>
                <w14:textFill>
                  <w14:solidFill>
                    <w14:schemeClr w14:val="tx1"/>
                  </w14:solidFill>
                </w14:textFill>
              </w:rPr>
            </w:pPr>
            <w:r>
              <w:rPr>
                <w:rFonts w:hint="default" w:ascii="Times New Roman" w:hAnsi="Times New Roman" w:eastAsia="华文中宋" w:cs="Times New Roman"/>
                <w:color w:val="000000" w:themeColor="text1"/>
                <w:kern w:val="2"/>
                <w:sz w:val="24"/>
                <w:szCs w:val="20"/>
                <w:lang w:val="en-US" w:eastAsia="zh-CN" w:bidi="ar-SA"/>
                <w14:textFill>
                  <w14:solidFill>
                    <w14:schemeClr w14:val="tx1"/>
                  </w14:solidFill>
                </w14:textFill>
              </w:rPr>
              <w:t>结合现场调查及卫星地图来看，探矿区边界外500m范围内无大气环境保护目标。</w:t>
            </w:r>
          </w:p>
          <w:p>
            <w:pPr>
              <w:spacing w:line="480" w:lineRule="exact"/>
              <w:ind w:firstLine="480" w:firstLineChars="200"/>
              <w:rPr>
                <w:rFonts w:hint="default" w:ascii="Times New Roman" w:hAnsi="Times New Roman" w:eastAsia="华文中宋" w:cs="Times New Roman"/>
                <w:b/>
                <w:bCs/>
                <w:color w:val="000000" w:themeColor="text1"/>
                <w:sz w:val="24"/>
                <w14:textFill>
                  <w14:solidFill>
                    <w14:schemeClr w14:val="tx1"/>
                  </w14:solidFill>
                </w14:textFill>
              </w:rPr>
            </w:pPr>
            <w:r>
              <w:rPr>
                <w:rFonts w:hint="default" w:ascii="Times New Roman" w:hAnsi="Times New Roman" w:eastAsia="华文中宋" w:cs="Times New Roman"/>
                <w:b/>
                <w:bCs/>
                <w:color w:val="000000" w:themeColor="text1"/>
                <w:sz w:val="24"/>
                <w14:textFill>
                  <w14:solidFill>
                    <w14:schemeClr w14:val="tx1"/>
                  </w14:solidFill>
                </w14:textFill>
              </w:rPr>
              <w:t>2、声环境</w:t>
            </w:r>
          </w:p>
          <w:p>
            <w:pPr>
              <w:spacing w:line="480" w:lineRule="exact"/>
              <w:ind w:firstLine="480" w:firstLineChars="200"/>
              <w:rPr>
                <w:rFonts w:hint="default" w:ascii="Times New Roman" w:hAnsi="Times New Roman" w:eastAsia="华文中宋" w:cs="Times New Roman"/>
                <w:color w:val="000000" w:themeColor="text1"/>
                <w:sz w:val="24"/>
                <w14:textFill>
                  <w14:solidFill>
                    <w14:schemeClr w14:val="tx1"/>
                  </w14:solidFill>
                </w14:textFill>
              </w:rPr>
            </w:pPr>
            <w:r>
              <w:rPr>
                <w:rFonts w:hint="default" w:ascii="Times New Roman" w:hAnsi="Times New Roman" w:eastAsia="华文中宋" w:cs="Times New Roman"/>
                <w:color w:val="000000" w:themeColor="text1"/>
                <w:sz w:val="24"/>
                <w14:textFill>
                  <w14:solidFill>
                    <w14:schemeClr w14:val="tx1"/>
                  </w14:solidFill>
                </w14:textFill>
              </w:rPr>
              <w:t>本项目</w:t>
            </w:r>
            <w:r>
              <w:rPr>
                <w:rFonts w:hint="default" w:ascii="Times New Roman" w:hAnsi="Times New Roman" w:eastAsia="华文中宋" w:cs="Times New Roman"/>
                <w:color w:val="000000" w:themeColor="text1"/>
                <w:sz w:val="24"/>
                <w:lang w:eastAsia="zh-CN"/>
                <w14:textFill>
                  <w14:solidFill>
                    <w14:schemeClr w14:val="tx1"/>
                  </w14:solidFill>
                </w14:textFill>
              </w:rPr>
              <w:t>工作区</w:t>
            </w:r>
            <w:r>
              <w:rPr>
                <w:rFonts w:hint="default" w:ascii="Times New Roman" w:hAnsi="Times New Roman" w:eastAsia="华文中宋" w:cs="Times New Roman"/>
                <w:color w:val="000000" w:themeColor="text1"/>
                <w:sz w:val="24"/>
                <w14:textFill>
                  <w14:solidFill>
                    <w14:schemeClr w14:val="tx1"/>
                  </w14:solidFill>
                </w14:textFill>
              </w:rPr>
              <w:t>外50m范围内无声环境保护目标。</w:t>
            </w:r>
          </w:p>
          <w:p>
            <w:pPr>
              <w:spacing w:line="480" w:lineRule="exact"/>
              <w:ind w:firstLine="480" w:firstLineChars="200"/>
              <w:rPr>
                <w:rFonts w:hint="default" w:ascii="Times New Roman" w:hAnsi="Times New Roman" w:eastAsia="华文中宋" w:cs="Times New Roman"/>
                <w:b/>
                <w:bCs/>
                <w:color w:val="000000" w:themeColor="text1"/>
                <w:sz w:val="24"/>
                <w14:textFill>
                  <w14:solidFill>
                    <w14:schemeClr w14:val="tx1"/>
                  </w14:solidFill>
                </w14:textFill>
              </w:rPr>
            </w:pPr>
            <w:r>
              <w:rPr>
                <w:rFonts w:hint="default" w:ascii="Times New Roman" w:hAnsi="Times New Roman" w:eastAsia="华文中宋" w:cs="Times New Roman"/>
                <w:b/>
                <w:bCs/>
                <w:color w:val="000000" w:themeColor="text1"/>
                <w:sz w:val="24"/>
                <w14:textFill>
                  <w14:solidFill>
                    <w14:schemeClr w14:val="tx1"/>
                  </w14:solidFill>
                </w14:textFill>
              </w:rPr>
              <w:t>3、地下水环境</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华文中宋" w:cs="Times New Roman"/>
                <w:color w:val="000000" w:themeColor="text1"/>
                <w:sz w:val="24"/>
                <w14:textFill>
                  <w14:solidFill>
                    <w14:schemeClr w14:val="tx1"/>
                  </w14:solidFill>
                </w14:textFill>
              </w:rPr>
            </w:pPr>
            <w:r>
              <w:rPr>
                <w:rFonts w:hint="default" w:ascii="Times New Roman" w:hAnsi="Times New Roman" w:eastAsia="华文中宋" w:cs="Times New Roman"/>
                <w:color w:val="000000" w:themeColor="text1"/>
                <w:sz w:val="24"/>
                <w14:textFill>
                  <w14:solidFill>
                    <w14:schemeClr w14:val="tx1"/>
                  </w14:solidFill>
                </w14:textFill>
              </w:rPr>
              <w:t>本项目厂界外500m范围内无地下水集中式饮用水水源和热水、矿泉水、温泉等特殊地下水资源。</w:t>
            </w:r>
          </w:p>
          <w:p>
            <w:pPr>
              <w:pStyle w:val="90"/>
              <w:keepNext w:val="0"/>
              <w:keepLines w:val="0"/>
              <w:pageBreakBefore w:val="0"/>
              <w:widowControl w:val="0"/>
              <w:kinsoku/>
              <w:wordWrap/>
              <w:overflowPunct/>
              <w:topLinePunct w:val="0"/>
              <w:autoSpaceDE/>
              <w:autoSpaceDN/>
              <w:bidi w:val="0"/>
              <w:adjustRightInd w:val="0"/>
              <w:snapToGrid w:val="0"/>
              <w:spacing w:before="0" w:line="500" w:lineRule="exact"/>
              <w:ind w:firstLine="480" w:firstLineChars="200"/>
              <w:jc w:val="left"/>
              <w:textAlignment w:val="auto"/>
              <w:rPr>
                <w:rFonts w:hint="default" w:ascii="Times New Roman" w:hAnsi="Times New Roman" w:eastAsia="华文中宋" w:cs="Times New Roman"/>
                <w:color w:val="000000" w:themeColor="text1"/>
                <w:sz w:val="24"/>
                <w:highlight w:val="yellow"/>
                <w14:textFill>
                  <w14:solidFill>
                    <w14:schemeClr w14:val="tx1"/>
                  </w14:solidFill>
                </w14:textFill>
              </w:rPr>
            </w:pPr>
            <w:r>
              <w:rPr>
                <w:rFonts w:hint="default" w:ascii="Times New Roman" w:hAnsi="Times New Roman" w:eastAsia="华文中宋" w:cs="Times New Roman"/>
                <w:color w:val="000000" w:themeColor="text1"/>
                <w:sz w:val="24"/>
                <w14:textFill>
                  <w14:solidFill>
                    <w14:schemeClr w14:val="tx1"/>
                  </w14:solidFill>
                </w14:textFill>
              </w:rPr>
              <w:t>勘查区</w:t>
            </w:r>
            <w:r>
              <w:rPr>
                <w:rFonts w:hint="default" w:ascii="Times New Roman" w:hAnsi="Times New Roman" w:eastAsia="华文中宋" w:cs="Times New Roman"/>
                <w:color w:val="000000" w:themeColor="text1"/>
                <w:sz w:val="24"/>
                <w:lang w:val="en-US" w:eastAsia="zh-CN"/>
                <w14:textFill>
                  <w14:solidFill>
                    <w14:schemeClr w14:val="tx1"/>
                  </w14:solidFill>
                </w14:textFill>
              </w:rPr>
              <w:t>周边环境概况</w:t>
            </w:r>
            <w:r>
              <w:rPr>
                <w:rFonts w:hint="default" w:ascii="Times New Roman" w:hAnsi="Times New Roman" w:eastAsia="华文中宋" w:cs="Times New Roman"/>
                <w:color w:val="000000" w:themeColor="text1"/>
                <w:sz w:val="24"/>
                <w14:textFill>
                  <w14:solidFill>
                    <w14:schemeClr w14:val="tx1"/>
                  </w14:solidFill>
                </w14:textFill>
              </w:rPr>
              <w:t>见表3-</w:t>
            </w:r>
            <w:r>
              <w:rPr>
                <w:rFonts w:hint="default" w:ascii="Times New Roman" w:hAnsi="Times New Roman" w:eastAsia="华文中宋" w:cs="Times New Roman"/>
                <w:color w:val="000000" w:themeColor="text1"/>
                <w:sz w:val="24"/>
                <w:lang w:val="en-US" w:eastAsia="zh-CN"/>
                <w14:textFill>
                  <w14:solidFill>
                    <w14:schemeClr w14:val="tx1"/>
                  </w14:solidFill>
                </w14:textFill>
              </w:rPr>
              <w:t>3。</w:t>
            </w:r>
          </w:p>
          <w:p>
            <w:pPr>
              <w:pStyle w:val="84"/>
              <w:spacing w:before="120" w:after="12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表3-</w:t>
            </w:r>
            <w:r>
              <w:rPr>
                <w:rFonts w:hint="default" w:ascii="Times New Roman" w:hAnsi="Times New Roman" w:eastAsia="华文中宋" w:cs="Times New Roman"/>
                <w:color w:val="000000" w:themeColor="text1"/>
                <w:lang w:val="en-US" w:eastAsia="zh-CN"/>
                <w14:textFill>
                  <w14:solidFill>
                    <w14:schemeClr w14:val="tx1"/>
                  </w14:solidFill>
                </w14:textFill>
              </w:rPr>
              <w:t>3</w:t>
            </w:r>
            <w:r>
              <w:rPr>
                <w:rFonts w:hint="default" w:ascii="Times New Roman" w:hAnsi="Times New Roman" w:eastAsia="华文中宋" w:cs="Times New Roman"/>
                <w:color w:val="000000" w:themeColor="text1"/>
                <w14:textFill>
                  <w14:solidFill>
                    <w14:schemeClr w14:val="tx1"/>
                  </w14:solidFill>
                </w14:textFill>
              </w:rPr>
              <w:t xml:space="preserve">  施工期环境保护目标一览表</w:t>
            </w:r>
          </w:p>
          <w:tbl>
            <w:tblPr>
              <w:tblStyle w:val="29"/>
              <w:tblW w:w="80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6"/>
              <w:gridCol w:w="1042"/>
              <w:gridCol w:w="768"/>
              <w:gridCol w:w="1189"/>
              <w:gridCol w:w="800"/>
              <w:gridCol w:w="36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66" w:type="dxa"/>
                  <w:vMerge w:val="restart"/>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环境</w:t>
                  </w:r>
                </w:p>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要素</w:t>
                  </w:r>
                </w:p>
              </w:tc>
              <w:tc>
                <w:tcPr>
                  <w:tcW w:w="1042" w:type="dxa"/>
                  <w:vMerge w:val="restart"/>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保护目标</w:t>
                  </w:r>
                </w:p>
              </w:tc>
              <w:tc>
                <w:tcPr>
                  <w:tcW w:w="768" w:type="dxa"/>
                  <w:vMerge w:val="restart"/>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规模</w:t>
                  </w:r>
                </w:p>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lang w:eastAsia="zh-CN"/>
                      <w14:textFill>
                        <w14:solidFill>
                          <w14:schemeClr w14:val="tx1"/>
                        </w14:solidFill>
                      </w14:textFill>
                    </w:rPr>
                    <w:t>（</w:t>
                  </w:r>
                  <w:r>
                    <w:rPr>
                      <w:rFonts w:hint="default" w:ascii="Times New Roman" w:hAnsi="Times New Roman" w:eastAsia="华文中宋" w:cs="Times New Roman"/>
                      <w:color w:val="000000" w:themeColor="text1"/>
                      <w:kern w:val="0"/>
                      <w:sz w:val="21"/>
                      <w:szCs w:val="21"/>
                      <w14:textFill>
                        <w14:solidFill>
                          <w14:schemeClr w14:val="tx1"/>
                        </w14:solidFill>
                      </w14:textFill>
                    </w:rPr>
                    <w:t>户</w:t>
                  </w:r>
                  <w:r>
                    <w:rPr>
                      <w:rFonts w:hint="default" w:ascii="Times New Roman" w:hAnsi="Times New Roman" w:eastAsia="华文中宋" w:cs="Times New Roman"/>
                      <w:color w:val="000000" w:themeColor="text1"/>
                      <w:kern w:val="0"/>
                      <w:sz w:val="21"/>
                      <w:szCs w:val="21"/>
                      <w:lang w:eastAsia="zh-CN"/>
                      <w14:textFill>
                        <w14:solidFill>
                          <w14:schemeClr w14:val="tx1"/>
                        </w14:solidFill>
                      </w14:textFill>
                    </w:rPr>
                    <w:t>)</w:t>
                  </w:r>
                </w:p>
              </w:tc>
              <w:tc>
                <w:tcPr>
                  <w:tcW w:w="1989" w:type="dxa"/>
                  <w:gridSpan w:val="2"/>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方位和距离</w:t>
                  </w:r>
                </w:p>
              </w:tc>
              <w:tc>
                <w:tcPr>
                  <w:tcW w:w="3610" w:type="dxa"/>
                  <w:vMerge w:val="restart"/>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保护标准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66"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p>
              </w:tc>
              <w:tc>
                <w:tcPr>
                  <w:tcW w:w="1042"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p>
              </w:tc>
              <w:tc>
                <w:tcPr>
                  <w:tcW w:w="768"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p>
              </w:tc>
              <w:tc>
                <w:tcPr>
                  <w:tcW w:w="1189" w:type="dxa"/>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方位</w:t>
                  </w:r>
                </w:p>
              </w:tc>
              <w:tc>
                <w:tcPr>
                  <w:tcW w:w="800" w:type="dxa"/>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距离</w:t>
                  </w:r>
                  <w:r>
                    <w:rPr>
                      <w:rFonts w:hint="default" w:ascii="Times New Roman" w:hAnsi="Times New Roman" w:eastAsia="华文中宋" w:cs="Times New Roman"/>
                      <w:color w:val="000000" w:themeColor="text1"/>
                      <w:kern w:val="0"/>
                      <w:sz w:val="21"/>
                      <w:szCs w:val="21"/>
                      <w:lang w:eastAsia="zh-CN"/>
                      <w14:textFill>
                        <w14:solidFill>
                          <w14:schemeClr w14:val="tx1"/>
                        </w14:solidFill>
                      </w14:textFill>
                    </w:rPr>
                    <w:t>（</w:t>
                  </w:r>
                  <w:r>
                    <w:rPr>
                      <w:rFonts w:hint="default" w:ascii="Times New Roman" w:hAnsi="Times New Roman" w:eastAsia="华文中宋" w:cs="Times New Roman"/>
                      <w:color w:val="000000" w:themeColor="text1"/>
                      <w:kern w:val="0"/>
                      <w:sz w:val="21"/>
                      <w:szCs w:val="21"/>
                      <w14:textFill>
                        <w14:solidFill>
                          <w14:schemeClr w14:val="tx1"/>
                        </w14:solidFill>
                      </w14:textFill>
                    </w:rPr>
                    <w:t>m</w:t>
                  </w:r>
                  <w:r>
                    <w:rPr>
                      <w:rFonts w:hint="default" w:ascii="Times New Roman" w:hAnsi="Times New Roman" w:eastAsia="华文中宋" w:cs="Times New Roman"/>
                      <w:color w:val="000000" w:themeColor="text1"/>
                      <w:kern w:val="0"/>
                      <w:sz w:val="21"/>
                      <w:szCs w:val="21"/>
                      <w:lang w:eastAsia="zh-CN"/>
                      <w14:textFill>
                        <w14:solidFill>
                          <w14:schemeClr w14:val="tx1"/>
                        </w14:solidFill>
                      </w14:textFill>
                    </w:rPr>
                    <w:t>）</w:t>
                  </w:r>
                </w:p>
              </w:tc>
              <w:tc>
                <w:tcPr>
                  <w:tcW w:w="36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666" w:type="dxa"/>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环境</w:t>
                  </w:r>
                </w:p>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空气</w:t>
                  </w:r>
                </w:p>
              </w:tc>
              <w:tc>
                <w:tcPr>
                  <w:tcW w:w="1042" w:type="dxa"/>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t>/</w:t>
                  </w:r>
                </w:p>
              </w:tc>
              <w:tc>
                <w:tcPr>
                  <w:tcW w:w="768" w:type="dxa"/>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t>/</w:t>
                  </w:r>
                </w:p>
              </w:tc>
              <w:tc>
                <w:tcPr>
                  <w:tcW w:w="1989" w:type="dxa"/>
                  <w:gridSpan w:val="2"/>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kern w:val="0"/>
                      <w:sz w:val="21"/>
                      <w:szCs w:val="21"/>
                      <w:lang w:val="en-US" w:eastAsia="zh-CN"/>
                      <w14:textFill>
                        <w14:solidFill>
                          <w14:schemeClr w14:val="tx1"/>
                        </w14:solidFill>
                      </w14:textFill>
                    </w:rPr>
                    <w:t>占地范围内</w:t>
                  </w:r>
                </w:p>
              </w:tc>
              <w:tc>
                <w:tcPr>
                  <w:tcW w:w="3610" w:type="dxa"/>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《环境空气质量标准》（GB3095-2012）二级标准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6" w:type="dxa"/>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声环境</w:t>
                  </w:r>
                </w:p>
              </w:tc>
              <w:tc>
                <w:tcPr>
                  <w:tcW w:w="3799" w:type="dxa"/>
                  <w:gridSpan w:val="4"/>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50米范围内没有声环境保护目标</w:t>
                  </w:r>
                </w:p>
              </w:tc>
              <w:tc>
                <w:tcPr>
                  <w:tcW w:w="3610" w:type="dxa"/>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《声环境质量标准》（GB3096-2008）中3类标准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6" w:type="dxa"/>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地下水</w:t>
                  </w:r>
                </w:p>
              </w:tc>
              <w:tc>
                <w:tcPr>
                  <w:tcW w:w="3799" w:type="dxa"/>
                  <w:gridSpan w:val="4"/>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项目勘探区域地下水水文地质单元水质</w:t>
                  </w:r>
                </w:p>
              </w:tc>
              <w:tc>
                <w:tcPr>
                  <w:tcW w:w="3610" w:type="dxa"/>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《地下水质量标准》（GB/T14848-2017）Ⅲ类标准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6" w:type="dxa"/>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生态</w:t>
                  </w:r>
                </w:p>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环境</w:t>
                  </w:r>
                </w:p>
              </w:tc>
              <w:tc>
                <w:tcPr>
                  <w:tcW w:w="3799" w:type="dxa"/>
                  <w:gridSpan w:val="4"/>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工程占地范围内的植被、动物和土壤</w:t>
                  </w:r>
                </w:p>
              </w:tc>
              <w:tc>
                <w:tcPr>
                  <w:tcW w:w="3610" w:type="dxa"/>
                  <w:noWrap/>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1"/>
                      <w:szCs w:val="21"/>
                      <w14:textFill>
                        <w14:solidFill>
                          <w14:schemeClr w14:val="tx1"/>
                        </w14:solidFill>
                      </w14:textFill>
                    </w:rPr>
                    <w:t>防止水土流失，不破坏生态系统完整性</w:t>
                  </w:r>
                </w:p>
              </w:tc>
            </w:tr>
          </w:tbl>
          <w:p>
            <w:pPr>
              <w:adjustRightInd w:val="0"/>
              <w:snapToGrid w:val="0"/>
              <w:ind w:left="0" w:leftChars="0" w:firstLine="0" w:firstLineChars="0"/>
              <w:rPr>
                <w:rFonts w:hint="default" w:ascii="Times New Roman" w:hAnsi="Times New Roman" w:eastAsia="华文中宋" w:cs="Times New Roman"/>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华文中宋" w:cs="Times New Roman"/>
                <w:color w:val="000000" w:themeColor="text1"/>
                <w:kern w:val="0"/>
                <w:sz w:val="24"/>
                <w:szCs w:val="24"/>
                <w14:textFill>
                  <w14:solidFill>
                    <w14:schemeClr w14:val="tx1"/>
                  </w14:solidFill>
                </w14:textFill>
              </w:rPr>
            </w:pPr>
            <w:r>
              <w:rPr>
                <w:rFonts w:hint="default" w:ascii="Times New Roman" w:hAnsi="Times New Roman" w:eastAsia="华文中宋" w:cs="Times New Roman"/>
                <w:color w:val="000000" w:themeColor="text1"/>
                <w:kern w:val="0"/>
                <w:sz w:val="24"/>
                <w:szCs w:val="24"/>
                <w14:textFill>
                  <w14:solidFill>
                    <w14:schemeClr w14:val="tx1"/>
                  </w14:solidFill>
                </w14:textFill>
              </w:rPr>
              <w:t>评价</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4"/>
                <w14:textFill>
                  <w14:solidFill>
                    <w14:schemeClr w14:val="tx1"/>
                  </w14:solidFill>
                </w14:textFill>
              </w:rPr>
              <w:t>标准</w:t>
            </w:r>
          </w:p>
        </w:tc>
        <w:tc>
          <w:tcPr>
            <w:tcW w:w="8387" w:type="dxa"/>
            <w:noWrap w:val="0"/>
            <w:vAlign w:val="center"/>
          </w:tcPr>
          <w:p>
            <w:pPr>
              <w:keepNext w:val="0"/>
              <w:keepLines w:val="0"/>
              <w:pageBreakBefore w:val="0"/>
              <w:widowControl w:val="0"/>
              <w:tabs>
                <w:tab w:val="left" w:pos="191"/>
              </w:tabs>
              <w:kinsoku/>
              <w:wordWrap/>
              <w:overflowPunct/>
              <w:topLinePunct w:val="0"/>
              <w:autoSpaceDE/>
              <w:autoSpaceDN/>
              <w:bidi w:val="0"/>
              <w:adjustRightInd/>
              <w:snapToGrid/>
              <w:spacing w:line="500" w:lineRule="exact"/>
              <w:textAlignment w:val="auto"/>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1、环境质量标准：</w:t>
            </w:r>
          </w:p>
          <w:p>
            <w:pPr>
              <w:keepNext w:val="0"/>
              <w:keepLines w:val="0"/>
              <w:pageBreakBefore w:val="0"/>
              <w:widowControl w:val="0"/>
              <w:tabs>
                <w:tab w:val="left" w:pos="191"/>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（1）环境空气执行《环境空气质量标准》（GB3095-2026）中过渡阶段二级标准；</w:t>
            </w:r>
          </w:p>
          <w:p>
            <w:pPr>
              <w:keepNext w:val="0"/>
              <w:keepLines w:val="0"/>
              <w:pageBreakBefore w:val="0"/>
              <w:widowControl w:val="0"/>
              <w:tabs>
                <w:tab w:val="left" w:pos="191"/>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lang w:val="en-US" w:eastAsia="zh-CN"/>
                <w14:textFill>
                  <w14:solidFill>
                    <w14:schemeClr w14:val="tx1"/>
                  </w14:solidFill>
                </w14:textFill>
              </w:rPr>
              <w:t>（2）</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声环境执行《声环境质量标准》（GB3096-2008）中3类声环境功能区环境噪声限值。</w:t>
            </w:r>
          </w:p>
          <w:p>
            <w:pPr>
              <w:keepNext w:val="0"/>
              <w:keepLines w:val="0"/>
              <w:pageBreakBefore w:val="0"/>
              <w:widowControl w:val="0"/>
              <w:tabs>
                <w:tab w:val="left" w:pos="191"/>
              </w:tabs>
              <w:kinsoku/>
              <w:wordWrap/>
              <w:overflowPunct/>
              <w:topLinePunct w:val="0"/>
              <w:autoSpaceDE/>
              <w:autoSpaceDN/>
              <w:bidi w:val="0"/>
              <w:adjustRightInd/>
              <w:snapToGrid/>
              <w:spacing w:line="500" w:lineRule="exact"/>
              <w:textAlignment w:val="auto"/>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2、污染物排放标准：</w:t>
            </w:r>
          </w:p>
          <w:p>
            <w:pPr>
              <w:keepNext w:val="0"/>
              <w:keepLines w:val="0"/>
              <w:pageBreakBefore w:val="0"/>
              <w:widowControl w:val="0"/>
              <w:tabs>
                <w:tab w:val="left" w:pos="191"/>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lang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（1）</w:t>
            </w:r>
            <w:r>
              <w:rPr>
                <w:rFonts w:hint="default" w:ascii="Times New Roman" w:hAnsi="Times New Roman" w:eastAsia="华文中宋" w:cs="Times New Roman"/>
                <w:color w:val="000000" w:themeColor="text1"/>
                <w:sz w:val="24"/>
                <w:szCs w:val="24"/>
                <w14:textFill>
                  <w14:solidFill>
                    <w14:schemeClr w14:val="tx1"/>
                  </w14:solidFill>
                </w14:textFill>
              </w:rPr>
              <w:t>大气污染物排放标准执行《大气污染物综合排放标准》（GB16297-1996）</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表2</w:t>
            </w:r>
            <w:r>
              <w:rPr>
                <w:rFonts w:hint="default" w:ascii="Times New Roman" w:hAnsi="Times New Roman" w:eastAsia="华文中宋" w:cs="Times New Roman"/>
                <w:color w:val="000000" w:themeColor="text1"/>
                <w:sz w:val="24"/>
                <w:szCs w:val="24"/>
                <w14:textFill>
                  <w14:solidFill>
                    <w14:schemeClr w14:val="tx1"/>
                  </w14:solidFill>
                </w14:textFill>
              </w:rPr>
              <w:t>颗粒物无组织排放监控浓度值，周界外浓度最高点1.0mg/m³</w:t>
            </w:r>
            <w:r>
              <w:rPr>
                <w:rFonts w:hint="default" w:ascii="Times New Roman" w:hAnsi="Times New Roman" w:eastAsia="华文中宋" w:cs="Times New Roman"/>
                <w:color w:val="000000" w:themeColor="text1"/>
                <w:sz w:val="24"/>
                <w:szCs w:val="24"/>
                <w:lang w:eastAsia="zh-CN"/>
                <w14:textFill>
                  <w14:solidFill>
                    <w14:schemeClr w14:val="tx1"/>
                  </w14:solidFill>
                </w14:textFill>
              </w:rPr>
              <w:t>；</w:t>
            </w:r>
          </w:p>
          <w:p>
            <w:pPr>
              <w:keepNext w:val="0"/>
              <w:keepLines w:val="0"/>
              <w:pageBreakBefore w:val="0"/>
              <w:widowControl w:val="0"/>
              <w:tabs>
                <w:tab w:val="left" w:pos="191"/>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lang w:val="en-US" w:eastAsia="zh-CN"/>
                <w14:textFill>
                  <w14:solidFill>
                    <w14:schemeClr w14:val="tx1"/>
                  </w14:solidFill>
                </w14:textFill>
              </w:rPr>
              <w:t>（2）</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噪声</w:t>
            </w:r>
            <w:r>
              <w:rPr>
                <w:rFonts w:hint="default" w:ascii="Times New Roman" w:hAnsi="Times New Roman" w:eastAsia="华文中宋" w:cs="Times New Roman"/>
                <w:color w:val="000000" w:themeColor="text1"/>
                <w:sz w:val="24"/>
                <w:szCs w:val="24"/>
                <w14:textFill>
                  <w14:solidFill>
                    <w14:schemeClr w14:val="tx1"/>
                  </w14:solidFill>
                </w14:textFill>
              </w:rPr>
              <w:t>执行《建筑施工噪声排放标准》（GB 2523-20</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25</w:t>
            </w:r>
            <w:r>
              <w:rPr>
                <w:rFonts w:hint="default" w:ascii="Times New Roman" w:hAnsi="Times New Roman" w:eastAsia="华文中宋" w:cs="Times New Roman"/>
                <w:color w:val="000000" w:themeColor="text1"/>
                <w:sz w:val="24"/>
                <w:szCs w:val="24"/>
                <w14:textFill>
                  <w14:solidFill>
                    <w14:schemeClr w14:val="tx1"/>
                  </w14:solidFill>
                </w14:textFill>
              </w:rPr>
              <w:t>）</w:t>
            </w:r>
            <w:r>
              <w:rPr>
                <w:rFonts w:hint="default" w:ascii="Times New Roman" w:hAnsi="Times New Roman" w:eastAsia="华文中宋" w:cs="Times New Roman"/>
                <w:color w:val="000000" w:themeColor="text1"/>
                <w:sz w:val="24"/>
                <w:szCs w:val="24"/>
                <w:lang w:eastAsia="zh-CN"/>
                <w14:textFill>
                  <w14:solidFill>
                    <w14:schemeClr w14:val="tx1"/>
                  </w14:solidFill>
                </w14:textFill>
              </w:rPr>
              <w:t>中相关标准</w:t>
            </w:r>
            <w:r>
              <w:rPr>
                <w:rFonts w:hint="default" w:ascii="Times New Roman" w:hAnsi="Times New Roman" w:eastAsia="华文中宋" w:cs="Times New Roman"/>
                <w:color w:val="000000" w:themeColor="text1"/>
                <w:sz w:val="24"/>
                <w:szCs w:val="24"/>
                <w14:textFill>
                  <w14:solidFill>
                    <w14:schemeClr w14:val="tx1"/>
                  </w14:solidFill>
                </w14:textFill>
              </w:rPr>
              <w:t>；</w:t>
            </w:r>
          </w:p>
          <w:p>
            <w:pPr>
              <w:keepNext w:val="0"/>
              <w:keepLines w:val="0"/>
              <w:pageBreakBefore w:val="0"/>
              <w:widowControl w:val="0"/>
              <w:tabs>
                <w:tab w:val="left" w:pos="191"/>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（3）一般固体废物</w:t>
            </w:r>
            <w:r>
              <w:rPr>
                <w:rFonts w:hint="default" w:ascii="Times New Roman" w:hAnsi="Times New Roman" w:eastAsia="华文中宋" w:cs="Times New Roman"/>
                <w:color w:val="000000" w:themeColor="text1"/>
                <w:sz w:val="24"/>
                <w:szCs w:val="24"/>
                <w14:textFill>
                  <w14:solidFill>
                    <w14:schemeClr w14:val="tx1"/>
                  </w14:solidFill>
                </w14:textFill>
              </w:rPr>
              <w:t>执行</w:t>
            </w:r>
            <w:r>
              <w:rPr>
                <w:rFonts w:hint="default" w:ascii="Times New Roman" w:hAnsi="Times New Roman" w:eastAsia="华文中宋" w:cs="Times New Roman"/>
                <w:color w:val="000000" w:themeColor="text1"/>
                <w:sz w:val="24"/>
                <w:szCs w:val="24"/>
                <w:lang w:eastAsia="zh-CN"/>
                <w14:textFill>
                  <w14:solidFill>
                    <w14:schemeClr w14:val="tx1"/>
                  </w14:solidFill>
                </w14:textFill>
              </w:rPr>
              <w:t>《一般工业固体废物贮存和填埋污染控制标准》（GB 18599-2020</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w:t>
            </w:r>
            <w:r>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t>；废机油等执行《危险废物贮存污染控制标准》（GB18597-2023）。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92" w:type="dxa"/>
            <w:noWrap w:val="0"/>
            <w:vAlign w:val="center"/>
          </w:tcPr>
          <w:p>
            <w:pPr>
              <w:adjustRightInd w:val="0"/>
              <w:snapToGrid w:val="0"/>
              <w:ind w:left="0" w:leftChars="0" w:firstLine="0" w:firstLineChars="0"/>
              <w:jc w:val="both"/>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4"/>
                <w14:textFill>
                  <w14:solidFill>
                    <w14:schemeClr w14:val="tx1"/>
                  </w14:solidFill>
                </w14:textFill>
              </w:rPr>
              <w:t>其他</w:t>
            </w:r>
          </w:p>
        </w:tc>
        <w:tc>
          <w:tcPr>
            <w:tcW w:w="8387" w:type="dxa"/>
            <w:noWrap w:val="0"/>
            <w:vAlign w:val="center"/>
          </w:tcPr>
          <w:p>
            <w:pPr>
              <w:keepNext w:val="0"/>
              <w:keepLines w:val="0"/>
              <w:pageBreakBefore w:val="0"/>
              <w:widowControl w:val="0"/>
              <w:tabs>
                <w:tab w:val="left" w:pos="191"/>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kern w:val="0"/>
                <w:sz w:val="21"/>
                <w:szCs w:val="21"/>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无</w:t>
            </w:r>
          </w:p>
        </w:tc>
      </w:tr>
    </w:tbl>
    <w:p>
      <w:pPr>
        <w:pStyle w:val="24"/>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Style w:val="36"/>
          <w:rFonts w:hint="default" w:ascii="Times New Roman" w:hAnsi="Times New Roman" w:eastAsia="华文中宋" w:cs="Times New Roman"/>
          <w:b/>
          <w:bCs/>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br w:type="page"/>
      </w:r>
      <w:bookmarkStart w:id="32" w:name="_Toc25911"/>
      <w:r>
        <w:rPr>
          <w:rStyle w:val="36"/>
          <w:rFonts w:hint="default" w:ascii="Times New Roman" w:hAnsi="Times New Roman" w:eastAsia="华文中宋" w:cs="Times New Roman"/>
          <w:b/>
          <w:bCs/>
          <w:color w:val="000000" w:themeColor="text1"/>
          <w:lang w:val="en-US" w:eastAsia="zh-CN"/>
          <w14:textFill>
            <w14:solidFill>
              <w14:schemeClr w14:val="tx1"/>
            </w14:solidFill>
          </w14:textFill>
        </w:rPr>
        <w:t>四、生态环境影响分析</w:t>
      </w:r>
      <w:bookmarkEnd w:id="32"/>
    </w:p>
    <w:tbl>
      <w:tblPr>
        <w:tblStyle w:val="29"/>
        <w:tblW w:w="973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8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02" w:hRule="atLeast"/>
          <w:jc w:val="center"/>
        </w:trPr>
        <w:tc>
          <w:tcPr>
            <w:tcW w:w="879" w:type="dxa"/>
            <w:noWrap w:val="0"/>
            <w:tcMar>
              <w:left w:w="28" w:type="dxa"/>
              <w:right w:w="28" w:type="dxa"/>
            </w:tcMar>
            <w:vAlign w:val="center"/>
          </w:tcPr>
          <w:p>
            <w:pPr>
              <w:pStyle w:val="24"/>
              <w:adjustRightInd w:val="0"/>
              <w:snapToGrid w:val="0"/>
              <w:spacing w:before="0" w:beforeAutospacing="0" w:after="0" w:afterAutospacing="0"/>
              <w:ind w:left="0" w:leftChars="0" w:firstLine="0" w:firstLineChars="0"/>
              <w:jc w:val="both"/>
              <w:rPr>
                <w:rFonts w:hint="default" w:ascii="Times New Roman" w:hAnsi="Times New Roman" w:eastAsia="华文中宋" w:cs="Times New Roman"/>
                <w:bCs/>
                <w:color w:val="000000" w:themeColor="text1"/>
                <w:kern w:val="2"/>
                <w:sz w:val="21"/>
                <w:szCs w:val="21"/>
                <w14:textFill>
                  <w14:solidFill>
                    <w14:schemeClr w14:val="tx1"/>
                  </w14:solidFill>
                </w14:textFill>
              </w:rPr>
            </w:pPr>
            <w:bookmarkStart w:id="33" w:name="_Hlk49796138"/>
            <w:r>
              <w:rPr>
                <w:rFonts w:hint="default" w:ascii="Times New Roman" w:hAnsi="Times New Roman" w:eastAsia="华文中宋" w:cs="Times New Roman"/>
                <w:bCs/>
                <w:color w:val="000000" w:themeColor="text1"/>
                <w:spacing w:val="10"/>
                <w:kern w:val="2"/>
                <w:sz w:val="24"/>
                <w:szCs w:val="24"/>
                <w14:textFill>
                  <w14:solidFill>
                    <w14:schemeClr w14:val="tx1"/>
                  </w14:solidFill>
                </w14:textFill>
              </w:rPr>
              <w:t>施工期生态环境影响分析</w:t>
            </w:r>
            <w:bookmarkEnd w:id="33"/>
          </w:p>
        </w:tc>
        <w:tc>
          <w:tcPr>
            <w:tcW w:w="8852" w:type="dxa"/>
            <w:noWrap w:val="0"/>
            <w:vAlign w:val="top"/>
          </w:tcPr>
          <w:p>
            <w:pPr>
              <w:bidi w:val="0"/>
              <w:rPr>
                <w:rFonts w:hint="default" w:ascii="Times New Roman" w:hAnsi="Times New Roman" w:eastAsia="华文中宋" w:cs="Times New Roman"/>
                <w:b w:val="0"/>
                <w:bCs w:val="0"/>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本项目为新建项目，施工期主要活动为道路修建和临时营地的建设</w:t>
            </w:r>
            <w:r>
              <w:rPr>
                <w:rFonts w:hint="default" w:ascii="Times New Roman" w:hAnsi="Times New Roman" w:eastAsia="华文中宋" w:cs="Times New Roman"/>
                <w:color w:val="000000" w:themeColor="text1"/>
                <w:lang w:eastAsia="zh-CN"/>
                <w14:textFill>
                  <w14:solidFill>
                    <w14:schemeClr w14:val="tx1"/>
                  </w14:solidFill>
                </w14:textFill>
              </w:rPr>
              <w:t>；勘探期</w:t>
            </w:r>
            <w:r>
              <w:rPr>
                <w:rFonts w:hint="default" w:ascii="Times New Roman" w:hAnsi="Times New Roman" w:eastAsia="华文中宋" w:cs="Times New Roman"/>
                <w:color w:val="000000" w:themeColor="text1"/>
                <w14:textFill>
                  <w14:solidFill>
                    <w14:schemeClr w14:val="tx1"/>
                  </w14:solidFill>
                </w14:textFill>
              </w:rPr>
              <w:t>主要活动为槽探和钻孔，在施工过程中会有废气、扬尘、噪声、开挖土石方等产生。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default" w:ascii="Times New Roman" w:hAnsi="Times New Roman" w:eastAsia="华文中宋"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14:textFill>
                  <w14:solidFill>
                    <w14:schemeClr w14:val="tx1"/>
                  </w14:solidFill>
                </w14:textFill>
              </w:rPr>
              <w:t>表</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4-1</w:t>
            </w:r>
            <w:r>
              <w:rPr>
                <w:rFonts w:hint="default" w:ascii="Times New Roman" w:hAnsi="Times New Roman" w:eastAsia="华文中宋" w:cs="Times New Roman"/>
                <w:b/>
                <w:bCs/>
                <w:color w:val="000000" w:themeColor="text1"/>
                <w:sz w:val="24"/>
                <w:szCs w:val="24"/>
                <w14:textFill>
                  <w14:solidFill>
                    <w14:schemeClr w14:val="tx1"/>
                  </w14:solidFill>
                </w14:textFill>
              </w:rPr>
              <w:t xml:space="preserve">  </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华文中宋" w:cs="Times New Roman"/>
                <w:b/>
                <w:bCs/>
                <w:color w:val="000000" w:themeColor="text1"/>
                <w:sz w:val="24"/>
                <w:szCs w:val="24"/>
                <w14:textFill>
                  <w14:solidFill>
                    <w14:schemeClr w14:val="tx1"/>
                  </w14:solidFill>
                </w14:textFill>
              </w:rPr>
              <w:t xml:space="preserve"> </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作业过程污染物产生统计表</w:t>
            </w:r>
          </w:p>
          <w:tbl>
            <w:tblPr>
              <w:tblStyle w:val="30"/>
              <w:tblW w:w="4998" w:type="pct"/>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602"/>
              <w:gridCol w:w="61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分类</w:t>
                  </w:r>
                </w:p>
              </w:tc>
              <w:tc>
                <w:tcPr>
                  <w:tcW w:w="9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污染源</w:t>
                  </w:r>
                </w:p>
              </w:tc>
              <w:tc>
                <w:tcPr>
                  <w:tcW w:w="35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生态破坏</w:t>
                  </w:r>
                </w:p>
              </w:tc>
              <w:tc>
                <w:tcPr>
                  <w:tcW w:w="35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施工临时占地造成植被破坏，动物栖息场地破坏；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槽探开挖、钻探平台搭建导致地表植被破坏；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水土流失</w:t>
                  </w:r>
                </w:p>
              </w:tc>
              <w:tc>
                <w:tcPr>
                  <w:tcW w:w="35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临时用地水土流失；</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钻探平台搭建地表植被破坏导致水土流失。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废气</w:t>
                  </w:r>
                </w:p>
              </w:tc>
              <w:tc>
                <w:tcPr>
                  <w:tcW w:w="9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扬尘</w:t>
                  </w:r>
                </w:p>
              </w:tc>
              <w:tc>
                <w:tcPr>
                  <w:tcW w:w="35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施工过程挖、填土石方作业产生扬尘；</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槽探过程表土清理、探槽开挖等过程将产生粉尘（槽探）；平台搭建表土清理、场地平整等过程将产生粉尘（钻探）；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p>
              </w:tc>
              <w:tc>
                <w:tcPr>
                  <w:tcW w:w="9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机械设备及</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运输车辆废气</w:t>
                  </w:r>
                </w:p>
              </w:tc>
              <w:tc>
                <w:tcPr>
                  <w:tcW w:w="35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柴油发电机废气、汽车尾气；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废水</w:t>
                  </w:r>
                </w:p>
              </w:tc>
              <w:tc>
                <w:tcPr>
                  <w:tcW w:w="9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生产废水</w:t>
                  </w:r>
                </w:p>
              </w:tc>
              <w:tc>
                <w:tcPr>
                  <w:tcW w:w="35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钻探阶段利用循环水冷却钻头产生的循环水（钻探）；</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施工机械冲洗废水；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p>
              </w:tc>
              <w:tc>
                <w:tcPr>
                  <w:tcW w:w="9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生活污水</w:t>
                  </w:r>
                </w:p>
              </w:tc>
              <w:tc>
                <w:tcPr>
                  <w:tcW w:w="35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施工人员生活污水；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噪声</w:t>
                  </w:r>
                </w:p>
              </w:tc>
              <w:tc>
                <w:tcPr>
                  <w:tcW w:w="9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生产过程及</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生活活动</w:t>
                  </w:r>
                </w:p>
              </w:tc>
              <w:tc>
                <w:tcPr>
                  <w:tcW w:w="35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施工车辆噪声；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设备噪声；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固废</w:t>
                  </w:r>
                </w:p>
              </w:tc>
              <w:tc>
                <w:tcPr>
                  <w:tcW w:w="9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生产固废</w:t>
                  </w:r>
                </w:p>
              </w:tc>
              <w:tc>
                <w:tcPr>
                  <w:tcW w:w="35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施工弃方、碎石；</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钻孔泥浆；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p>
              </w:tc>
              <w:tc>
                <w:tcPr>
                  <w:tcW w:w="9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生活垃圾</w:t>
                  </w:r>
                </w:p>
              </w:tc>
              <w:tc>
                <w:tcPr>
                  <w:tcW w:w="35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生活垃圾；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p>
              </w:tc>
              <w:tc>
                <w:tcPr>
                  <w:tcW w:w="9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机械维护</w:t>
                  </w:r>
                </w:p>
              </w:tc>
              <w:tc>
                <w:tcPr>
                  <w:tcW w:w="35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vertAlign w:val="baseline"/>
                      <w:lang w:val="en-US" w:eastAsia="zh-CN"/>
                      <w14:textFill>
                        <w14:solidFill>
                          <w14:schemeClr w14:val="tx1"/>
                        </w14:solidFill>
                      </w14:textFill>
                    </w:rPr>
                    <w:t>废机油；</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华文中宋"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highlight w:val="none"/>
                <w:lang w:val="en-US" w:eastAsia="zh-CN"/>
                <w14:textFill>
                  <w14:solidFill>
                    <w14:schemeClr w14:val="tx1"/>
                  </w14:solidFill>
                </w14:textFill>
              </w:rPr>
              <w:t>1、生态影响分析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（1）对土地利用的影响分析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本项目施工期内修建道路，占地16000m</w:t>
            </w:r>
            <w:r>
              <w:rPr>
                <w:rFonts w:hint="default" w:ascii="Times New Roman" w:hAnsi="Times New Roman" w:eastAsia="华文中宋" w:cs="Times New Roman"/>
                <w:color w:val="000000" w:themeColor="text1"/>
                <w:vertAlign w:val="superscript"/>
                <w:lang w:val="en-US" w:eastAsia="zh-CN"/>
                <w14:textFill>
                  <w14:solidFill>
                    <w14:schemeClr w14:val="tx1"/>
                  </w14:solidFill>
                </w14:textFill>
              </w:rPr>
              <w:t>2</w:t>
            </w:r>
            <w:r>
              <w:rPr>
                <w:rFonts w:hint="default" w:ascii="Times New Roman" w:hAnsi="Times New Roman" w:eastAsia="华文中宋" w:cs="Times New Roman"/>
                <w:color w:val="000000" w:themeColor="text1"/>
                <w:lang w:val="en-US" w:eastAsia="zh-CN"/>
                <w14:textFill>
                  <w14:solidFill>
                    <w14:schemeClr w14:val="tx1"/>
                  </w14:solidFill>
                </w14:textFill>
              </w:rPr>
              <w:t>(4000m*4m)，施工期搭建彩钢板房，占地370m</w:t>
            </w:r>
            <w:r>
              <w:rPr>
                <w:rFonts w:hint="default" w:ascii="Times New Roman" w:hAnsi="Times New Roman" w:eastAsia="华文中宋" w:cs="Times New Roman"/>
                <w:color w:val="000000" w:themeColor="text1"/>
                <w:vertAlign w:val="superscript"/>
                <w:lang w:val="en-US" w:eastAsia="zh-CN"/>
                <w14:textFill>
                  <w14:solidFill>
                    <w14:schemeClr w14:val="tx1"/>
                  </w14:solidFill>
                </w14:textFill>
              </w:rPr>
              <w:t>2</w:t>
            </w:r>
            <w:r>
              <w:rPr>
                <w:rFonts w:hint="default" w:ascii="Times New Roman" w:hAnsi="Times New Roman" w:eastAsia="华文中宋" w:cs="Times New Roman"/>
                <w:color w:val="000000" w:themeColor="text1"/>
                <w:lang w:val="en-US" w:eastAsia="zh-CN"/>
                <w14:textFill>
                  <w14:solidFill>
                    <w14:schemeClr w14:val="tx1"/>
                  </w14:solidFill>
                </w14:textFill>
              </w:rPr>
              <w:t>。</w:t>
            </w:r>
            <w:r>
              <w:rPr>
                <w:rFonts w:hint="default" w:ascii="Times New Roman" w:hAnsi="Times New Roman" w:eastAsia="华文中宋" w:cs="Times New Roman"/>
                <w:color w:val="000000" w:themeColor="text1"/>
                <w14:textFill>
                  <w14:solidFill>
                    <w14:schemeClr w14:val="tx1"/>
                  </w14:solidFill>
                </w14:textFill>
              </w:rPr>
              <w:t>施工期内</w:t>
            </w:r>
            <w:r>
              <w:rPr>
                <w:rFonts w:hint="default" w:ascii="Times New Roman" w:hAnsi="Times New Roman" w:eastAsia="华文中宋" w:cs="Times New Roman"/>
                <w:color w:val="000000" w:themeColor="text1"/>
                <w:lang w:val="en-US" w:eastAsia="zh-CN"/>
                <w14:textFill>
                  <w14:solidFill>
                    <w14:schemeClr w14:val="tx1"/>
                  </w14:solidFill>
                </w14:textFill>
              </w:rPr>
              <w:t>道路的修建和彩钢板房的搭建</w:t>
            </w:r>
            <w:r>
              <w:rPr>
                <w:rFonts w:hint="default" w:ascii="Times New Roman" w:hAnsi="Times New Roman" w:eastAsia="华文中宋" w:cs="Times New Roman"/>
                <w:color w:val="000000" w:themeColor="text1"/>
                <w14:textFill>
                  <w14:solidFill>
                    <w14:schemeClr w14:val="tx1"/>
                  </w14:solidFill>
                </w14:textFill>
              </w:rPr>
              <w:t>会造成表层土壤过于紧实，降低土壤的通透性和渗水性，</w:t>
            </w:r>
            <w:r>
              <w:rPr>
                <w:rFonts w:hint="default" w:ascii="Times New Roman" w:hAnsi="Times New Roman" w:eastAsia="华文中宋" w:cs="Times New Roman"/>
                <w:color w:val="000000" w:themeColor="text1"/>
                <w:lang w:val="en-US" w:eastAsia="zh-CN"/>
                <w14:textFill>
                  <w14:solidFill>
                    <w14:schemeClr w14:val="tx1"/>
                  </w14:solidFill>
                </w14:textFill>
              </w:rPr>
              <w:t>施工过程中土石方开挖、临时工程占地等，破坏局部土层的稳定性，但探矿工程对土地的占用是短期的，探矿完成后进行地表恢复，土地的利用性质基本不会改变，因此，随着长时间的恢复，该影响越来越小。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（2）对土壤及植被的影响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lang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工程建设临时压占土地，使这些土地失去原有的生物生产功能和生态服务功能，对局部的土地利用产生一定的影响。</w:t>
            </w:r>
            <w:r>
              <w:rPr>
                <w:rFonts w:hint="default" w:ascii="Times New Roman" w:hAnsi="Times New Roman" w:eastAsia="华文中宋" w:cs="Times New Roman"/>
                <w:color w:val="000000" w:themeColor="text1"/>
                <w:lang w:eastAsia="zh-CN"/>
                <w14:textFill>
                  <w14:solidFill>
                    <w14:schemeClr w14:val="tx1"/>
                  </w14:solidFill>
                </w14:textFill>
              </w:rPr>
              <w:t>工程施工过程中的土方开挖、回填、机械碾压对土壤的理化性质和土壤肥力会产生一定不利影响。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施工期内</w:t>
            </w:r>
            <w:r>
              <w:rPr>
                <w:rFonts w:hint="default" w:ascii="Times New Roman" w:hAnsi="Times New Roman" w:eastAsia="华文中宋" w:cs="Times New Roman"/>
                <w:color w:val="000000" w:themeColor="text1"/>
                <w:lang w:val="en-US" w:eastAsia="zh-CN"/>
                <w14:textFill>
                  <w14:solidFill>
                    <w14:schemeClr w14:val="tx1"/>
                  </w14:solidFill>
                </w14:textFill>
              </w:rPr>
              <w:t>临时构筑物的压占</w:t>
            </w:r>
            <w:r>
              <w:rPr>
                <w:rFonts w:hint="default" w:ascii="Times New Roman" w:hAnsi="Times New Roman" w:eastAsia="华文中宋" w:cs="Times New Roman"/>
                <w:color w:val="000000" w:themeColor="text1"/>
                <w14:textFill>
                  <w14:solidFill>
                    <w14:schemeClr w14:val="tx1"/>
                  </w14:solidFill>
                </w14:textFill>
              </w:rPr>
              <w:t>会造成剥离后的表层土壤过于紧实，降低土壤的通透性和渗水性，对后期植物的生长会造成不良影响。</w:t>
            </w:r>
            <w:r>
              <w:rPr>
                <w:rFonts w:hint="default" w:ascii="Times New Roman" w:hAnsi="Times New Roman" w:eastAsia="华文中宋" w:cs="Times New Roman"/>
                <w:color w:val="000000" w:themeColor="text1"/>
                <w:lang w:val="en-US" w:eastAsia="zh-CN"/>
                <w14:textFill>
                  <w14:solidFill>
                    <w14:schemeClr w14:val="tx1"/>
                  </w14:solidFill>
                </w14:textFill>
              </w:rPr>
              <w:t>本项目施工期间，由于开挖土石方及各种施工机械、运输车辆进入施工现场，以及在施工中产生的扬尘和运输车辆排放尾气对附近植被产生一定的影响，部分粉尘沉降在植物叶片表面，降低植物的光合与呼吸作用，进而对植物生长发育产生一定的影响。</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（3）对野生动物影响分析</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项目所涉范围内基本无大型哺乳动物分布，以小型哺乳类和爬行类为主，且数量不多。施工期活动会对所在区域动物栖息环境产生扰动，迫使动物离开原有栖息环境迁移。施工过程中各类机械运转、人员活动等产生的噪声会使施工所在区域动物的正常生活受到暂时的轻微干扰，将会使区域内少量动物出现迁徙，使矿区生物量降低，分布、数量、生物多样性发生变化。环评要求在探矿作业时，严禁工作人员捕猎野生动物，禁止工作人员进入矿区以外的区域，严格控制探点作业范围。探矿对动物影响较小。</w:t>
            </w:r>
          </w:p>
          <w:p>
            <w:pPr>
              <w:pStyle w:val="96"/>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（4）对水土流失的影响分析</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项目</w:t>
            </w:r>
            <w:r>
              <w:rPr>
                <w:rFonts w:hint="default" w:ascii="Times New Roman" w:hAnsi="Times New Roman" w:eastAsia="华文中宋" w:cs="Times New Roman"/>
                <w:color w:val="000000" w:themeColor="text1"/>
                <w14:textFill>
                  <w14:solidFill>
                    <w14:schemeClr w14:val="tx1"/>
                  </w14:solidFill>
                </w14:textFill>
              </w:rPr>
              <w:t>施工过程中，各类工程活动如修建</w:t>
            </w:r>
            <w:r>
              <w:rPr>
                <w:rFonts w:hint="default" w:ascii="Times New Roman" w:hAnsi="Times New Roman" w:eastAsia="华文中宋" w:cs="Times New Roman"/>
                <w:color w:val="000000" w:themeColor="text1"/>
                <w:lang w:eastAsia="zh-CN"/>
                <w14:textFill>
                  <w14:solidFill>
                    <w14:schemeClr w14:val="tx1"/>
                  </w14:solidFill>
                </w14:textFill>
              </w:rPr>
              <w:t>勘察</w:t>
            </w:r>
            <w:r>
              <w:rPr>
                <w:rFonts w:hint="default" w:ascii="Times New Roman" w:hAnsi="Times New Roman" w:eastAsia="华文中宋" w:cs="Times New Roman"/>
                <w:color w:val="000000" w:themeColor="text1"/>
                <w14:textFill>
                  <w14:solidFill>
                    <w14:schemeClr w14:val="tx1"/>
                  </w14:solidFill>
                </w14:textFill>
              </w:rPr>
              <w:t>道路、平整场地、搭建临时设施等，会直接铲除、碾压地表植被</w:t>
            </w:r>
            <w:r>
              <w:rPr>
                <w:rFonts w:hint="default" w:ascii="Times New Roman" w:hAnsi="Times New Roman" w:eastAsia="华文中宋" w:cs="Times New Roman"/>
                <w:color w:val="000000" w:themeColor="text1"/>
                <w:lang w:eastAsia="zh-CN"/>
                <w14:textFill>
                  <w14:solidFill>
                    <w14:schemeClr w14:val="tx1"/>
                  </w14:solidFill>
                </w14:textFill>
              </w:rPr>
              <w:t>，</w:t>
            </w:r>
            <w:r>
              <w:rPr>
                <w:rFonts w:hint="default" w:ascii="Times New Roman" w:hAnsi="Times New Roman" w:eastAsia="华文中宋" w:cs="Times New Roman"/>
                <w:color w:val="000000" w:themeColor="text1"/>
                <w14:textFill>
                  <w14:solidFill>
                    <w14:schemeClr w14:val="tx1"/>
                  </w14:solidFill>
                </w14:textFill>
              </w:rPr>
              <w:t>使地表植被覆盖率大幅降低</w:t>
            </w:r>
            <w:r>
              <w:rPr>
                <w:rFonts w:hint="default" w:ascii="Times New Roman" w:hAnsi="Times New Roman" w:eastAsia="华文中宋" w:cs="Times New Roman"/>
                <w:color w:val="000000" w:themeColor="text1"/>
                <w:lang w:eastAsia="zh-CN"/>
                <w14:textFill>
                  <w14:solidFill>
                    <w14:schemeClr w14:val="tx1"/>
                  </w14:solidFill>
                </w14:textFill>
              </w:rPr>
              <w:t>；施工产生的噪声、粉尘等污染，会对周边一定范围内的植被生长环境造成破坏。钻探、</w:t>
            </w:r>
            <w:r>
              <w:rPr>
                <w:rFonts w:hint="default" w:ascii="Times New Roman" w:hAnsi="Times New Roman" w:eastAsia="华文中宋" w:cs="Times New Roman"/>
                <w:color w:val="000000" w:themeColor="text1"/>
                <w:lang w:val="en-US" w:eastAsia="zh-CN"/>
                <w14:textFill>
                  <w14:solidFill>
                    <w14:schemeClr w14:val="tx1"/>
                  </w14:solidFill>
                </w14:textFill>
              </w:rPr>
              <w:t>槽</w:t>
            </w:r>
            <w:r>
              <w:rPr>
                <w:rFonts w:hint="default" w:ascii="Times New Roman" w:hAnsi="Times New Roman" w:eastAsia="华文中宋" w:cs="Times New Roman"/>
                <w:color w:val="000000" w:themeColor="text1"/>
                <w:lang w:eastAsia="zh-CN"/>
                <w14:textFill>
                  <w14:solidFill>
                    <w14:schemeClr w14:val="tx1"/>
                  </w14:solidFill>
                </w14:textFill>
              </w:rPr>
              <w:t>探等勘查作业会产生弃土弃渣，如果不妥善处理，随意堆放，不仅占用土地，还容易成为水土流失的物质源；临时堆存的弃土弃渣在降雨、风力等作用下极易发生崩塌、滑坡等现象。矿山勘查中的挖填作业改变原有的地形地貌，使原本相对稳定的地形变得起伏不平，</w:t>
            </w:r>
            <w:r>
              <w:rPr>
                <w:rFonts w:hint="default" w:ascii="Times New Roman" w:hAnsi="Times New Roman" w:eastAsia="华文中宋" w:cs="Times New Roman"/>
                <w:color w:val="000000" w:themeColor="text1"/>
                <w:lang w:val="en-US" w:eastAsia="zh-CN"/>
                <w14:textFill>
                  <w14:solidFill>
                    <w14:schemeClr w14:val="tx1"/>
                  </w14:solidFill>
                </w14:textFill>
              </w:rPr>
              <w:t>可能会</w:t>
            </w:r>
            <w:r>
              <w:rPr>
                <w:rFonts w:hint="default" w:ascii="Times New Roman" w:hAnsi="Times New Roman" w:eastAsia="华文中宋" w:cs="Times New Roman"/>
                <w:color w:val="000000" w:themeColor="text1"/>
                <w:lang w:eastAsia="zh-CN"/>
                <w14:textFill>
                  <w14:solidFill>
                    <w14:schemeClr w14:val="tx1"/>
                  </w14:solidFill>
                </w14:textFill>
              </w:rPr>
              <w:t>造成局部地形高差增大，坡面变陡，增加坡面径流的流速和冲刷力，使土壤侵蚀加剧。大量施工人员的活动，会对周边地表植被造成践踏破坏，降低植被的郁闭度和覆盖度，使地表失去植被的有效保护，进而加剧水土流失。</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（5）对沙化土地的影响</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项目区属于非沙化土地，项目实施过程中将会破坏占地范围内的土壤表层稳定结皮和地表荒漠植被，项目所在区域具有多风、降水量偏低等气候特征，地表稳定结皮被破坏后，在大风天气条件下，施工会使占地范围内的土地就地起沙，局部从非沙化土地变成沙化土地。但是由于项目施工时间短，施工结束后对场地进行平整和清理，尽量利用施工时产生的表层土对临时占地进行覆盖，采用自然恢复的方式对区域植被进行恢复。因此本项目对区域土地沙化影响不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t>（6）景观影响</w:t>
            </w:r>
          </w:p>
          <w:p>
            <w:pPr>
              <w:pStyle w:val="12"/>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default" w:ascii="Times New Roman" w:hAnsi="Times New Roman" w:eastAsia="华文中宋" w:cs="Times New Roman"/>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Cs/>
                <w:color w:val="000000" w:themeColor="text1"/>
                <w:sz w:val="24"/>
                <w:szCs w:val="24"/>
                <w:lang w:val="en-US" w:eastAsia="zh-CN"/>
                <w14:textFill>
                  <w14:solidFill>
                    <w14:schemeClr w14:val="tx1"/>
                  </w14:solidFill>
                </w14:textFill>
              </w:rPr>
              <w:t>项目区域附近无文物古迹存在。因此，项目的景观主要受自然景观影响。项目施工活动对景观可能造成的影响主要表现为：</w:t>
            </w:r>
          </w:p>
          <w:p>
            <w:pPr>
              <w:pStyle w:val="12"/>
              <w:keepNext w:val="0"/>
              <w:keepLines w:val="0"/>
              <w:pageBreakBefore w:val="0"/>
              <w:widowControl w:val="0"/>
              <w:numPr>
                <w:ilvl w:val="0"/>
                <w:numId w:val="2"/>
              </w:numPr>
              <w:kinsoku/>
              <w:wordWrap/>
              <w:overflowPunct/>
              <w:topLinePunct w:val="0"/>
              <w:autoSpaceDE/>
              <w:autoSpaceDN/>
              <w:bidi w:val="0"/>
              <w:adjustRightInd/>
              <w:snapToGrid/>
              <w:spacing w:after="0" w:line="500" w:lineRule="exact"/>
              <w:ind w:left="0" w:leftChars="0" w:firstLine="480" w:firstLineChars="200"/>
              <w:textAlignment w:val="auto"/>
              <w:rPr>
                <w:rFonts w:hint="default" w:ascii="Times New Roman" w:hAnsi="Times New Roman" w:eastAsia="华文中宋" w:cs="Times New Roman"/>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Cs/>
                <w:color w:val="000000" w:themeColor="text1"/>
                <w:sz w:val="24"/>
                <w:szCs w:val="24"/>
                <w:lang w:val="en-US" w:eastAsia="zh-CN"/>
                <w14:textFill>
                  <w14:solidFill>
                    <w14:schemeClr w14:val="tx1"/>
                  </w14:solidFill>
                </w14:textFill>
              </w:rPr>
              <w:t>施工场地设置可能直接占压破坏自然景观，增加恢复的难度，施工完毕后不及时清理这些场地，可能出现固废满地、植被枯萎等现象，破坏自然景观的完整性、自然性和和谐性；</w:t>
            </w:r>
          </w:p>
          <w:p>
            <w:pPr>
              <w:pStyle w:val="12"/>
              <w:keepNext w:val="0"/>
              <w:keepLines w:val="0"/>
              <w:pageBreakBefore w:val="0"/>
              <w:widowControl w:val="0"/>
              <w:numPr>
                <w:ilvl w:val="0"/>
                <w:numId w:val="2"/>
              </w:numPr>
              <w:kinsoku/>
              <w:wordWrap/>
              <w:overflowPunct/>
              <w:topLinePunct w:val="0"/>
              <w:autoSpaceDE/>
              <w:autoSpaceDN/>
              <w:bidi w:val="0"/>
              <w:adjustRightInd/>
              <w:snapToGrid/>
              <w:spacing w:after="0" w:line="500" w:lineRule="exact"/>
              <w:ind w:left="0" w:leftChars="0" w:firstLine="480" w:firstLineChars="200"/>
              <w:textAlignment w:val="auto"/>
              <w:rPr>
                <w:rFonts w:hint="default" w:ascii="Times New Roman" w:hAnsi="Times New Roman" w:eastAsia="华文中宋" w:cs="Times New Roman"/>
                <w:bCs/>
                <w:color w:val="000000" w:themeColor="text1"/>
                <w:sz w:val="24"/>
                <w:szCs w:val="24"/>
                <w14:textFill>
                  <w14:solidFill>
                    <w14:schemeClr w14:val="tx1"/>
                  </w14:solidFill>
                </w14:textFill>
              </w:rPr>
            </w:pPr>
            <w:r>
              <w:rPr>
                <w:rFonts w:hint="default" w:ascii="Times New Roman" w:hAnsi="Times New Roman" w:eastAsia="华文中宋" w:cs="Times New Roman"/>
                <w:bCs/>
                <w:color w:val="000000" w:themeColor="text1"/>
                <w:sz w:val="24"/>
                <w:szCs w:val="24"/>
                <w:lang w:val="en-US" w:eastAsia="zh-CN"/>
                <w14:textFill>
                  <w14:solidFill>
                    <w14:schemeClr w14:val="tx1"/>
                  </w14:solidFill>
                </w14:textFill>
              </w:rPr>
              <w:t>弃方临时堆场设置不合理，影响自然景观的美感和谐，施工完毕后这些场地的恢复措施缺乏，使得周边自然景观呈现明显的不协调；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华文中宋" w:cs="Times New Roman"/>
                <w:b/>
                <w:bCs/>
                <w:color w:val="000000" w:themeColor="text1"/>
                <w:sz w:val="24"/>
                <w:szCs w:val="24"/>
                <w:highlight w:val="none"/>
                <w14:textFill>
                  <w14:solidFill>
                    <w14:schemeClr w14:val="tx1"/>
                  </w14:solidFill>
                </w14:textFill>
              </w:rPr>
            </w:pPr>
            <w:r>
              <w:rPr>
                <w:rFonts w:hint="default" w:ascii="Times New Roman" w:hAnsi="Times New Roman" w:eastAsia="华文中宋" w:cs="Times New Roman"/>
                <w:bCs/>
                <w:color w:val="000000" w:themeColor="text1"/>
                <w:sz w:val="24"/>
                <w:szCs w:val="24"/>
                <w:lang w:val="en-US" w:eastAsia="zh-CN"/>
                <w14:textFill>
                  <w14:solidFill>
                    <w14:schemeClr w14:val="tx1"/>
                  </w14:solidFill>
                </w14:textFill>
              </w:rPr>
              <w:t>施工人员随意乱扔垃圾，乱倒生活污水，踩踏、施工车辆碾压植被等不良现象都将造成自然景观的破坏。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华文中宋"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highlight w:val="none"/>
                <w14:textFill>
                  <w14:solidFill>
                    <w14:schemeClr w14:val="tx1"/>
                  </w14:solidFill>
                </w14:textFill>
              </w:rPr>
              <w:t>2</w:t>
            </w:r>
            <w:r>
              <w:rPr>
                <w:rFonts w:hint="default" w:ascii="Times New Roman" w:hAnsi="Times New Roman" w:eastAsia="华文中宋"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eastAsia="华文中宋" w:cs="Times New Roman"/>
                <w:b/>
                <w:bCs/>
                <w:color w:val="000000" w:themeColor="text1"/>
                <w:sz w:val="24"/>
                <w:szCs w:val="24"/>
                <w:highlight w:val="none"/>
                <w:lang w:val="en-US" w:eastAsia="zh-CN"/>
                <w14:textFill>
                  <w14:solidFill>
                    <w14:schemeClr w14:val="tx1"/>
                  </w14:solidFill>
                </w14:textFill>
              </w:rPr>
              <w:t>大气环境影响分析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t>本项目勘探期产生的废气主要是施工机械设备、柴油发电机废气和勘探期扬尘。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highlight w:val="none"/>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t>施工机械设备、柴油发电机废气</w:t>
            </w:r>
          </w:p>
          <w:p>
            <w:pPr>
              <w:pStyle w:val="16"/>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ascii="Times New Roman" w:hAnsi="Times New Roman" w:eastAsia="华文中宋"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华文中宋" w:cs="Times New Roman"/>
                <w:color w:val="000000" w:themeColor="text1"/>
                <w:kern w:val="0"/>
                <w:sz w:val="24"/>
                <w:szCs w:val="24"/>
                <w:highlight w:val="none"/>
                <w14:textFill>
                  <w14:solidFill>
                    <w14:schemeClr w14:val="tx1"/>
                  </w14:solidFill>
                </w14:textFill>
              </w:rPr>
              <w:t>本项目施工阶段，</w:t>
            </w:r>
            <w:r>
              <w:rPr>
                <w:rFonts w:hint="default" w:ascii="Times New Roman" w:hAnsi="Times New Roman" w:eastAsia="华文中宋" w:cs="Times New Roman"/>
                <w:color w:val="000000" w:themeColor="text1"/>
                <w:sz w:val="24"/>
                <w:szCs w:val="24"/>
                <w:highlight w:val="none"/>
                <w14:textFill>
                  <w14:solidFill>
                    <w14:schemeClr w14:val="tx1"/>
                  </w14:solidFill>
                </w14:textFill>
              </w:rPr>
              <w:t>运输车辆、燃油动力机械也是大气污染的主要污染源，主要的污</w:t>
            </w:r>
            <w:r>
              <w:rPr>
                <w:rFonts w:hint="default" w:ascii="Times New Roman" w:hAnsi="Times New Roman" w:eastAsia="华文中宋" w:cs="Times New Roman"/>
                <w:color w:val="000000" w:themeColor="text1"/>
                <w:sz w:val="24"/>
                <w:szCs w:val="24"/>
                <w:highlight w:val="none"/>
                <w:lang w:eastAsia="zh-CN"/>
                <w14:textFill>
                  <w14:solidFill>
                    <w14:schemeClr w14:val="tx1"/>
                  </w14:solidFill>
                </w14:textFill>
              </w:rPr>
              <w:t>染物</w:t>
            </w:r>
            <w:r>
              <w:rPr>
                <w:rFonts w:hint="default" w:ascii="Times New Roman" w:hAnsi="Times New Roman" w:eastAsia="华文中宋" w:cs="Times New Roman"/>
                <w:color w:val="000000" w:themeColor="text1"/>
                <w:sz w:val="24"/>
                <w:szCs w:val="24"/>
                <w:highlight w:val="none"/>
                <w14:textFill>
                  <w14:solidFill>
                    <w14:schemeClr w14:val="tx1"/>
                  </w14:solidFill>
                </w14:textFill>
              </w:rPr>
              <w:t>为CO、NOx、SO</w:t>
            </w:r>
            <w:r>
              <w:rPr>
                <w:rFonts w:hint="default" w:ascii="Times New Roman" w:hAnsi="Times New Roman" w:eastAsia="华文中宋" w:cs="Times New Roman"/>
                <w:color w:val="000000" w:themeColor="text1"/>
                <w:sz w:val="24"/>
                <w:szCs w:val="24"/>
                <w:highlight w:val="none"/>
                <w:vertAlign w:val="subscript"/>
                <w14:textFill>
                  <w14:solidFill>
                    <w14:schemeClr w14:val="tx1"/>
                  </w14:solidFill>
                </w14:textFill>
              </w:rPr>
              <w:t>2</w:t>
            </w:r>
            <w:r>
              <w:rPr>
                <w:rFonts w:hint="default" w:ascii="Times New Roman" w:hAnsi="Times New Roman" w:eastAsia="华文中宋" w:cs="Times New Roman"/>
                <w:color w:val="000000" w:themeColor="text1"/>
                <w:sz w:val="24"/>
                <w:szCs w:val="24"/>
                <w:highlight w:val="none"/>
                <w14:textFill>
                  <w14:solidFill>
                    <w14:schemeClr w14:val="tx1"/>
                  </w14:solidFill>
                </w14:textFill>
              </w:rPr>
              <w:t>及碳氢化合物等。</w:t>
            </w:r>
            <w:r>
              <w:rPr>
                <w:rFonts w:hint="default" w:ascii="Times New Roman" w:hAnsi="Times New Roman" w:eastAsia="华文中宋" w:cs="Times New Roman"/>
                <w:bCs/>
                <w:color w:val="000000" w:themeColor="text1"/>
                <w:sz w:val="24"/>
                <w:szCs w:val="24"/>
                <w:highlight w:val="none"/>
                <w14:textFill>
                  <w14:solidFill>
                    <w14:schemeClr w14:val="tx1"/>
                  </w14:solidFill>
                </w14:textFill>
              </w:rPr>
              <w:t>由于此类污染物属间断性无组织排放</w:t>
            </w:r>
            <w:r>
              <w:rPr>
                <w:rFonts w:hint="default" w:ascii="Times New Roman" w:hAnsi="Times New Roman" w:eastAsia="华文中宋" w:cs="Times New Roman"/>
                <w:color w:val="000000" w:themeColor="text1"/>
                <w:sz w:val="24"/>
                <w:szCs w:val="24"/>
                <w:highlight w:val="none"/>
                <w14:textFill>
                  <w14:solidFill>
                    <w14:schemeClr w14:val="tx1"/>
                  </w14:solidFill>
                </w14:textFill>
              </w:rPr>
              <w:t>，且燃油机械的运转周期和施工车辆的来往数量与次数无法估算，所以此类废气难以控制和预测，会对大气环境产生一定的影响</w:t>
            </w:r>
            <w:r>
              <w:rPr>
                <w:rFonts w:hint="default" w:ascii="Times New Roman" w:hAnsi="Times New Roman" w:eastAsia="华文中宋" w:cs="Times New Roman"/>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kern w:val="0"/>
                <w:sz w:val="24"/>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1"/>
                <w14:textFill>
                  <w14:solidFill>
                    <w14:schemeClr w14:val="tx1"/>
                  </w14:solidFill>
                </w14:textFill>
              </w:rPr>
              <w:t>根据勘探方案，项目选用一台</w:t>
            </w:r>
            <w:r>
              <w:rPr>
                <w:rFonts w:hint="default" w:ascii="Times New Roman" w:hAnsi="Times New Roman" w:eastAsia="华文中宋" w:cs="Times New Roman"/>
                <w:color w:val="000000" w:themeColor="text1"/>
                <w:kern w:val="0"/>
                <w:sz w:val="24"/>
                <w:szCs w:val="21"/>
                <w:lang w:val="en-US" w:eastAsia="zh-CN"/>
                <w14:textFill>
                  <w14:solidFill>
                    <w14:schemeClr w14:val="tx1"/>
                  </w14:solidFill>
                </w14:textFill>
              </w:rPr>
              <w:t>50kW</w:t>
            </w:r>
            <w:r>
              <w:rPr>
                <w:rFonts w:hint="default" w:ascii="Times New Roman" w:hAnsi="Times New Roman" w:eastAsia="华文中宋" w:cs="Times New Roman"/>
                <w:color w:val="000000" w:themeColor="text1"/>
                <w:kern w:val="0"/>
                <w:sz w:val="24"/>
                <w:szCs w:val="21"/>
                <w14:textFill>
                  <w14:solidFill>
                    <w14:schemeClr w14:val="tx1"/>
                  </w14:solidFill>
                </w14:textFill>
              </w:rPr>
              <w:t>柴油发电机为项目勘探提供电能，正常情况下，动力机燃油消耗为20</w:t>
            </w:r>
            <w:r>
              <w:rPr>
                <w:rFonts w:hint="default" w:ascii="Times New Roman" w:hAnsi="Times New Roman" w:eastAsia="华文中宋" w:cs="Times New Roman"/>
                <w:color w:val="000000" w:themeColor="text1"/>
                <w:kern w:val="0"/>
                <w:sz w:val="24"/>
                <w:szCs w:val="21"/>
                <w:lang w:val="en-US" w:eastAsia="zh-CN"/>
                <w14:textFill>
                  <w14:solidFill>
                    <w14:schemeClr w14:val="tx1"/>
                  </w14:solidFill>
                </w14:textFill>
              </w:rPr>
              <w:t>5</w:t>
            </w:r>
            <w:r>
              <w:rPr>
                <w:rFonts w:hint="default" w:ascii="Times New Roman" w:hAnsi="Times New Roman" w:eastAsia="华文中宋" w:cs="Times New Roman"/>
                <w:color w:val="000000" w:themeColor="text1"/>
                <w:kern w:val="0"/>
                <w:sz w:val="24"/>
                <w:szCs w:val="21"/>
                <w14:textFill>
                  <w14:solidFill>
                    <w14:schemeClr w14:val="tx1"/>
                  </w14:solidFill>
                </w14:textFill>
              </w:rPr>
              <w:t>g/</w:t>
            </w:r>
            <w:r>
              <w:rPr>
                <w:rFonts w:hint="default" w:ascii="Times New Roman" w:hAnsi="Times New Roman" w:eastAsia="华文中宋" w:cs="Times New Roman"/>
                <w:color w:val="000000" w:themeColor="text1"/>
                <w:kern w:val="0"/>
                <w:sz w:val="24"/>
                <w:szCs w:val="21"/>
                <w:lang w:eastAsia="zh-CN"/>
                <w14:textFill>
                  <w14:solidFill>
                    <w14:schemeClr w14:val="tx1"/>
                  </w14:solidFill>
                </w14:textFill>
              </w:rPr>
              <w:t>kW</w:t>
            </w:r>
            <w:r>
              <w:rPr>
                <w:rFonts w:hint="default" w:ascii="Times New Roman" w:hAnsi="Times New Roman" w:eastAsia="华文中宋" w:cs="Times New Roman"/>
                <w:color w:val="000000" w:themeColor="text1"/>
                <w:kern w:val="0"/>
                <w:sz w:val="24"/>
                <w:szCs w:val="21"/>
                <w14:textFill>
                  <w14:solidFill>
                    <w14:schemeClr w14:val="tx1"/>
                  </w14:solidFill>
                </w14:textFill>
              </w:rPr>
              <w:t>·h，本项目</w:t>
            </w:r>
            <w:r>
              <w:rPr>
                <w:rFonts w:hint="default" w:ascii="Times New Roman" w:hAnsi="Times New Roman" w:eastAsia="华文中宋" w:cs="Times New Roman"/>
                <w:color w:val="000000" w:themeColor="text1"/>
                <w:kern w:val="0"/>
                <w:sz w:val="24"/>
                <w:szCs w:val="21"/>
                <w:lang w:eastAsia="zh-CN"/>
                <w14:textFill>
                  <w14:solidFill>
                    <w14:schemeClr w14:val="tx1"/>
                  </w14:solidFill>
                </w14:textFill>
              </w:rPr>
              <w:t>实际</w:t>
            </w:r>
            <w:r>
              <w:rPr>
                <w:rFonts w:hint="default" w:ascii="Times New Roman" w:hAnsi="Times New Roman" w:eastAsia="华文中宋" w:cs="Times New Roman"/>
                <w:color w:val="000000" w:themeColor="text1"/>
                <w:kern w:val="0"/>
                <w:sz w:val="24"/>
                <w:szCs w:val="21"/>
                <w14:textFill>
                  <w14:solidFill>
                    <w14:schemeClr w14:val="tx1"/>
                  </w14:solidFill>
                </w14:textFill>
              </w:rPr>
              <w:t>勘探期为</w:t>
            </w:r>
            <w:r>
              <w:rPr>
                <w:rFonts w:hint="default" w:ascii="Times New Roman" w:hAnsi="Times New Roman" w:eastAsia="华文中宋" w:cs="Times New Roman"/>
                <w:color w:val="000000" w:themeColor="text1"/>
                <w:kern w:val="0"/>
                <w:sz w:val="24"/>
                <w:szCs w:val="21"/>
                <w:lang w:val="en-US" w:eastAsia="zh-CN"/>
                <w14:textFill>
                  <w14:solidFill>
                    <w14:schemeClr w14:val="tx1"/>
                  </w14:solidFill>
                </w14:textFill>
              </w:rPr>
              <w:t>180</w:t>
            </w:r>
            <w:r>
              <w:rPr>
                <w:rFonts w:hint="default" w:ascii="Times New Roman" w:hAnsi="Times New Roman" w:eastAsia="华文中宋" w:cs="Times New Roman"/>
                <w:color w:val="000000" w:themeColor="text1"/>
                <w:kern w:val="0"/>
                <w:sz w:val="24"/>
                <w:szCs w:val="21"/>
                <w14:textFill>
                  <w14:solidFill>
                    <w14:schemeClr w14:val="tx1"/>
                  </w14:solidFill>
                </w14:textFill>
              </w:rPr>
              <w:t>天，每天工作</w:t>
            </w:r>
            <w:r>
              <w:rPr>
                <w:rFonts w:hint="default" w:ascii="Times New Roman" w:hAnsi="Times New Roman" w:eastAsia="华文中宋" w:cs="Times New Roman"/>
                <w:color w:val="000000" w:themeColor="text1"/>
                <w:kern w:val="0"/>
                <w:sz w:val="24"/>
                <w:szCs w:val="21"/>
                <w:lang w:val="en-US" w:eastAsia="zh-CN"/>
                <w14:textFill>
                  <w14:solidFill>
                    <w14:schemeClr w14:val="tx1"/>
                  </w14:solidFill>
                </w14:textFill>
              </w:rPr>
              <w:t>6</w:t>
            </w:r>
            <w:r>
              <w:rPr>
                <w:rFonts w:hint="default" w:ascii="Times New Roman" w:hAnsi="Times New Roman" w:eastAsia="华文中宋" w:cs="Times New Roman"/>
                <w:color w:val="000000" w:themeColor="text1"/>
                <w:kern w:val="0"/>
                <w:sz w:val="24"/>
                <w:szCs w:val="21"/>
                <w14:textFill>
                  <w14:solidFill>
                    <w14:schemeClr w14:val="tx1"/>
                  </w14:solidFill>
                </w14:textFill>
              </w:rPr>
              <w:t>小时，柴油发电机运转时产生的燃烧烟气，主要污染物为SO</w:t>
            </w:r>
            <w:r>
              <w:rPr>
                <w:rFonts w:hint="default" w:ascii="Times New Roman" w:hAnsi="Times New Roman" w:eastAsia="华文中宋" w:cs="Times New Roman"/>
                <w:color w:val="000000" w:themeColor="text1"/>
                <w:kern w:val="0"/>
                <w:sz w:val="24"/>
                <w:szCs w:val="21"/>
                <w:vertAlign w:val="subscript"/>
                <w14:textFill>
                  <w14:solidFill>
                    <w14:schemeClr w14:val="tx1"/>
                  </w14:solidFill>
                </w14:textFill>
              </w:rPr>
              <w:t>2</w:t>
            </w:r>
            <w:r>
              <w:rPr>
                <w:rFonts w:hint="default" w:ascii="Times New Roman" w:hAnsi="Times New Roman" w:eastAsia="华文中宋" w:cs="Times New Roman"/>
                <w:color w:val="000000" w:themeColor="text1"/>
                <w:kern w:val="0"/>
                <w:sz w:val="24"/>
                <w:szCs w:val="21"/>
                <w14:textFill>
                  <w14:solidFill>
                    <w14:schemeClr w14:val="tx1"/>
                  </w14:solidFill>
                </w14:textFill>
              </w:rPr>
              <w:t>、NOx、颗粒物，参考《环境影响评价工程师职业资格登记培训教材：社会区域类环境影响评价》给出计算参数，发电机运行污染物排放系数为：SO</w:t>
            </w:r>
            <w:r>
              <w:rPr>
                <w:rFonts w:hint="default" w:ascii="Times New Roman" w:hAnsi="Times New Roman" w:eastAsia="华文中宋" w:cs="Times New Roman"/>
                <w:color w:val="000000" w:themeColor="text1"/>
                <w:kern w:val="0"/>
                <w:sz w:val="24"/>
                <w:szCs w:val="21"/>
                <w:vertAlign w:val="subscript"/>
                <w14:textFill>
                  <w14:solidFill>
                    <w14:schemeClr w14:val="tx1"/>
                  </w14:solidFill>
                </w14:textFill>
              </w:rPr>
              <w:t>2</w:t>
            </w:r>
            <w:r>
              <w:rPr>
                <w:rFonts w:hint="default" w:ascii="Times New Roman" w:hAnsi="Times New Roman" w:eastAsia="华文中宋" w:cs="Times New Roman"/>
                <w:color w:val="000000" w:themeColor="text1"/>
                <w:kern w:val="0"/>
                <w:sz w:val="24"/>
                <w:szCs w:val="21"/>
                <w14:textFill>
                  <w14:solidFill>
                    <w14:schemeClr w14:val="tx1"/>
                  </w14:solidFill>
                </w14:textFill>
              </w:rPr>
              <w:t>:4g/L、NOx:2.56g/L、颗粒物</w:t>
            </w:r>
            <w:r>
              <w:rPr>
                <w:rFonts w:hint="default" w:ascii="Times New Roman" w:hAnsi="Times New Roman" w:eastAsia="华文中宋" w:cs="Times New Roman"/>
                <w:color w:val="000000" w:themeColor="text1"/>
                <w:kern w:val="0"/>
                <w:sz w:val="24"/>
                <w:szCs w:val="21"/>
                <w:lang w:eastAsia="zh-CN"/>
                <w14:textFill>
                  <w14:solidFill>
                    <w14:schemeClr w14:val="tx1"/>
                  </w14:solidFill>
                </w14:textFill>
              </w:rPr>
              <w:t>：</w:t>
            </w:r>
            <w:r>
              <w:rPr>
                <w:rFonts w:hint="default" w:ascii="Times New Roman" w:hAnsi="Times New Roman" w:eastAsia="华文中宋" w:cs="Times New Roman"/>
                <w:color w:val="000000" w:themeColor="text1"/>
                <w:kern w:val="0"/>
                <w:sz w:val="24"/>
                <w:szCs w:val="21"/>
                <w14:textFill>
                  <w14:solidFill>
                    <w14:schemeClr w14:val="tx1"/>
                  </w14:solidFill>
                </w14:textFill>
              </w:rPr>
              <w:t>0.7146g/L、CO:1.52g/L、HC:1.489g/L、HC+NOx:4.049g/L</w:t>
            </w:r>
            <w:r>
              <w:rPr>
                <w:rFonts w:hint="default" w:ascii="Times New Roman" w:hAnsi="Times New Roman" w:eastAsia="华文中宋" w:cs="Times New Roman"/>
                <w:color w:val="000000" w:themeColor="text1"/>
                <w:kern w:val="0"/>
                <w:sz w:val="24"/>
                <w:szCs w:val="21"/>
                <w:lang w:eastAsia="zh-CN"/>
                <w14:textFill>
                  <w14:solidFill>
                    <w14:schemeClr w14:val="tx1"/>
                  </w14:solidFill>
                </w14:textFill>
              </w:rPr>
              <w:t>，</w:t>
            </w:r>
            <w:r>
              <w:rPr>
                <w:rFonts w:hint="default" w:ascii="Times New Roman" w:hAnsi="Times New Roman" w:eastAsia="华文中宋" w:cs="Times New Roman"/>
                <w:color w:val="000000" w:themeColor="text1"/>
                <w:kern w:val="0"/>
                <w:sz w:val="24"/>
                <w:szCs w:val="21"/>
                <w:lang w:val="en-US" w:eastAsia="zh-CN"/>
                <w14:textFill>
                  <w14:solidFill>
                    <w14:schemeClr w14:val="tx1"/>
                  </w14:solidFill>
                </w14:textFill>
              </w:rPr>
              <w:t>柴油密度按0.84g/ml计</w:t>
            </w:r>
            <w:r>
              <w:rPr>
                <w:rFonts w:hint="default" w:ascii="Times New Roman" w:hAnsi="Times New Roman" w:eastAsia="华文中宋" w:cs="Times New Roman"/>
                <w:color w:val="000000" w:themeColor="text1"/>
                <w:kern w:val="0"/>
                <w:sz w:val="24"/>
                <w:szCs w:val="21"/>
                <w14:textFill>
                  <w14:solidFill>
                    <w14:schemeClr w14:val="tx1"/>
                  </w14:solidFill>
                </w14:textFill>
              </w:rPr>
              <w:t>，则项目发电机组污染物产生情况见表</w:t>
            </w:r>
            <w:r>
              <w:rPr>
                <w:rFonts w:hint="default" w:ascii="Times New Roman" w:hAnsi="Times New Roman" w:eastAsia="华文中宋" w:cs="Times New Roman"/>
                <w:color w:val="000000" w:themeColor="text1"/>
                <w:kern w:val="0"/>
                <w:sz w:val="24"/>
                <w:szCs w:val="21"/>
                <w:lang w:val="en-US" w:eastAsia="zh-CN"/>
                <w14:textFill>
                  <w14:solidFill>
                    <w14:schemeClr w14:val="tx1"/>
                  </w14:solidFill>
                </w14:textFill>
              </w:rPr>
              <w:t>4-2</w:t>
            </w:r>
            <w:r>
              <w:rPr>
                <w:rFonts w:hint="default" w:ascii="Times New Roman" w:hAnsi="Times New Roman" w:eastAsia="华文中宋" w:cs="Times New Roman"/>
                <w:color w:val="000000" w:themeColor="text1"/>
                <w:kern w:val="0"/>
                <w:sz w:val="24"/>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default" w:ascii="Times New Roman" w:hAnsi="Times New Roman" w:eastAsia="华文中宋" w:cs="Times New Roman"/>
                <w:b/>
                <w:bCs/>
                <w:color w:val="000000" w:themeColor="text1"/>
                <w:sz w:val="24"/>
                <w:szCs w:val="24"/>
                <w14:textFill>
                  <w14:solidFill>
                    <w14:schemeClr w14:val="tx1"/>
                  </w14:solidFill>
                </w14:textFill>
              </w:rPr>
            </w:pPr>
            <w:r>
              <w:rPr>
                <w:rFonts w:hint="default" w:ascii="Times New Roman" w:hAnsi="Times New Roman" w:eastAsia="华文中宋" w:cs="Times New Roman"/>
                <w:b/>
                <w:bCs/>
                <w:color w:val="000000" w:themeColor="text1"/>
                <w:sz w:val="24"/>
                <w:szCs w:val="24"/>
                <w14:textFill>
                  <w14:solidFill>
                    <w14:schemeClr w14:val="tx1"/>
                  </w14:solidFill>
                </w14:textFill>
              </w:rPr>
              <w:t>表</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4-2</w:t>
            </w:r>
            <w:r>
              <w:rPr>
                <w:rFonts w:hint="default" w:ascii="Times New Roman" w:hAnsi="Times New Roman" w:eastAsia="华文中宋" w:cs="Times New Roman"/>
                <w:b/>
                <w:bCs/>
                <w:color w:val="000000" w:themeColor="text1"/>
                <w:sz w:val="24"/>
                <w:szCs w:val="24"/>
                <w14:textFill>
                  <w14:solidFill>
                    <w14:schemeClr w14:val="tx1"/>
                  </w14:solidFill>
                </w14:textFill>
              </w:rPr>
              <w:t xml:space="preserve">        燃油发电机组污染物产生情况一览表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189"/>
              <w:gridCol w:w="1189"/>
              <w:gridCol w:w="1190"/>
              <w:gridCol w:w="1190"/>
              <w:gridCol w:w="1190"/>
              <w:gridCol w:w="11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dxa"/>
                  <w:vMerge w:val="restart"/>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耗油量（t）</w:t>
                  </w:r>
                </w:p>
              </w:tc>
              <w:tc>
                <w:tcPr>
                  <w:tcW w:w="7144" w:type="dxa"/>
                  <w:gridSpan w:val="6"/>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排放总量（t）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dxa"/>
                  <w:vMerge w:val="continue"/>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p>
              </w:tc>
              <w:tc>
                <w:tcPr>
                  <w:tcW w:w="1189"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SO</w:t>
                  </w:r>
                  <w:r>
                    <w:rPr>
                      <w:rFonts w:hint="default" w:ascii="Times New Roman" w:hAnsi="Times New Roman" w:eastAsia="华文中宋" w:cs="Times New Roman"/>
                      <w:color w:val="000000" w:themeColor="text1"/>
                      <w:vertAlign w:val="subscript"/>
                      <w:lang w:val="en-US" w:eastAsia="zh-CN"/>
                      <w14:textFill>
                        <w14:solidFill>
                          <w14:schemeClr w14:val="tx1"/>
                        </w14:solidFill>
                      </w14:textFill>
                    </w:rPr>
                    <w:t>2</w:t>
                  </w:r>
                </w:p>
              </w:tc>
              <w:tc>
                <w:tcPr>
                  <w:tcW w:w="1189"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NOx</w:t>
                  </w:r>
                </w:p>
              </w:tc>
              <w:tc>
                <w:tcPr>
                  <w:tcW w:w="1190"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颗粒物</w:t>
                  </w:r>
                </w:p>
              </w:tc>
              <w:tc>
                <w:tcPr>
                  <w:tcW w:w="1190"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CO</w:t>
                  </w:r>
                </w:p>
              </w:tc>
              <w:tc>
                <w:tcPr>
                  <w:tcW w:w="1190"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HC</w:t>
                  </w:r>
                </w:p>
              </w:tc>
              <w:tc>
                <w:tcPr>
                  <w:tcW w:w="1195"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HC+NOx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10.8</w:t>
                  </w:r>
                </w:p>
              </w:tc>
              <w:tc>
                <w:tcPr>
                  <w:tcW w:w="1189"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0.051</w:t>
                  </w:r>
                </w:p>
              </w:tc>
              <w:tc>
                <w:tcPr>
                  <w:tcW w:w="1189"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0.032</w:t>
                  </w:r>
                </w:p>
              </w:tc>
              <w:tc>
                <w:tcPr>
                  <w:tcW w:w="1190"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0.009</w:t>
                  </w:r>
                </w:p>
              </w:tc>
              <w:tc>
                <w:tcPr>
                  <w:tcW w:w="1190"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0.019</w:t>
                  </w:r>
                </w:p>
              </w:tc>
              <w:tc>
                <w:tcPr>
                  <w:tcW w:w="1190"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0.019</w:t>
                  </w:r>
                </w:p>
              </w:tc>
              <w:tc>
                <w:tcPr>
                  <w:tcW w:w="1195"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0.052</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color w:val="000000" w:themeColor="text1"/>
                <w:kern w:val="0"/>
                <w:sz w:val="24"/>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1"/>
                <w14:textFill>
                  <w14:solidFill>
                    <w14:schemeClr w14:val="tx1"/>
                  </w14:solidFill>
                </w14:textFill>
              </w:rPr>
              <w:t>根据计算，燃油发电机组CO排放速率为0.3</w:t>
            </w:r>
            <w:r>
              <w:rPr>
                <w:rFonts w:hint="default" w:ascii="Times New Roman" w:hAnsi="Times New Roman" w:eastAsia="华文中宋" w:cs="Times New Roman"/>
                <w:color w:val="000000" w:themeColor="text1"/>
                <w:kern w:val="0"/>
                <w:sz w:val="24"/>
                <w:szCs w:val="21"/>
                <w:lang w:val="en-US" w:eastAsia="zh-CN"/>
                <w14:textFill>
                  <w14:solidFill>
                    <w14:schemeClr w14:val="tx1"/>
                  </w14:solidFill>
                </w14:textFill>
              </w:rPr>
              <w:t>52</w:t>
            </w:r>
            <w:r>
              <w:rPr>
                <w:rFonts w:hint="default" w:ascii="Times New Roman" w:hAnsi="Times New Roman" w:eastAsia="华文中宋" w:cs="Times New Roman"/>
                <w:color w:val="000000" w:themeColor="text1"/>
                <w:kern w:val="0"/>
                <w:sz w:val="24"/>
                <w:szCs w:val="21"/>
                <w14:textFill>
                  <w14:solidFill>
                    <w14:schemeClr w14:val="tx1"/>
                  </w14:solidFill>
                </w14:textFill>
              </w:rPr>
              <w:t>g/kWh、HC+NOx排放速率为</w:t>
            </w:r>
            <w:r>
              <w:rPr>
                <w:rFonts w:hint="default" w:ascii="Times New Roman" w:hAnsi="Times New Roman" w:eastAsia="华文中宋" w:cs="Times New Roman"/>
                <w:color w:val="000000" w:themeColor="text1"/>
                <w:kern w:val="0"/>
                <w:sz w:val="24"/>
                <w:szCs w:val="21"/>
                <w:lang w:val="en-US" w:eastAsia="zh-CN"/>
                <w14:textFill>
                  <w14:solidFill>
                    <w14:schemeClr w14:val="tx1"/>
                  </w14:solidFill>
                </w14:textFill>
              </w:rPr>
              <w:t>0.96</w:t>
            </w:r>
            <w:r>
              <w:rPr>
                <w:rFonts w:hint="default" w:ascii="Times New Roman" w:hAnsi="Times New Roman" w:eastAsia="华文中宋" w:cs="Times New Roman"/>
                <w:color w:val="000000" w:themeColor="text1"/>
                <w:kern w:val="0"/>
                <w:sz w:val="24"/>
                <w:szCs w:val="21"/>
                <w14:textFill>
                  <w14:solidFill>
                    <w14:schemeClr w14:val="tx1"/>
                  </w14:solidFill>
                </w14:textFill>
              </w:rPr>
              <w:t>g/kWh、颗粒物排放速率为0.1</w:t>
            </w:r>
            <w:r>
              <w:rPr>
                <w:rFonts w:hint="default" w:ascii="Times New Roman" w:hAnsi="Times New Roman" w:eastAsia="华文中宋" w:cs="Times New Roman"/>
                <w:color w:val="000000" w:themeColor="text1"/>
                <w:kern w:val="0"/>
                <w:sz w:val="24"/>
                <w:szCs w:val="21"/>
                <w:lang w:val="en-US" w:eastAsia="zh-CN"/>
                <w14:textFill>
                  <w14:solidFill>
                    <w14:schemeClr w14:val="tx1"/>
                  </w14:solidFill>
                </w14:textFill>
              </w:rPr>
              <w:t>67</w:t>
            </w:r>
            <w:r>
              <w:rPr>
                <w:rFonts w:hint="default" w:ascii="Times New Roman" w:hAnsi="Times New Roman" w:eastAsia="华文中宋" w:cs="Times New Roman"/>
                <w:color w:val="000000" w:themeColor="text1"/>
                <w:kern w:val="0"/>
                <w:sz w:val="24"/>
                <w:szCs w:val="21"/>
                <w14:textFill>
                  <w14:solidFill>
                    <w14:schemeClr w14:val="tx1"/>
                  </w14:solidFill>
                </w14:textFill>
              </w:rPr>
              <w:t>g/kWh，能够满足《非道路移动机械用柴油机排气污染物排放限值计测量方法》（中国第三、第四阶段）（GB20891-2014）及2020年修改单中第三阶段标准限值（Pmax＜37kW时，CO 5.</w:t>
            </w:r>
            <w:r>
              <w:rPr>
                <w:rFonts w:hint="default" w:ascii="Times New Roman" w:hAnsi="Times New Roman" w:eastAsia="华文中宋" w:cs="Times New Roman"/>
                <w:color w:val="000000" w:themeColor="text1"/>
                <w:kern w:val="0"/>
                <w:sz w:val="24"/>
                <w:szCs w:val="21"/>
                <w:lang w:val="en-US" w:eastAsia="zh-CN"/>
                <w14:textFill>
                  <w14:solidFill>
                    <w14:schemeClr w14:val="tx1"/>
                  </w14:solidFill>
                </w14:textFill>
              </w:rPr>
              <w:t>0</w:t>
            </w:r>
            <w:r>
              <w:rPr>
                <w:rFonts w:hint="default" w:ascii="Times New Roman" w:hAnsi="Times New Roman" w:eastAsia="华文中宋" w:cs="Times New Roman"/>
                <w:color w:val="000000" w:themeColor="text1"/>
                <w:kern w:val="0"/>
                <w:sz w:val="24"/>
                <w:szCs w:val="21"/>
                <w14:textFill>
                  <w14:solidFill>
                    <w14:schemeClr w14:val="tx1"/>
                  </w14:solidFill>
                </w14:textFill>
              </w:rPr>
              <w:t xml:space="preserve">g/kWh、HC+NOx </w:t>
            </w:r>
            <w:r>
              <w:rPr>
                <w:rFonts w:hint="default" w:ascii="Times New Roman" w:hAnsi="Times New Roman" w:eastAsia="华文中宋" w:cs="Times New Roman"/>
                <w:color w:val="000000" w:themeColor="text1"/>
                <w:kern w:val="0"/>
                <w:sz w:val="24"/>
                <w:szCs w:val="21"/>
                <w:lang w:val="en-US" w:eastAsia="zh-CN"/>
                <w14:textFill>
                  <w14:solidFill>
                    <w14:schemeClr w14:val="tx1"/>
                  </w14:solidFill>
                </w14:textFill>
              </w:rPr>
              <w:t>4.7</w:t>
            </w:r>
            <w:r>
              <w:rPr>
                <w:rFonts w:hint="default" w:ascii="Times New Roman" w:hAnsi="Times New Roman" w:eastAsia="华文中宋" w:cs="Times New Roman"/>
                <w:color w:val="000000" w:themeColor="text1"/>
                <w:kern w:val="0"/>
                <w:sz w:val="24"/>
                <w:szCs w:val="21"/>
                <w14:textFill>
                  <w14:solidFill>
                    <w14:schemeClr w14:val="tx1"/>
                  </w14:solidFill>
                </w14:textFill>
              </w:rPr>
              <w:t>g/kWh、PM 0.</w:t>
            </w:r>
            <w:r>
              <w:rPr>
                <w:rFonts w:hint="default" w:ascii="Times New Roman" w:hAnsi="Times New Roman" w:eastAsia="华文中宋" w:cs="Times New Roman"/>
                <w:color w:val="000000" w:themeColor="text1"/>
                <w:kern w:val="0"/>
                <w:sz w:val="24"/>
                <w:szCs w:val="21"/>
                <w:lang w:val="en-US" w:eastAsia="zh-CN"/>
                <w14:textFill>
                  <w14:solidFill>
                    <w14:schemeClr w14:val="tx1"/>
                  </w14:solidFill>
                </w14:textFill>
              </w:rPr>
              <w:t>4</w:t>
            </w:r>
            <w:r>
              <w:rPr>
                <w:rFonts w:hint="default" w:ascii="Times New Roman" w:hAnsi="Times New Roman" w:eastAsia="华文中宋" w:cs="Times New Roman"/>
                <w:color w:val="000000" w:themeColor="text1"/>
                <w:kern w:val="0"/>
                <w:sz w:val="24"/>
                <w:szCs w:val="21"/>
                <w14:textFill>
                  <w14:solidFill>
                    <w14:schemeClr w14:val="tx1"/>
                  </w14:solidFill>
                </w14:textFill>
              </w:rPr>
              <w:t>0g/kWh），能够实现达标排放。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color w:val="000000" w:themeColor="text1"/>
                <w:kern w:val="0"/>
                <w:sz w:val="24"/>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1"/>
                <w14:textFill>
                  <w14:solidFill>
                    <w14:schemeClr w14:val="tx1"/>
                  </w14:solidFill>
                </w14:textFill>
              </w:rPr>
              <w:t>施工时使用低标号柴油，调节好柴油机运行工况，本项目周边无大气环境敏感目标，由于项目所在区域较为开阔，柴油发电机燃烧的烟气扩散较快，对周边环境影响较小。</w:t>
            </w:r>
          </w:p>
          <w:p>
            <w:pPr>
              <w:keepNext w:val="0"/>
              <w:keepLines w:val="0"/>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勘探期扬尘</w:t>
            </w:r>
          </w:p>
          <w:p>
            <w:pPr>
              <w:keepNext w:val="0"/>
              <w:keepLines w:val="0"/>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项目勘探期主要污染物为扬尘，扬尘来源主要有以下几个方面：</w:t>
            </w:r>
          </w:p>
          <w:p>
            <w:pPr>
              <w:keepNext w:val="0"/>
              <w:keepLines w:val="0"/>
              <w:pageBreakBefore w:val="0"/>
              <w:widowControl w:val="0"/>
              <w:numPr>
                <w:ilvl w:val="0"/>
                <w:numId w:val="3"/>
              </w:numPr>
              <w:kinsoku/>
              <w:wordWrap/>
              <w:overflowPunct/>
              <w:topLinePunct w:val="0"/>
              <w:autoSpaceDE/>
              <w:autoSpaceDN/>
              <w:bidi w:val="0"/>
              <w:spacing w:line="500" w:lineRule="exact"/>
              <w:ind w:firstLine="480" w:firstLineChars="200"/>
              <w:textAlignment w:val="auto"/>
              <w:rPr>
                <w:rFonts w:hint="default" w:ascii="Times New Roman" w:hAnsi="Times New Roman" w:eastAsia="华文中宋"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槽探作业面施工、钻探平台搭建过程中将清理场地表土，再对槽探进行开挖、钻探作业再进行场地平整，在此过程中将产生大量粉尘。该部分为无组织粉尘排放，类比同类型探矿项目，其产生粉尘浓度约为3.5mg/m</w:t>
            </w:r>
            <w:r>
              <w:rPr>
                <w:rFonts w:hint="default" w:ascii="Times New Roman" w:hAnsi="Times New Roman" w:eastAsia="华文中宋"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华文中宋" w:cs="Times New Roman"/>
                <w:color w:val="000000" w:themeColor="text1"/>
                <w:sz w:val="24"/>
                <w:szCs w:val="24"/>
                <w:vertAlign w:val="baseline"/>
                <w:lang w:val="en-US" w:eastAsia="zh-CN"/>
                <w14:textFill>
                  <w14:solidFill>
                    <w14:schemeClr w14:val="tx1"/>
                  </w14:solidFill>
                </w14:textFill>
              </w:rPr>
              <w:t>。经过洒水抑尘及钻探循环用水可减少85%粉尘排放量，粉尘排放浓度约为</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0.5mg/m</w:t>
            </w:r>
            <w:r>
              <w:rPr>
                <w:rFonts w:hint="default" w:ascii="Times New Roman" w:hAnsi="Times New Roman" w:eastAsia="华文中宋"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华文中宋" w:cs="Times New Roman"/>
                <w:color w:val="000000" w:themeColor="text1"/>
                <w:sz w:val="24"/>
                <w:szCs w:val="24"/>
                <w:vertAlign w:val="baseline"/>
                <w:lang w:val="en-US" w:eastAsia="zh-CN"/>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spacing w:line="500" w:lineRule="exact"/>
              <w:ind w:firstLine="480" w:firstLineChars="200"/>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探槽作业面生态恢复，钻探平台撤离、平台生境恢复也将产生大量粉尘。该部分粉尘为无组织排放，类比同类型探矿项目，其产生粉尘浓度约为3.5mg/m</w:t>
            </w:r>
            <w:r>
              <w:rPr>
                <w:rFonts w:hint="default" w:ascii="Times New Roman" w:hAnsi="Times New Roman" w:eastAsia="华文中宋"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华文中宋" w:cs="Times New Roman"/>
                <w:color w:val="000000" w:themeColor="text1"/>
                <w:sz w:val="24"/>
                <w:szCs w:val="24"/>
                <w:vertAlign w:val="baseline"/>
                <w:lang w:val="en-US" w:eastAsia="zh-CN"/>
                <w14:textFill>
                  <w14:solidFill>
                    <w14:schemeClr w14:val="tx1"/>
                  </w14:solidFill>
                </w14:textFill>
              </w:rPr>
              <w:t>。经过洒水抑尘后可减少85%粉尘排放量，粉尘排放浓度约为</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0.5mg/m</w:t>
            </w:r>
            <w:r>
              <w:rPr>
                <w:rFonts w:hint="default" w:ascii="Times New Roman" w:hAnsi="Times New Roman" w:eastAsia="华文中宋"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华文中宋" w:cs="Times New Roman"/>
                <w:color w:val="000000" w:themeColor="text1"/>
                <w:sz w:val="24"/>
                <w:szCs w:val="24"/>
                <w:vertAlign w:val="baseline"/>
                <w:lang w:val="en-US" w:eastAsia="zh-CN"/>
                <w14:textFill>
                  <w14:solidFill>
                    <w14:schemeClr w14:val="tx1"/>
                  </w14:solidFill>
                </w14:textFill>
              </w:rPr>
              <w:t>。</w:t>
            </w:r>
          </w:p>
          <w:p>
            <w:pPr>
              <w:bidi w:val="0"/>
              <w:rPr>
                <w:rFonts w:hint="default" w:ascii="Times New Roman" w:hAnsi="Times New Roman" w:eastAsia="华文中宋" w:cs="Times New Roman"/>
                <w:b/>
                <w:bCs/>
                <w:color w:val="000000" w:themeColor="text1"/>
                <w:lang w:val="en-US" w:eastAsia="zh-CN"/>
                <w14:textFill>
                  <w14:solidFill>
                    <w14:schemeClr w14:val="tx1"/>
                  </w14:solidFill>
                </w14:textFill>
              </w:rPr>
            </w:pPr>
            <w:r>
              <w:rPr>
                <w:rFonts w:hint="default" w:ascii="Times New Roman" w:hAnsi="Times New Roman" w:eastAsia="华文中宋" w:cs="Times New Roman"/>
                <w:b/>
                <w:bCs/>
                <w:color w:val="000000" w:themeColor="text1"/>
                <w:lang w:val="en-US" w:eastAsia="zh-CN"/>
                <w14:textFill>
                  <w14:solidFill>
                    <w14:schemeClr w14:val="tx1"/>
                  </w14:solidFill>
                </w14:textFill>
              </w:rPr>
              <w:t>3、水环境影响分析</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本项目勘探期废水主要为施工废水和施工人员生活污水。</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（1）施工废水</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勘探施工废水主要来自施工机械冲洗水、钻探冷却用水。钻探钻进过程，为了降低钻头温度、同时也为了利于岩芯开采，在钻进过程中会利用钻杆空隙将清水注入钻杆内，通过空心钻杆利用地层压力将清水送至钻头位置，再经过钻头由钻杆外部回排钻机钻孔位置。钻孔设置抽水泵，不断将此部分水注入钻杆从而形成循环水。</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此类废水含大量泥沙等，悬浮物浓度较高，pH值呈弱碱性，并带有少量油污，污水量约为0.375m</w:t>
            </w:r>
            <w:r>
              <w:rPr>
                <w:rFonts w:hint="default" w:ascii="Times New Roman" w:hAnsi="Times New Roman" w:eastAsia="华文中宋" w:cs="Times New Roman"/>
                <w:color w:val="000000" w:themeColor="text1"/>
                <w:vertAlign w:val="superscript"/>
                <w:lang w:val="en-US" w:eastAsia="zh-CN"/>
                <w14:textFill>
                  <w14:solidFill>
                    <w14:schemeClr w14:val="tx1"/>
                  </w14:solidFill>
                </w14:textFill>
              </w:rPr>
              <w:t>3</w:t>
            </w:r>
            <w:r>
              <w:rPr>
                <w:rFonts w:hint="default" w:ascii="Times New Roman" w:hAnsi="Times New Roman" w:eastAsia="华文中宋" w:cs="Times New Roman"/>
                <w:color w:val="000000" w:themeColor="text1"/>
                <w:lang w:val="en-US" w:eastAsia="zh-CN"/>
                <w14:textFill>
                  <w14:solidFill>
                    <w14:schemeClr w14:val="tx1"/>
                  </w14:solidFill>
                </w14:textFill>
              </w:rPr>
              <w:t>/d。施工废水水质为SS：400-1000mg/L。本项目钻探过程利用循环水，其废水全部循环使用，无钻探废水外排。</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（2）生活污水</w:t>
            </w:r>
          </w:p>
          <w:p>
            <w:pPr>
              <w:bidi w:val="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工作人员</w:t>
            </w:r>
            <w:r>
              <w:rPr>
                <w:rFonts w:hint="default" w:ascii="Times New Roman" w:hAnsi="Times New Roman" w:eastAsia="华文中宋" w:cs="Times New Roman"/>
                <w:color w:val="000000" w:themeColor="text1"/>
                <w14:textFill>
                  <w14:solidFill>
                    <w14:schemeClr w14:val="tx1"/>
                  </w14:solidFill>
                </w14:textFill>
              </w:rPr>
              <w:t>以</w:t>
            </w:r>
            <w:r>
              <w:rPr>
                <w:rFonts w:hint="default" w:ascii="Times New Roman" w:hAnsi="Times New Roman" w:eastAsia="华文中宋" w:cs="Times New Roman"/>
                <w:color w:val="000000" w:themeColor="text1"/>
                <w:lang w:val="en-US" w:eastAsia="zh-CN"/>
                <w14:textFill>
                  <w14:solidFill>
                    <w14:schemeClr w14:val="tx1"/>
                  </w14:solidFill>
                </w14:textFill>
              </w:rPr>
              <w:t>9</w:t>
            </w:r>
            <w:r>
              <w:rPr>
                <w:rFonts w:hint="default" w:ascii="Times New Roman" w:hAnsi="Times New Roman" w:eastAsia="华文中宋" w:cs="Times New Roman"/>
                <w:color w:val="000000" w:themeColor="text1"/>
                <w14:textFill>
                  <w14:solidFill>
                    <w14:schemeClr w14:val="tx1"/>
                  </w14:solidFill>
                </w14:textFill>
              </w:rPr>
              <w:t>人计。</w:t>
            </w:r>
            <w:r>
              <w:rPr>
                <w:rFonts w:hint="default" w:ascii="Times New Roman" w:hAnsi="Times New Roman" w:eastAsia="华文中宋" w:cs="Times New Roman"/>
                <w:color w:val="000000" w:themeColor="text1"/>
                <w:lang w:val="en-US" w:eastAsia="zh-CN"/>
                <w14:textFill>
                  <w14:solidFill>
                    <w14:schemeClr w14:val="tx1"/>
                  </w14:solidFill>
                </w14:textFill>
              </w:rPr>
              <w:t>勘探</w:t>
            </w:r>
            <w:r>
              <w:rPr>
                <w:rFonts w:hint="default" w:ascii="Times New Roman" w:hAnsi="Times New Roman" w:eastAsia="华文中宋" w:cs="Times New Roman"/>
                <w:color w:val="000000" w:themeColor="text1"/>
                <w14:textFill>
                  <w14:solidFill>
                    <w14:schemeClr w14:val="tx1"/>
                  </w14:solidFill>
                </w14:textFill>
              </w:rPr>
              <w:t>施工工期为</w:t>
            </w:r>
            <w:r>
              <w:rPr>
                <w:rFonts w:hint="default" w:ascii="Times New Roman" w:hAnsi="Times New Roman" w:eastAsia="华文中宋" w:cs="Times New Roman"/>
                <w:color w:val="000000" w:themeColor="text1"/>
                <w:lang w:val="en-US" w:eastAsia="zh-CN"/>
                <w14:textFill>
                  <w14:solidFill>
                    <w14:schemeClr w14:val="tx1"/>
                  </w14:solidFill>
                </w14:textFill>
              </w:rPr>
              <w:t>180</w:t>
            </w:r>
            <w:r>
              <w:rPr>
                <w:rFonts w:hint="default" w:ascii="Times New Roman" w:hAnsi="Times New Roman" w:eastAsia="华文中宋" w:cs="Times New Roman"/>
                <w:color w:val="000000" w:themeColor="text1"/>
                <w14:textFill>
                  <w14:solidFill>
                    <w14:schemeClr w14:val="tx1"/>
                  </w14:solidFill>
                </w14:textFill>
              </w:rPr>
              <w:t>天</w:t>
            </w:r>
            <w:r>
              <w:rPr>
                <w:rFonts w:hint="default" w:ascii="Times New Roman" w:hAnsi="Times New Roman" w:eastAsia="华文中宋" w:cs="Times New Roman"/>
                <w:color w:val="000000" w:themeColor="text1"/>
                <w:lang w:eastAsia="zh-CN"/>
                <w14:textFill>
                  <w14:solidFill>
                    <w14:schemeClr w14:val="tx1"/>
                  </w14:solidFill>
                </w14:textFill>
              </w:rPr>
              <w:t>（</w:t>
            </w:r>
            <w:r>
              <w:rPr>
                <w:rFonts w:hint="default" w:ascii="Times New Roman" w:hAnsi="Times New Roman" w:eastAsia="华文中宋" w:cs="Times New Roman"/>
                <w:color w:val="000000" w:themeColor="text1"/>
                <w:lang w:val="en-US" w:eastAsia="zh-CN"/>
                <w14:textFill>
                  <w14:solidFill>
                    <w14:schemeClr w14:val="tx1"/>
                  </w14:solidFill>
                </w14:textFill>
              </w:rPr>
              <w:t>2026年5月到2026年10月）</w:t>
            </w:r>
            <w:r>
              <w:rPr>
                <w:rFonts w:hint="default" w:ascii="Times New Roman" w:hAnsi="Times New Roman" w:eastAsia="华文中宋" w:cs="Times New Roman"/>
                <w:color w:val="000000" w:themeColor="text1"/>
                <w14:textFill>
                  <w14:solidFill>
                    <w14:schemeClr w14:val="tx1"/>
                  </w14:solidFill>
                </w14:textFill>
              </w:rPr>
              <w:t>，项目生活用水按0.10m</w:t>
            </w:r>
            <w:r>
              <w:rPr>
                <w:rFonts w:hint="default" w:ascii="Times New Roman" w:hAnsi="Times New Roman" w:eastAsia="华文中宋" w:cs="Times New Roman"/>
                <w:color w:val="000000" w:themeColor="text1"/>
                <w:vertAlign w:val="superscript"/>
                <w14:textFill>
                  <w14:solidFill>
                    <w14:schemeClr w14:val="tx1"/>
                  </w14:solidFill>
                </w14:textFill>
              </w:rPr>
              <w:t>3</w:t>
            </w:r>
            <w:r>
              <w:rPr>
                <w:rFonts w:hint="default" w:ascii="Times New Roman" w:hAnsi="Times New Roman" w:eastAsia="华文中宋" w:cs="Times New Roman"/>
                <w:color w:val="000000" w:themeColor="text1"/>
                <w14:textFill>
                  <w14:solidFill>
                    <w14:schemeClr w14:val="tx1"/>
                  </w14:solidFill>
                </w14:textFill>
              </w:rPr>
              <w:t>/人·d计，用水量为0.9m</w:t>
            </w:r>
            <w:r>
              <w:rPr>
                <w:rFonts w:hint="default" w:ascii="Times New Roman" w:hAnsi="Times New Roman" w:eastAsia="华文中宋" w:cs="Times New Roman"/>
                <w:color w:val="000000" w:themeColor="text1"/>
                <w:vertAlign w:val="superscript"/>
                <w14:textFill>
                  <w14:solidFill>
                    <w14:schemeClr w14:val="tx1"/>
                  </w14:solidFill>
                </w14:textFill>
              </w:rPr>
              <w:t>3</w:t>
            </w:r>
            <w:r>
              <w:rPr>
                <w:rFonts w:hint="default" w:ascii="Times New Roman" w:hAnsi="Times New Roman" w:eastAsia="华文中宋" w:cs="Times New Roman"/>
                <w:color w:val="000000" w:themeColor="text1"/>
                <w14:textFill>
                  <w14:solidFill>
                    <w14:schemeClr w14:val="tx1"/>
                  </w14:solidFill>
                </w14:textFill>
              </w:rPr>
              <w:t>/d（162m</w:t>
            </w:r>
            <w:r>
              <w:rPr>
                <w:rFonts w:hint="default" w:ascii="Times New Roman" w:hAnsi="Times New Roman" w:eastAsia="华文中宋" w:cs="Times New Roman"/>
                <w:color w:val="000000" w:themeColor="text1"/>
                <w:vertAlign w:val="superscript"/>
                <w14:textFill>
                  <w14:solidFill>
                    <w14:schemeClr w14:val="tx1"/>
                  </w14:solidFill>
                </w14:textFill>
              </w:rPr>
              <w:t>3</w:t>
            </w:r>
            <w:r>
              <w:rPr>
                <w:rFonts w:hint="default" w:ascii="Times New Roman" w:hAnsi="Times New Roman" w:eastAsia="华文中宋" w:cs="Times New Roman"/>
                <w:color w:val="000000" w:themeColor="text1"/>
                <w14:textFill>
                  <w14:solidFill>
                    <w14:schemeClr w14:val="tx1"/>
                  </w14:solidFill>
                </w14:textFill>
              </w:rPr>
              <w:t>/a），排放系数以0.80计，排放量约为0.72m</w:t>
            </w:r>
            <w:r>
              <w:rPr>
                <w:rFonts w:hint="default" w:ascii="Times New Roman" w:hAnsi="Times New Roman" w:eastAsia="华文中宋" w:cs="Times New Roman"/>
                <w:color w:val="000000" w:themeColor="text1"/>
                <w:vertAlign w:val="superscript"/>
                <w14:textFill>
                  <w14:solidFill>
                    <w14:schemeClr w14:val="tx1"/>
                  </w14:solidFill>
                </w14:textFill>
              </w:rPr>
              <w:t>3</w:t>
            </w:r>
            <w:r>
              <w:rPr>
                <w:rFonts w:hint="default" w:ascii="Times New Roman" w:hAnsi="Times New Roman" w:eastAsia="华文中宋" w:cs="Times New Roman"/>
                <w:color w:val="000000" w:themeColor="text1"/>
                <w14:textFill>
                  <w14:solidFill>
                    <w14:schemeClr w14:val="tx1"/>
                  </w14:solidFill>
                </w14:textFill>
              </w:rPr>
              <w:t>/d（129.6m</w:t>
            </w:r>
            <w:r>
              <w:rPr>
                <w:rFonts w:hint="default" w:ascii="Times New Roman" w:hAnsi="Times New Roman" w:eastAsia="华文中宋" w:cs="Times New Roman"/>
                <w:color w:val="000000" w:themeColor="text1"/>
                <w:vertAlign w:val="superscript"/>
                <w14:textFill>
                  <w14:solidFill>
                    <w14:schemeClr w14:val="tx1"/>
                  </w14:solidFill>
                </w14:textFill>
              </w:rPr>
              <w:t>3</w:t>
            </w:r>
            <w:r>
              <w:rPr>
                <w:rFonts w:hint="default" w:ascii="Times New Roman" w:hAnsi="Times New Roman" w:eastAsia="华文中宋" w:cs="Times New Roman"/>
                <w:color w:val="000000" w:themeColor="text1"/>
                <w14:textFill>
                  <w14:solidFill>
                    <w14:schemeClr w14:val="tx1"/>
                  </w14:solidFill>
                </w14:textFill>
              </w:rPr>
              <w:t>/a）</w:t>
            </w:r>
            <w:r>
              <w:rPr>
                <w:rFonts w:hint="default" w:ascii="Times New Roman" w:hAnsi="Times New Roman" w:eastAsia="华文中宋" w:cs="Times New Roman"/>
                <w:color w:val="000000" w:themeColor="text1"/>
                <w:lang w:eastAsia="zh-CN"/>
                <w14:textFill>
                  <w14:solidFill>
                    <w14:schemeClr w14:val="tx1"/>
                  </w14:solidFill>
                </w14:textFill>
              </w:rPr>
              <w:t>。</w:t>
            </w:r>
            <w:r>
              <w:rPr>
                <w:rFonts w:hint="default" w:ascii="Times New Roman" w:hAnsi="Times New Roman" w:eastAsia="华文中宋" w:cs="Times New Roman"/>
                <w:color w:val="000000" w:themeColor="text1"/>
                <w:lang w:val="en-US" w:eastAsia="zh-CN"/>
                <w14:textFill>
                  <w14:solidFill>
                    <w14:schemeClr w14:val="tx1"/>
                  </w14:solidFill>
                </w14:textFill>
              </w:rPr>
              <w:t>勘探</w:t>
            </w:r>
            <w:r>
              <w:rPr>
                <w:rFonts w:hint="default" w:ascii="Times New Roman" w:hAnsi="Times New Roman" w:eastAsia="华文中宋" w:cs="Times New Roman"/>
                <w:color w:val="000000" w:themeColor="text1"/>
                <w14:textFill>
                  <w14:solidFill>
                    <w14:schemeClr w14:val="tx1"/>
                  </w14:solidFill>
                </w14:textFill>
              </w:rPr>
              <w:t>期生活污水</w:t>
            </w:r>
            <w:r>
              <w:rPr>
                <w:rFonts w:hint="default" w:ascii="Times New Roman" w:hAnsi="Times New Roman" w:eastAsia="华文中宋" w:cs="Times New Roman"/>
                <w:color w:val="000000" w:themeColor="text1"/>
                <w:lang w:val="en-US" w:eastAsia="zh-CN"/>
                <w14:textFill>
                  <w14:solidFill>
                    <w14:schemeClr w14:val="tx1"/>
                  </w14:solidFill>
                </w14:textFill>
              </w:rPr>
              <w:t>排入化粪池定期</w:t>
            </w:r>
            <w:r>
              <w:rPr>
                <w:rFonts w:hint="default" w:ascii="Times New Roman" w:hAnsi="Times New Roman" w:eastAsia="华文中宋" w:cs="Times New Roman"/>
                <w:color w:val="000000" w:themeColor="text1"/>
                <w14:textFill>
                  <w14:solidFill>
                    <w14:schemeClr w14:val="tx1"/>
                  </w14:solidFill>
                </w14:textFill>
              </w:rPr>
              <w:t>拉运至</w:t>
            </w:r>
            <w:r>
              <w:rPr>
                <w:rFonts w:hint="default" w:ascii="Times New Roman" w:hAnsi="Times New Roman" w:eastAsia="华文中宋" w:cs="Times New Roman"/>
                <w:color w:val="000000" w:themeColor="text1"/>
                <w:lang w:val="en-US" w:eastAsia="zh-CN"/>
                <w14:textFill>
                  <w14:solidFill>
                    <w14:schemeClr w14:val="tx1"/>
                  </w14:solidFill>
                </w14:textFill>
              </w:rPr>
              <w:t>且末县污水处理厂</w:t>
            </w:r>
            <w:r>
              <w:rPr>
                <w:rFonts w:hint="default" w:ascii="Times New Roman" w:hAnsi="Times New Roman" w:eastAsia="华文中宋" w:cs="Times New Roman"/>
                <w:color w:val="000000" w:themeColor="text1"/>
                <w14:textFill>
                  <w14:solidFill>
                    <w14:schemeClr w14:val="tx1"/>
                  </w14:solidFill>
                </w14:textFill>
              </w:rPr>
              <w:t>进行处理。</w:t>
            </w:r>
          </w:p>
          <w:p>
            <w:pPr>
              <w:bidi w:val="0"/>
              <w:rPr>
                <w:rFonts w:hint="default" w:ascii="Times New Roman" w:hAnsi="Times New Roman" w:eastAsia="华文中宋" w:cs="Times New Roman"/>
                <w:b/>
                <w:bCs/>
                <w:color w:val="000000" w:themeColor="text1"/>
                <w:lang w:val="en-US" w:eastAsia="zh-CN"/>
                <w14:textFill>
                  <w14:solidFill>
                    <w14:schemeClr w14:val="tx1"/>
                  </w14:solidFill>
                </w14:textFill>
              </w:rPr>
            </w:pPr>
            <w:r>
              <w:rPr>
                <w:rFonts w:hint="default" w:ascii="Times New Roman" w:hAnsi="Times New Roman" w:eastAsia="华文中宋" w:cs="Times New Roman"/>
                <w:b/>
                <w:bCs/>
                <w:color w:val="000000" w:themeColor="text1"/>
                <w:lang w:val="en-US" w:eastAsia="zh-CN"/>
                <w14:textFill>
                  <w14:solidFill>
                    <w14:schemeClr w14:val="tx1"/>
                  </w14:solidFill>
                </w14:textFill>
              </w:rPr>
              <w:t>4、</w:t>
            </w:r>
            <w:r>
              <w:rPr>
                <w:rFonts w:hint="default" w:ascii="Times New Roman" w:hAnsi="Times New Roman" w:eastAsia="华文中宋" w:cs="Times New Roman"/>
                <w:b/>
                <w:bCs/>
                <w:color w:val="000000" w:themeColor="text1"/>
                <w14:textFill>
                  <w14:solidFill>
                    <w14:schemeClr w14:val="tx1"/>
                  </w14:solidFill>
                </w14:textFill>
              </w:rPr>
              <w:t>噪声</w:t>
            </w:r>
            <w:r>
              <w:rPr>
                <w:rFonts w:hint="default" w:ascii="Times New Roman" w:hAnsi="Times New Roman" w:eastAsia="华文中宋" w:cs="Times New Roman"/>
                <w:b/>
                <w:bCs/>
                <w:color w:val="000000" w:themeColor="text1"/>
                <w:lang w:val="en-US" w:eastAsia="zh-CN"/>
                <w14:textFill>
                  <w14:solidFill>
                    <w14:schemeClr w14:val="tx1"/>
                  </w14:solidFill>
                </w14:textFill>
              </w:rPr>
              <w:t>环境影响分析</w:t>
            </w:r>
          </w:p>
          <w:p>
            <w:pPr>
              <w:bidi w:val="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lang w:eastAsia="zh-CN"/>
                <w14:textFill>
                  <w14:solidFill>
                    <w14:schemeClr w14:val="tx1"/>
                  </w14:solidFill>
                </w14:textFill>
              </w:rPr>
              <w:t>（</w:t>
            </w:r>
            <w:r>
              <w:rPr>
                <w:rFonts w:hint="default" w:ascii="Times New Roman" w:hAnsi="Times New Roman" w:eastAsia="华文中宋" w:cs="Times New Roman"/>
                <w:color w:val="000000" w:themeColor="text1"/>
                <w:lang w:val="en-US" w:eastAsia="zh-CN"/>
                <w14:textFill>
                  <w14:solidFill>
                    <w14:schemeClr w14:val="tx1"/>
                  </w14:solidFill>
                </w14:textFill>
              </w:rPr>
              <w:t>1</w:t>
            </w:r>
            <w:r>
              <w:rPr>
                <w:rFonts w:hint="default" w:ascii="Times New Roman" w:hAnsi="Times New Roman" w:eastAsia="华文中宋" w:cs="Times New Roman"/>
                <w:color w:val="000000" w:themeColor="text1"/>
                <w:lang w:eastAsia="zh-CN"/>
                <w14:textFill>
                  <w14:solidFill>
                    <w14:schemeClr w14:val="tx1"/>
                  </w14:solidFill>
                </w14:textFill>
              </w:rPr>
              <w:t>）</w:t>
            </w:r>
            <w:r>
              <w:rPr>
                <w:rFonts w:hint="default" w:ascii="Times New Roman" w:hAnsi="Times New Roman" w:eastAsia="华文中宋" w:cs="Times New Roman"/>
                <w:color w:val="000000" w:themeColor="text1"/>
                <w14:textFill>
                  <w14:solidFill>
                    <w14:schemeClr w14:val="tx1"/>
                  </w14:solidFill>
                </w14:textFill>
              </w:rPr>
              <w:t>噪声的产生及排放</w:t>
            </w:r>
          </w:p>
          <w:p>
            <w:pPr>
              <w:bidi w:val="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本项目主要噪声源来自钻探机、施工设备和车辆运输产生的噪声。正常情况下钻探机和车辆产生的声压级在70-90dB之间，且钻探期间这些源都处于露天状态，按声源距离衰减公式计算，以不利状态90dB作业噪声计算。</w:t>
            </w:r>
          </w:p>
          <w:p>
            <w:pPr>
              <w:bidi w:val="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lang w:eastAsia="zh-CN"/>
                <w14:textFill>
                  <w14:solidFill>
                    <w14:schemeClr w14:val="tx1"/>
                  </w14:solidFill>
                </w14:textFill>
              </w:rPr>
              <w:t>（</w:t>
            </w:r>
            <w:r>
              <w:rPr>
                <w:rFonts w:hint="default" w:ascii="Times New Roman" w:hAnsi="Times New Roman" w:eastAsia="华文中宋" w:cs="Times New Roman"/>
                <w:color w:val="000000" w:themeColor="text1"/>
                <w:lang w:val="en-US" w:eastAsia="zh-CN"/>
                <w14:textFill>
                  <w14:solidFill>
                    <w14:schemeClr w14:val="tx1"/>
                  </w14:solidFill>
                </w14:textFill>
              </w:rPr>
              <w:t>2</w:t>
            </w:r>
            <w:r>
              <w:rPr>
                <w:rFonts w:hint="default" w:ascii="Times New Roman" w:hAnsi="Times New Roman" w:eastAsia="华文中宋" w:cs="Times New Roman"/>
                <w:color w:val="000000" w:themeColor="text1"/>
                <w:lang w:eastAsia="zh-CN"/>
                <w14:textFill>
                  <w14:solidFill>
                    <w14:schemeClr w14:val="tx1"/>
                  </w14:solidFill>
                </w14:textFill>
              </w:rPr>
              <w:t>）</w:t>
            </w:r>
            <w:r>
              <w:rPr>
                <w:rFonts w:hint="default" w:ascii="Times New Roman" w:hAnsi="Times New Roman" w:eastAsia="华文中宋" w:cs="Times New Roman"/>
                <w:color w:val="000000" w:themeColor="text1"/>
                <w14:textFill>
                  <w14:solidFill>
                    <w14:schemeClr w14:val="tx1"/>
                  </w14:solidFill>
                </w14:textFill>
              </w:rPr>
              <w:t>噪声影响分析</w:t>
            </w:r>
          </w:p>
          <w:p>
            <w:pPr>
              <w:bidi w:val="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项目运营过程中产生噪声具有阶段性、临时性和不固定性，不同阶段会产生不同的噪声，其强度与工作状态等因素有关。勘探工程正常工作时间为</w:t>
            </w:r>
            <w:r>
              <w:rPr>
                <w:rFonts w:hint="default" w:ascii="Times New Roman" w:hAnsi="Times New Roman" w:eastAsia="华文中宋" w:cs="Times New Roman"/>
                <w:color w:val="000000" w:themeColor="text1"/>
                <w:lang w:val="en-US" w:eastAsia="zh-CN"/>
                <w14:textFill>
                  <w14:solidFill>
                    <w14:schemeClr w14:val="tx1"/>
                  </w14:solidFill>
                </w14:textFill>
              </w:rPr>
              <w:t>6</w:t>
            </w:r>
            <w:r>
              <w:rPr>
                <w:rFonts w:hint="default" w:ascii="Times New Roman" w:hAnsi="Times New Roman" w:eastAsia="华文中宋" w:cs="Times New Roman"/>
                <w:color w:val="000000" w:themeColor="text1"/>
                <w14:textFill>
                  <w14:solidFill>
                    <w14:schemeClr w14:val="tx1"/>
                  </w14:solidFill>
                </w14:textFill>
              </w:rPr>
              <w:t>小时，机械运行产生的噪声是本项目主要的噪声来源，钻探机、车辆作业点分散，将设备噪声视为点声源，声场为自由声场，选用《环境影响评价技术导则</w:t>
            </w:r>
            <w:r>
              <w:rPr>
                <w:rFonts w:hint="default" w:ascii="Times New Roman" w:hAnsi="Times New Roman" w:eastAsia="华文中宋" w:cs="Times New Roman"/>
                <w:color w:val="000000" w:themeColor="text1"/>
                <w:lang w:val="en-US" w:eastAsia="zh-CN"/>
                <w14:textFill>
                  <w14:solidFill>
                    <w14:schemeClr w14:val="tx1"/>
                  </w14:solidFill>
                </w14:textFill>
              </w:rPr>
              <w:t xml:space="preserve"> </w:t>
            </w:r>
            <w:r>
              <w:rPr>
                <w:rFonts w:hint="default" w:ascii="Times New Roman" w:hAnsi="Times New Roman" w:eastAsia="华文中宋" w:cs="Times New Roman"/>
                <w:color w:val="000000" w:themeColor="text1"/>
                <w14:textFill>
                  <w14:solidFill>
                    <w14:schemeClr w14:val="tx1"/>
                  </w14:solidFill>
                </w14:textFill>
              </w:rPr>
              <w:t>声环境》（HJ2.4-2021）中的无指向性点声源在自由声场中的几何发散衰减模式：</w:t>
            </w:r>
          </w:p>
          <w:p>
            <w:pPr>
              <w:bidi w:val="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LA(r)＝LA(r0)－20lg(r/ r0) -△L</w:t>
            </w:r>
          </w:p>
          <w:p>
            <w:pPr>
              <w:bidi w:val="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式中：LA(r)---距声源 rm 处受声点的 A 声级；</w:t>
            </w:r>
          </w:p>
          <w:p>
            <w:pPr>
              <w:bidi w:val="0"/>
              <w:ind w:firstLine="1200" w:firstLineChars="50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LA(r0)---参考点声源强度；</w:t>
            </w:r>
          </w:p>
          <w:p>
            <w:pPr>
              <w:bidi w:val="0"/>
              <w:ind w:firstLine="1200" w:firstLineChars="50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r---预测受声点与源之间的距离（m）；</w:t>
            </w:r>
          </w:p>
          <w:p>
            <w:pPr>
              <w:bidi w:val="0"/>
              <w:ind w:firstLine="1200" w:firstLineChars="50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r0---参考点与源之间的距离（m）。</w:t>
            </w:r>
          </w:p>
          <w:p>
            <w:pPr>
              <w:bidi w:val="0"/>
              <w:ind w:firstLine="960" w:firstLineChars="40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△L---其他各种因素引起的衰减因素（包括声屏障、遮挡物和空气吸收、地面效应以及附加声级衰减包括通过工业场所、房屋群的衰减等引起的衰减量）作业期间噪声影响范围见表4-</w:t>
            </w:r>
            <w:r>
              <w:rPr>
                <w:rFonts w:hint="default" w:ascii="Times New Roman" w:hAnsi="Times New Roman" w:eastAsia="华文中宋" w:cs="Times New Roman"/>
                <w:color w:val="000000" w:themeColor="text1"/>
                <w:lang w:val="en-US" w:eastAsia="zh-CN"/>
                <w14:textFill>
                  <w14:solidFill>
                    <w14:schemeClr w14:val="tx1"/>
                  </w14:solidFill>
                </w14:textFill>
              </w:rPr>
              <w:t>3</w:t>
            </w:r>
            <w:r>
              <w:rPr>
                <w:rFonts w:hint="default" w:ascii="Times New Roman" w:hAnsi="Times New Roman" w:eastAsia="华文中宋" w:cs="Times New Roman"/>
                <w:color w:val="000000" w:themeColor="text1"/>
                <w14:textFill>
                  <w14:solidFill>
                    <w14:schemeClr w14:val="tx1"/>
                  </w14:solidFill>
                </w14:textFill>
              </w:rPr>
              <w:t>。</w:t>
            </w:r>
          </w:p>
          <w:p>
            <w:pPr>
              <w:bidi w:val="0"/>
              <w:jc w:val="center"/>
              <w:rPr>
                <w:rFonts w:hint="default" w:ascii="Times New Roman" w:hAnsi="Times New Roman" w:eastAsia="华文中宋" w:cs="Times New Roman"/>
                <w:b/>
                <w:bCs/>
                <w:color w:val="000000" w:themeColor="text1"/>
                <w:sz w:val="24"/>
                <w:szCs w:val="24"/>
                <w14:textFill>
                  <w14:solidFill>
                    <w14:schemeClr w14:val="tx1"/>
                  </w14:solidFill>
                </w14:textFill>
              </w:rPr>
            </w:pPr>
            <w:r>
              <w:rPr>
                <w:rFonts w:hint="default" w:ascii="Times New Roman" w:hAnsi="Times New Roman" w:eastAsia="华文中宋" w:cs="Times New Roman"/>
                <w:b/>
                <w:bCs/>
                <w:color w:val="000000" w:themeColor="text1"/>
                <w:sz w:val="24"/>
                <w:szCs w:val="24"/>
                <w14:textFill>
                  <w14:solidFill>
                    <w14:schemeClr w14:val="tx1"/>
                  </w14:solidFill>
                </w14:textFill>
              </w:rPr>
              <w:t>表4-</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3</w:t>
            </w:r>
            <w:r>
              <w:rPr>
                <w:rFonts w:hint="default" w:ascii="Times New Roman" w:hAnsi="Times New Roman" w:eastAsia="华文中宋" w:cs="Times New Roman"/>
                <w:b/>
                <w:bCs/>
                <w:color w:val="000000" w:themeColor="text1"/>
                <w:sz w:val="24"/>
                <w:szCs w:val="24"/>
                <w14:textFill>
                  <w14:solidFill>
                    <w14:schemeClr w14:val="tx1"/>
                  </w14:solidFill>
                </w14:textFill>
              </w:rPr>
              <w:t xml:space="preserve"> </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华文中宋" w:cs="Times New Roman"/>
                <w:b/>
                <w:bCs/>
                <w:color w:val="000000" w:themeColor="text1"/>
                <w:sz w:val="24"/>
                <w:szCs w:val="24"/>
                <w14:textFill>
                  <w14:solidFill>
                    <w14:schemeClr w14:val="tx1"/>
                  </w14:solidFill>
                </w14:textFill>
              </w:rPr>
              <w:t xml:space="preserve"> 作业噪声影响范围    单位：dB</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1"/>
              <w:gridCol w:w="814"/>
              <w:gridCol w:w="866"/>
              <w:gridCol w:w="859"/>
              <w:gridCol w:w="859"/>
              <w:gridCol w:w="859"/>
              <w:gridCol w:w="859"/>
              <w:gridCol w:w="859"/>
              <w:gridCol w:w="871"/>
              <w:gridCol w:w="8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28" w:type="pct"/>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预测点</w:t>
                  </w:r>
                </w:p>
              </w:tc>
              <w:tc>
                <w:tcPr>
                  <w:tcW w:w="472" w:type="pct"/>
                  <w:tcBorders>
                    <w:top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30m</w:t>
                  </w:r>
                </w:p>
              </w:tc>
              <w:tc>
                <w:tcPr>
                  <w:tcW w:w="502" w:type="pct"/>
                  <w:tcBorders>
                    <w:top w:val="single" w:color="auto" w:sz="6" w:space="0"/>
                    <w:left w:val="single" w:color="auto" w:sz="4"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50m</w:t>
                  </w:r>
                </w:p>
              </w:tc>
              <w:tc>
                <w:tcPr>
                  <w:tcW w:w="498" w:type="pct"/>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60m</w:t>
                  </w:r>
                </w:p>
              </w:tc>
              <w:tc>
                <w:tcPr>
                  <w:tcW w:w="498" w:type="pct"/>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70m</w:t>
                  </w:r>
                </w:p>
              </w:tc>
              <w:tc>
                <w:tcPr>
                  <w:tcW w:w="498" w:type="pct"/>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80m</w:t>
                  </w:r>
                </w:p>
              </w:tc>
              <w:tc>
                <w:tcPr>
                  <w:tcW w:w="498" w:type="pct"/>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100m</w:t>
                  </w:r>
                </w:p>
              </w:tc>
              <w:tc>
                <w:tcPr>
                  <w:tcW w:w="498" w:type="pct"/>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120m</w:t>
                  </w:r>
                </w:p>
              </w:tc>
              <w:tc>
                <w:tcPr>
                  <w:tcW w:w="505" w:type="pct"/>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140m</w:t>
                  </w:r>
                </w:p>
              </w:tc>
              <w:tc>
                <w:tcPr>
                  <w:tcW w:w="503" w:type="pct"/>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180m</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28" w:type="pct"/>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预测值</w:t>
                  </w:r>
                </w:p>
              </w:tc>
              <w:tc>
                <w:tcPr>
                  <w:tcW w:w="472" w:type="pct"/>
                  <w:tcBorders>
                    <w:top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60.5</w:t>
                  </w:r>
                </w:p>
              </w:tc>
              <w:tc>
                <w:tcPr>
                  <w:tcW w:w="502" w:type="pct"/>
                  <w:tcBorders>
                    <w:top w:val="single" w:color="auto" w:sz="6" w:space="0"/>
                    <w:left w:val="single" w:color="auto" w:sz="4"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56.0</w:t>
                  </w:r>
                </w:p>
              </w:tc>
              <w:tc>
                <w:tcPr>
                  <w:tcW w:w="498" w:type="pct"/>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54.4</w:t>
                  </w:r>
                </w:p>
              </w:tc>
              <w:tc>
                <w:tcPr>
                  <w:tcW w:w="498" w:type="pct"/>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53.1</w:t>
                  </w:r>
                </w:p>
              </w:tc>
              <w:tc>
                <w:tcPr>
                  <w:tcW w:w="498" w:type="pct"/>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51.9</w:t>
                  </w:r>
                </w:p>
              </w:tc>
              <w:tc>
                <w:tcPr>
                  <w:tcW w:w="498" w:type="pct"/>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50</w:t>
                  </w:r>
                </w:p>
              </w:tc>
              <w:tc>
                <w:tcPr>
                  <w:tcW w:w="498" w:type="pct"/>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48.4</w:t>
                  </w:r>
                </w:p>
              </w:tc>
              <w:tc>
                <w:tcPr>
                  <w:tcW w:w="505" w:type="pct"/>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47.1</w:t>
                  </w:r>
                </w:p>
              </w:tc>
              <w:tc>
                <w:tcPr>
                  <w:tcW w:w="503" w:type="pct"/>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44.9</w:t>
                  </w:r>
                </w:p>
              </w:tc>
            </w:tr>
          </w:tbl>
          <w:p>
            <w:pPr>
              <w:bidi w:val="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由表可见，在距离声源30m处噪声为60.5dB，低于昼间</w:t>
            </w:r>
            <w:r>
              <w:rPr>
                <w:rFonts w:hint="default" w:ascii="Times New Roman" w:hAnsi="Times New Roman" w:eastAsia="华文中宋" w:cs="Times New Roman"/>
                <w:color w:val="000000" w:themeColor="text1"/>
                <w:lang w:val="en-US" w:eastAsia="zh-CN"/>
                <w14:textFill>
                  <w14:solidFill>
                    <w14:schemeClr w14:val="tx1"/>
                  </w14:solidFill>
                </w14:textFill>
              </w:rPr>
              <w:t>70</w:t>
            </w:r>
            <w:r>
              <w:rPr>
                <w:rFonts w:hint="default" w:ascii="Times New Roman" w:hAnsi="Times New Roman" w:eastAsia="华文中宋" w:cs="Times New Roman"/>
                <w:color w:val="000000" w:themeColor="text1"/>
                <w14:textFill>
                  <w14:solidFill>
                    <w14:schemeClr w14:val="tx1"/>
                  </w14:solidFill>
                </w14:textFill>
              </w:rPr>
              <w:t xml:space="preserve"> dB的标准限值，夜间60m处即可低于夜间55 dB的标准限值。项目钻探点周边</w:t>
            </w:r>
            <w:r>
              <w:rPr>
                <w:rFonts w:hint="default" w:ascii="Times New Roman" w:hAnsi="Times New Roman" w:eastAsia="华文中宋" w:cs="Times New Roman"/>
                <w:color w:val="000000" w:themeColor="text1"/>
                <w:lang w:val="en-US" w:eastAsia="zh-CN"/>
                <w14:textFill>
                  <w14:solidFill>
                    <w14:schemeClr w14:val="tx1"/>
                  </w14:solidFill>
                </w14:textFill>
              </w:rPr>
              <w:t>2</w:t>
            </w:r>
            <w:r>
              <w:rPr>
                <w:rFonts w:hint="default" w:ascii="Times New Roman" w:hAnsi="Times New Roman" w:eastAsia="华文中宋" w:cs="Times New Roman"/>
                <w:color w:val="000000" w:themeColor="text1"/>
                <w14:textFill>
                  <w14:solidFill>
                    <w14:schemeClr w14:val="tx1"/>
                  </w14:solidFill>
                </w14:textFill>
              </w:rPr>
              <w:t>00m范围内无噪声敏感点。</w:t>
            </w:r>
          </w:p>
          <w:p>
            <w:pPr>
              <w:bidi w:val="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综上所述，本项目作业噪声对环境的影响可接受。</w:t>
            </w:r>
          </w:p>
          <w:p>
            <w:pPr>
              <w:bidi w:val="0"/>
              <w:rPr>
                <w:rFonts w:hint="default" w:ascii="Times New Roman" w:hAnsi="Times New Roman" w:eastAsia="华文中宋" w:cs="Times New Roman"/>
                <w:b/>
                <w:bCs/>
                <w:color w:val="000000" w:themeColor="text1"/>
                <w:lang w:val="en-US" w:eastAsia="zh-CN"/>
                <w14:textFill>
                  <w14:solidFill>
                    <w14:schemeClr w14:val="tx1"/>
                  </w14:solidFill>
                </w14:textFill>
              </w:rPr>
            </w:pPr>
            <w:r>
              <w:rPr>
                <w:rFonts w:hint="default" w:ascii="Times New Roman" w:hAnsi="Times New Roman" w:eastAsia="华文中宋" w:cs="Times New Roman"/>
                <w:b/>
                <w:bCs/>
                <w:color w:val="000000" w:themeColor="text1"/>
                <w:lang w:val="en-US" w:eastAsia="zh-CN"/>
                <w14:textFill>
                  <w14:solidFill>
                    <w14:schemeClr w14:val="tx1"/>
                  </w14:solidFill>
                </w14:textFill>
              </w:rPr>
              <w:t>5、</w:t>
            </w:r>
            <w:r>
              <w:rPr>
                <w:rFonts w:hint="default" w:ascii="Times New Roman" w:hAnsi="Times New Roman" w:eastAsia="华文中宋" w:cs="Times New Roman"/>
                <w:b/>
                <w:bCs/>
                <w:color w:val="000000" w:themeColor="text1"/>
                <w14:textFill>
                  <w14:solidFill>
                    <w14:schemeClr w14:val="tx1"/>
                  </w14:solidFill>
                </w14:textFill>
              </w:rPr>
              <w:t>固体废物</w:t>
            </w:r>
            <w:r>
              <w:rPr>
                <w:rFonts w:hint="default" w:ascii="Times New Roman" w:hAnsi="Times New Roman" w:eastAsia="华文中宋" w:cs="Times New Roman"/>
                <w:b/>
                <w:bCs/>
                <w:color w:val="000000" w:themeColor="text1"/>
                <w:lang w:val="en-US" w:eastAsia="zh-CN"/>
                <w14:textFill>
                  <w14:solidFill>
                    <w14:schemeClr w14:val="tx1"/>
                  </w14:solidFill>
                </w14:textFill>
              </w:rPr>
              <w:t>环境影响分析</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本项目钻探产生的岩心全部运往实验室，勘探期间产生的固废主要是槽探开挖及钻探时产生的土石方及钻孔泥浆、作业人员产生的少量生活垃圾、钻探期间设备维护保养产生少量的废机油。</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（1）土石方</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本项目槽探土石临时堆放于各探槽沿线附近空地，挖方分层单独堆放，待单个探槽取样结束后即及时回填平整，再覆盖表土。钻孔工程剥离的临时表土暂存于钻孔平台内的表土堆场，堆高在1.2m左右，待勘探工程完成后用于平台区域回填覆土，恢复地貌。临时表土堆放不会对项目区及周边环境产生较大环境影响。</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（2）钻孔泥浆</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根据施工经验数据，在现有施工机具及环境条件下产生泥浆0.5t/100m。本项目钻探工作量为500m，则整个探矿期泥浆产生量约为2.5t/a。泥浆选用环保型水基钻探泥浆，钻探泥浆主要为岩屑胶结水团与泥沙混合物，泥浆无任何添加剂成分，泥浆主要成分为SS，属一般固废。钻孔平台处设置铺设HDPE防渗膜的防渗沉淀池，钻孔泥浆沉淀处理后回用，钻孔结束后钻孔泥浆及沉淀池底泥自然干化后就地填埋压实。</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（3）生活垃圾</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本次探矿活动预计安排施工人员为9人，施工期为210天。生活垃圾产生量按0.5kg/人∙d计，则施工期生活垃圾产生量为0.95t。生活垃圾采用垃圾桶集中收集后，定期拉运至且末县生活垃圾填埋场。</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（4）废机油</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勘探期间设备维修会产生一定的危险废物（废矿物油），根据《国家危险废物名录（2025年版）》项目产生的废矿物油为危险废物，危险废物编号HW08，代码为900-214-08，危险特性为T，1。项目区不设置设备维修间，钻探期间设备维护保养由工作人员完成，期间产生少量的废机油，产生量约0.03t，由完好的铁质油桶存储后，最终交由具有相应危废处置资质的单位负责接收、转运、处置。</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储油库</w:t>
            </w:r>
            <w:r>
              <w:rPr>
                <w:rFonts w:hint="default" w:ascii="Times New Roman" w:hAnsi="Times New Roman" w:eastAsia="华文中宋" w:cs="Times New Roman"/>
                <w:color w:val="000000" w:themeColor="text1"/>
                <w:sz w:val="24"/>
                <w14:textFill>
                  <w14:solidFill>
                    <w14:schemeClr w14:val="tx1"/>
                  </w14:solidFill>
                </w14:textFill>
              </w:rPr>
              <w:t>运行过程中的污染控制和环境管理等严格按照《危险废物贮存污染控制标准》（GB18597-2023）中的有关要求执</w:t>
            </w:r>
            <w:r>
              <w:rPr>
                <w:rFonts w:hint="default" w:ascii="Times New Roman" w:hAnsi="Times New Roman" w:eastAsia="华文中宋" w:cs="Times New Roman"/>
                <w:color w:val="000000" w:themeColor="text1"/>
                <w:lang w:val="en-US" w:eastAsia="zh-CN"/>
                <w14:textFill>
                  <w14:solidFill>
                    <w14:schemeClr w14:val="tx1"/>
                  </w14:solidFill>
                </w14:textFill>
              </w:rPr>
              <w:t>行。储油库约20m</w:t>
            </w:r>
            <w:r>
              <w:rPr>
                <w:rFonts w:hint="default" w:ascii="Times New Roman" w:hAnsi="Times New Roman" w:eastAsia="华文中宋" w:cs="Times New Roman"/>
                <w:color w:val="000000" w:themeColor="text1"/>
                <w:vertAlign w:val="superscript"/>
                <w:lang w:val="en-US" w:eastAsia="zh-CN"/>
                <w14:textFill>
                  <w14:solidFill>
                    <w14:schemeClr w14:val="tx1"/>
                  </w14:solidFill>
                </w14:textFill>
              </w:rPr>
              <w:t>2</w:t>
            </w:r>
            <w:r>
              <w:rPr>
                <w:rFonts w:hint="default" w:ascii="Times New Roman" w:hAnsi="Times New Roman" w:eastAsia="华文中宋" w:cs="Times New Roman"/>
                <w:color w:val="000000" w:themeColor="text1"/>
                <w:lang w:val="en-US" w:eastAsia="zh-CN"/>
                <w14:textFill>
                  <w14:solidFill>
                    <w14:schemeClr w14:val="tx1"/>
                  </w14:solidFill>
                </w14:textFill>
              </w:rPr>
              <w:t>，采用三合土打底，再铺设30cm水泥，表面均匀涂刷2层耐腐蚀防渗胶层，防渗层厚度相当于1.0×10</w:t>
            </w:r>
            <w:r>
              <w:rPr>
                <w:rFonts w:hint="default" w:ascii="Times New Roman" w:hAnsi="Times New Roman" w:eastAsia="华文中宋" w:cs="Times New Roman"/>
                <w:color w:val="000000" w:themeColor="text1"/>
                <w:vertAlign w:val="superscript"/>
                <w:lang w:val="en-US" w:eastAsia="zh-CN"/>
                <w14:textFill>
                  <w14:solidFill>
                    <w14:schemeClr w14:val="tx1"/>
                  </w14:solidFill>
                </w14:textFill>
              </w:rPr>
              <w:t>-7</w:t>
            </w:r>
            <w:r>
              <w:rPr>
                <w:rFonts w:hint="default" w:ascii="Times New Roman" w:hAnsi="Times New Roman" w:eastAsia="华文中宋" w:cs="Times New Roman"/>
                <w:color w:val="000000" w:themeColor="text1"/>
                <w:lang w:val="en-US" w:eastAsia="zh-CN"/>
                <w14:textFill>
                  <w14:solidFill>
                    <w14:schemeClr w14:val="tx1"/>
                  </w14:solidFill>
                </w14:textFill>
              </w:rPr>
              <w:t>cm/s和厚度6.0m的粘土层的防渗性能。储油库采用简易彩板房（防日照、防雨）。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6、环境风险分析</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（1）环境风险评价目的</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环境风险评价的目的是分析建设项目存在的潜在危险、有害因素，建设项目建设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（2）风险调查</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根据《建设项目环境风险评价技术导则》（ HJ169-2018）附录 B 中规定，本项目风险物质为油类物质（柴油）。</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（3）环境风险潜势初判</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1）危险物质数量与临界量比值（Q）</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根据《建设项目环境风险评价技术导则》（ HJ169-2018）和《危险化学品重大危险源辨识》（GB18218-2018），危险化学品重大危险源是指“长期地或临时地生产、加工、搬运、使用或储存危险化学品，且危险化学品的数量等于或超过临界量的单元 ”。计算所涉及的每种危险物质在厂界内的最大存在总量与其在附录 B 中对应临界量的比值 Q。在不同厂区的同一种物质，按其在厂界内的最大存在总量计算。单元内存在的危险化学品的数量根据处理危险化学品的多少，区分为以下两种情况：</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①当只涉及一种危险物质时，计算该物质的总量与其临界量比值，即为 Q；</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②当存在多种危险物质时，则按下式计算物质总量与其临界量比值（Q）：</w:t>
            </w:r>
          </w:p>
          <w:p>
            <w:pPr>
              <w:spacing w:line="240" w:lineRule="auto"/>
              <w:ind w:firstLine="480" w:firstLineChars="200"/>
              <w:jc w:val="center"/>
              <w:rPr>
                <w:rFonts w:hint="default" w:ascii="Times New Roman" w:hAnsi="Times New Roman" w:eastAsia="华文中宋" w:cs="Times New Roman"/>
                <w:i/>
                <w:color w:val="000000" w:themeColor="text1"/>
                <w:sz w:val="24"/>
                <w14:textFill>
                  <w14:solidFill>
                    <w14:schemeClr w14:val="tx1"/>
                  </w14:solidFill>
                </w14:textFill>
              </w:rPr>
            </w:pPr>
            <m:oMathPara>
              <m:oMath>
                <m:r>
                  <m:rPr>
                    <m:nor/>
                  </m:rPr>
                  <w:rPr>
                    <w:rFonts w:hint="default" w:ascii="Times New Roman" w:hAnsi="Times New Roman" w:eastAsia="华文中宋" w:cs="Times New Roman"/>
                    <w:i/>
                    <w:color w:val="000000" w:themeColor="text1"/>
                    <w:sz w:val="24"/>
                    <w14:textFill>
                      <w14:solidFill>
                        <w14:schemeClr w14:val="tx1"/>
                      </w14:solidFill>
                    </w14:textFill>
                  </w:rPr>
                  <m:t>Q</m:t>
                </m:r>
                <m:r>
                  <m:rPr>
                    <m:nor/>
                    <m:sty m:val="p"/>
                  </m:rPr>
                  <w:rPr>
                    <w:rFonts w:hint="default" w:ascii="Times New Roman" w:hAnsi="Times New Roman" w:eastAsia="华文中宋" w:cs="Times New Roman"/>
                    <w:b w:val="0"/>
                    <w:i w:val="0"/>
                    <w:color w:val="000000" w:themeColor="text1"/>
                    <w:sz w:val="24"/>
                    <w14:textFill>
                      <w14:solidFill>
                        <w14:schemeClr w14:val="tx1"/>
                      </w14:solidFill>
                    </w14:textFill>
                  </w:rPr>
                  <m:t>=</m:t>
                </m:r>
                <m:f>
                  <m:fPr>
                    <m:ctrlPr>
                      <w:rPr>
                        <w:rFonts w:hint="default" w:ascii="Cambria Math" w:hAnsi="Cambria Math" w:eastAsia="华文中宋" w:cs="Times New Roman"/>
                        <w:i/>
                        <w:color w:val="000000" w:themeColor="text1"/>
                        <w:sz w:val="24"/>
                        <w14:textFill>
                          <w14:solidFill>
                            <w14:schemeClr w14:val="tx1"/>
                          </w14:solidFill>
                        </w14:textFill>
                      </w:rPr>
                    </m:ctrlPr>
                  </m:fPr>
                  <m:num>
                    <m:sSub>
                      <m:sSubPr>
                        <m:ctrlPr>
                          <w:rPr>
                            <w:rFonts w:hint="default" w:ascii="Cambria Math" w:hAnsi="Cambria Math" w:eastAsia="华文中宋" w:cs="Times New Roman"/>
                            <w:i/>
                            <w:color w:val="000000" w:themeColor="text1"/>
                            <w:sz w:val="24"/>
                            <w14:textFill>
                              <w14:solidFill>
                                <w14:schemeClr w14:val="tx1"/>
                              </w14:solidFill>
                            </w14:textFill>
                          </w:rPr>
                        </m:ctrlPr>
                      </m:sSubPr>
                      <m:e>
                        <m:r>
                          <m:rPr>
                            <m:nor/>
                          </m:rPr>
                          <w:rPr>
                            <w:rFonts w:hint="default" w:ascii="Times New Roman" w:hAnsi="Times New Roman" w:eastAsia="华文中宋" w:cs="Times New Roman"/>
                            <w:i/>
                            <w:color w:val="000000" w:themeColor="text1"/>
                            <w:sz w:val="24"/>
                            <w14:textFill>
                              <w14:solidFill>
                                <w14:schemeClr w14:val="tx1"/>
                              </w14:solidFill>
                            </w14:textFill>
                          </w:rPr>
                          <m:t>q</m:t>
                        </m:r>
                        <m:ctrlPr>
                          <w:rPr>
                            <w:rFonts w:hint="default" w:ascii="Cambria Math" w:hAnsi="Cambria Math" w:eastAsia="华文中宋" w:cs="Times New Roman"/>
                            <w:color w:val="000000" w:themeColor="text1"/>
                            <w14:textFill>
                              <w14:solidFill>
                                <w14:schemeClr w14:val="tx1"/>
                              </w14:solidFill>
                            </w14:textFill>
                          </w:rPr>
                        </m:ctrlPr>
                      </m:e>
                      <m:sub>
                        <m:r>
                          <m:rPr>
                            <m:nor/>
                            <m:sty m:val="p"/>
                          </m:rPr>
                          <w:rPr>
                            <w:rFonts w:hint="default" w:ascii="Times New Roman" w:hAnsi="Times New Roman" w:eastAsia="华文中宋" w:cs="Times New Roman"/>
                            <w:b w:val="0"/>
                            <w:i w:val="0"/>
                            <w:color w:val="000000" w:themeColor="text1"/>
                            <w:sz w:val="24"/>
                            <w14:textFill>
                              <w14:solidFill>
                                <w14:schemeClr w14:val="tx1"/>
                              </w14:solidFill>
                            </w14:textFill>
                          </w:rPr>
                          <m:t>1</m:t>
                        </m:r>
                        <m:ctrlPr>
                          <w:rPr>
                            <w:rFonts w:hint="default" w:ascii="Cambria Math" w:hAnsi="Cambria Math" w:eastAsia="华文中宋" w:cs="Times New Roman"/>
                            <w:color w:val="000000" w:themeColor="text1"/>
                            <w14:textFill>
                              <w14:solidFill>
                                <w14:schemeClr w14:val="tx1"/>
                              </w14:solidFill>
                            </w14:textFill>
                          </w:rPr>
                        </m:ctrlPr>
                      </m:sub>
                    </m:sSub>
                    <m:ctrlPr>
                      <w:rPr>
                        <w:rFonts w:hint="default" w:ascii="Cambria Math" w:hAnsi="Cambria Math" w:eastAsia="华文中宋" w:cs="Times New Roman"/>
                        <w:i/>
                        <w:color w:val="000000" w:themeColor="text1"/>
                        <w:sz w:val="24"/>
                        <w14:textFill>
                          <w14:solidFill>
                            <w14:schemeClr w14:val="tx1"/>
                          </w14:solidFill>
                        </w14:textFill>
                      </w:rPr>
                    </m:ctrlPr>
                  </m:num>
                  <m:den>
                    <m:sSub>
                      <m:sSubPr>
                        <m:ctrlPr>
                          <w:rPr>
                            <w:rFonts w:hint="default" w:ascii="Cambria Math" w:hAnsi="Cambria Math" w:eastAsia="华文中宋" w:cs="Times New Roman"/>
                            <w:i/>
                            <w:color w:val="000000" w:themeColor="text1"/>
                            <w:sz w:val="24"/>
                            <w14:textFill>
                              <w14:solidFill>
                                <w14:schemeClr w14:val="tx1"/>
                              </w14:solidFill>
                            </w14:textFill>
                          </w:rPr>
                        </m:ctrlPr>
                      </m:sSubPr>
                      <m:e>
                        <m:r>
                          <m:rPr>
                            <m:nor/>
                          </m:rPr>
                          <w:rPr>
                            <w:rFonts w:hint="default" w:ascii="Times New Roman" w:hAnsi="Times New Roman" w:eastAsia="华文中宋" w:cs="Times New Roman"/>
                            <w:i/>
                            <w:color w:val="000000" w:themeColor="text1"/>
                            <w:sz w:val="24"/>
                            <w14:textFill>
                              <w14:solidFill>
                                <w14:schemeClr w14:val="tx1"/>
                              </w14:solidFill>
                            </w14:textFill>
                          </w:rPr>
                          <m:t>Q</m:t>
                        </m:r>
                        <m:ctrlPr>
                          <w:rPr>
                            <w:rFonts w:hint="default" w:ascii="Cambria Math" w:hAnsi="Cambria Math" w:eastAsia="华文中宋" w:cs="Times New Roman"/>
                            <w:color w:val="000000" w:themeColor="text1"/>
                            <w14:textFill>
                              <w14:solidFill>
                                <w14:schemeClr w14:val="tx1"/>
                              </w14:solidFill>
                            </w14:textFill>
                          </w:rPr>
                        </m:ctrlPr>
                      </m:e>
                      <m:sub>
                        <m:r>
                          <m:rPr>
                            <m:nor/>
                            <m:sty m:val="p"/>
                          </m:rPr>
                          <w:rPr>
                            <w:rFonts w:hint="default" w:ascii="Times New Roman" w:hAnsi="Times New Roman" w:eastAsia="华文中宋" w:cs="Times New Roman"/>
                            <w:b w:val="0"/>
                            <w:i w:val="0"/>
                            <w:color w:val="000000" w:themeColor="text1"/>
                            <w:sz w:val="24"/>
                            <w14:textFill>
                              <w14:solidFill>
                                <w14:schemeClr w14:val="tx1"/>
                              </w14:solidFill>
                            </w14:textFill>
                          </w:rPr>
                          <m:t>1</m:t>
                        </m:r>
                        <m:ctrlPr>
                          <w:rPr>
                            <w:rFonts w:hint="default" w:ascii="Cambria Math" w:hAnsi="Cambria Math" w:eastAsia="华文中宋" w:cs="Times New Roman"/>
                            <w:color w:val="000000" w:themeColor="text1"/>
                            <w14:textFill>
                              <w14:solidFill>
                                <w14:schemeClr w14:val="tx1"/>
                              </w14:solidFill>
                            </w14:textFill>
                          </w:rPr>
                        </m:ctrlPr>
                      </m:sub>
                    </m:sSub>
                    <m:ctrlPr>
                      <w:rPr>
                        <w:rFonts w:hint="default" w:ascii="Cambria Math" w:hAnsi="Cambria Math" w:eastAsia="华文中宋" w:cs="Times New Roman"/>
                        <w:i/>
                        <w:color w:val="000000" w:themeColor="text1"/>
                        <w:sz w:val="24"/>
                        <w14:textFill>
                          <w14:solidFill>
                            <w14:schemeClr w14:val="tx1"/>
                          </w14:solidFill>
                        </w14:textFill>
                      </w:rPr>
                    </m:ctrlPr>
                  </m:den>
                </m:f>
                <m:r>
                  <m:rPr>
                    <m:nor/>
                    <m:sty m:val="p"/>
                  </m:rPr>
                  <w:rPr>
                    <w:rFonts w:hint="default" w:ascii="Times New Roman" w:hAnsi="Times New Roman" w:eastAsia="华文中宋" w:cs="Times New Roman"/>
                    <w:b w:val="0"/>
                    <w:i w:val="0"/>
                    <w:color w:val="000000" w:themeColor="text1"/>
                    <w:sz w:val="24"/>
                    <w14:textFill>
                      <w14:solidFill>
                        <w14:schemeClr w14:val="tx1"/>
                      </w14:solidFill>
                    </w14:textFill>
                  </w:rPr>
                  <m:t>+</m:t>
                </m:r>
                <m:f>
                  <m:fPr>
                    <m:ctrlPr>
                      <w:rPr>
                        <w:rFonts w:hint="default" w:ascii="Cambria Math" w:hAnsi="Cambria Math" w:eastAsia="华文中宋" w:cs="Times New Roman"/>
                        <w:i/>
                        <w:color w:val="000000" w:themeColor="text1"/>
                        <w:sz w:val="24"/>
                        <w14:textFill>
                          <w14:solidFill>
                            <w14:schemeClr w14:val="tx1"/>
                          </w14:solidFill>
                        </w14:textFill>
                      </w:rPr>
                    </m:ctrlPr>
                  </m:fPr>
                  <m:num>
                    <m:sSub>
                      <m:sSubPr>
                        <m:ctrlPr>
                          <w:rPr>
                            <w:rFonts w:hint="default" w:ascii="Cambria Math" w:hAnsi="Cambria Math" w:eastAsia="华文中宋" w:cs="Times New Roman"/>
                            <w:i/>
                            <w:color w:val="000000" w:themeColor="text1"/>
                            <w:sz w:val="24"/>
                            <w14:textFill>
                              <w14:solidFill>
                                <w14:schemeClr w14:val="tx1"/>
                              </w14:solidFill>
                            </w14:textFill>
                          </w:rPr>
                        </m:ctrlPr>
                      </m:sSubPr>
                      <m:e>
                        <m:r>
                          <m:rPr>
                            <m:nor/>
                          </m:rPr>
                          <w:rPr>
                            <w:rFonts w:hint="default" w:ascii="Times New Roman" w:hAnsi="Times New Roman" w:eastAsia="华文中宋" w:cs="Times New Roman"/>
                            <w:i/>
                            <w:color w:val="000000" w:themeColor="text1"/>
                            <w:sz w:val="24"/>
                            <w14:textFill>
                              <w14:solidFill>
                                <w14:schemeClr w14:val="tx1"/>
                              </w14:solidFill>
                            </w14:textFill>
                          </w:rPr>
                          <m:t>q</m:t>
                        </m:r>
                        <m:ctrlPr>
                          <w:rPr>
                            <w:rFonts w:hint="default" w:ascii="Cambria Math" w:hAnsi="Cambria Math" w:eastAsia="华文中宋" w:cs="Times New Roman"/>
                            <w:color w:val="000000" w:themeColor="text1"/>
                            <w14:textFill>
                              <w14:solidFill>
                                <w14:schemeClr w14:val="tx1"/>
                              </w14:solidFill>
                            </w14:textFill>
                          </w:rPr>
                        </m:ctrlPr>
                      </m:e>
                      <m:sub>
                        <m:r>
                          <m:rPr>
                            <m:nor/>
                            <m:sty m:val="p"/>
                          </m:rPr>
                          <w:rPr>
                            <w:rFonts w:hint="default" w:ascii="Times New Roman" w:hAnsi="Times New Roman" w:eastAsia="华文中宋" w:cs="Times New Roman"/>
                            <w:b w:val="0"/>
                            <w:i w:val="0"/>
                            <w:color w:val="000000" w:themeColor="text1"/>
                            <w:sz w:val="24"/>
                            <w14:textFill>
                              <w14:solidFill>
                                <w14:schemeClr w14:val="tx1"/>
                              </w14:solidFill>
                            </w14:textFill>
                          </w:rPr>
                          <m:t>2</m:t>
                        </m:r>
                        <m:ctrlPr>
                          <w:rPr>
                            <w:rFonts w:hint="default" w:ascii="Cambria Math" w:hAnsi="Cambria Math" w:eastAsia="华文中宋" w:cs="Times New Roman"/>
                            <w:color w:val="000000" w:themeColor="text1"/>
                            <w14:textFill>
                              <w14:solidFill>
                                <w14:schemeClr w14:val="tx1"/>
                              </w14:solidFill>
                            </w14:textFill>
                          </w:rPr>
                        </m:ctrlPr>
                      </m:sub>
                    </m:sSub>
                    <m:ctrlPr>
                      <w:rPr>
                        <w:rFonts w:hint="default" w:ascii="Cambria Math" w:hAnsi="Cambria Math" w:eastAsia="华文中宋" w:cs="Times New Roman"/>
                        <w:i/>
                        <w:color w:val="000000" w:themeColor="text1"/>
                        <w:sz w:val="24"/>
                        <w14:textFill>
                          <w14:solidFill>
                            <w14:schemeClr w14:val="tx1"/>
                          </w14:solidFill>
                        </w14:textFill>
                      </w:rPr>
                    </m:ctrlPr>
                  </m:num>
                  <m:den>
                    <m:sSub>
                      <m:sSubPr>
                        <m:ctrlPr>
                          <w:rPr>
                            <w:rFonts w:hint="default" w:ascii="Cambria Math" w:hAnsi="Cambria Math" w:eastAsia="华文中宋" w:cs="Times New Roman"/>
                            <w:i/>
                            <w:color w:val="000000" w:themeColor="text1"/>
                            <w:sz w:val="24"/>
                            <w14:textFill>
                              <w14:solidFill>
                                <w14:schemeClr w14:val="tx1"/>
                              </w14:solidFill>
                            </w14:textFill>
                          </w:rPr>
                        </m:ctrlPr>
                      </m:sSubPr>
                      <m:e>
                        <m:r>
                          <m:rPr>
                            <m:nor/>
                          </m:rPr>
                          <w:rPr>
                            <w:rFonts w:hint="default" w:ascii="Times New Roman" w:hAnsi="Times New Roman" w:eastAsia="华文中宋" w:cs="Times New Roman"/>
                            <w:i/>
                            <w:color w:val="000000" w:themeColor="text1"/>
                            <w:sz w:val="24"/>
                            <w14:textFill>
                              <w14:solidFill>
                                <w14:schemeClr w14:val="tx1"/>
                              </w14:solidFill>
                            </w14:textFill>
                          </w:rPr>
                          <m:t>Q</m:t>
                        </m:r>
                        <m:ctrlPr>
                          <w:rPr>
                            <w:rFonts w:hint="default" w:ascii="Cambria Math" w:hAnsi="Cambria Math" w:eastAsia="华文中宋" w:cs="Times New Roman"/>
                            <w:color w:val="000000" w:themeColor="text1"/>
                            <w14:textFill>
                              <w14:solidFill>
                                <w14:schemeClr w14:val="tx1"/>
                              </w14:solidFill>
                            </w14:textFill>
                          </w:rPr>
                        </m:ctrlPr>
                      </m:e>
                      <m:sub>
                        <m:r>
                          <m:rPr>
                            <m:nor/>
                            <m:sty m:val="p"/>
                          </m:rPr>
                          <w:rPr>
                            <w:rFonts w:hint="default" w:ascii="Times New Roman" w:hAnsi="Times New Roman" w:eastAsia="华文中宋" w:cs="Times New Roman"/>
                            <w:b w:val="0"/>
                            <w:i w:val="0"/>
                            <w:color w:val="000000" w:themeColor="text1"/>
                            <w:sz w:val="24"/>
                            <w14:textFill>
                              <w14:solidFill>
                                <w14:schemeClr w14:val="tx1"/>
                              </w14:solidFill>
                            </w14:textFill>
                          </w:rPr>
                          <m:t>2</m:t>
                        </m:r>
                        <m:ctrlPr>
                          <w:rPr>
                            <w:rFonts w:hint="default" w:ascii="Cambria Math" w:hAnsi="Cambria Math" w:eastAsia="华文中宋" w:cs="Times New Roman"/>
                            <w:color w:val="000000" w:themeColor="text1"/>
                            <w14:textFill>
                              <w14:solidFill>
                                <w14:schemeClr w14:val="tx1"/>
                              </w14:solidFill>
                            </w14:textFill>
                          </w:rPr>
                        </m:ctrlPr>
                      </m:sub>
                    </m:sSub>
                    <m:ctrlPr>
                      <w:rPr>
                        <w:rFonts w:hint="default" w:ascii="Cambria Math" w:hAnsi="Cambria Math" w:eastAsia="华文中宋" w:cs="Times New Roman"/>
                        <w:i/>
                        <w:color w:val="000000" w:themeColor="text1"/>
                        <w:sz w:val="24"/>
                        <w14:textFill>
                          <w14:solidFill>
                            <w14:schemeClr w14:val="tx1"/>
                          </w14:solidFill>
                        </w14:textFill>
                      </w:rPr>
                    </m:ctrlPr>
                  </m:den>
                </m:f>
                <m:r>
                  <m:rPr>
                    <m:nor/>
                    <m:sty m:val="p"/>
                  </m:rPr>
                  <w:rPr>
                    <w:rFonts w:hint="default" w:ascii="Times New Roman" w:hAnsi="Times New Roman" w:eastAsia="华文中宋" w:cs="Times New Roman"/>
                    <w:b w:val="0"/>
                    <w:i w:val="0"/>
                    <w:color w:val="000000" w:themeColor="text1"/>
                    <w:sz w:val="24"/>
                    <w14:textFill>
                      <w14:solidFill>
                        <w14:schemeClr w14:val="tx1"/>
                      </w14:solidFill>
                    </w14:textFill>
                  </w:rPr>
                  <m:t>+⋯+</m:t>
                </m:r>
                <m:f>
                  <m:fPr>
                    <m:ctrlPr>
                      <w:rPr>
                        <w:rFonts w:hint="default" w:ascii="Cambria Math" w:hAnsi="Cambria Math" w:eastAsia="华文中宋" w:cs="Times New Roman"/>
                        <w:i/>
                        <w:color w:val="000000" w:themeColor="text1"/>
                        <w:sz w:val="24"/>
                        <w14:textFill>
                          <w14:solidFill>
                            <w14:schemeClr w14:val="tx1"/>
                          </w14:solidFill>
                        </w14:textFill>
                      </w:rPr>
                    </m:ctrlPr>
                  </m:fPr>
                  <m:num>
                    <m:sSub>
                      <m:sSubPr>
                        <m:ctrlPr>
                          <w:rPr>
                            <w:rFonts w:hint="default" w:ascii="Cambria Math" w:hAnsi="Cambria Math" w:eastAsia="华文中宋" w:cs="Times New Roman"/>
                            <w:i/>
                            <w:color w:val="000000" w:themeColor="text1"/>
                            <w:sz w:val="24"/>
                            <w14:textFill>
                              <w14:solidFill>
                                <w14:schemeClr w14:val="tx1"/>
                              </w14:solidFill>
                            </w14:textFill>
                          </w:rPr>
                        </m:ctrlPr>
                      </m:sSubPr>
                      <m:e>
                        <m:r>
                          <m:rPr>
                            <m:nor/>
                          </m:rPr>
                          <w:rPr>
                            <w:rFonts w:hint="default" w:ascii="Times New Roman" w:hAnsi="Times New Roman" w:eastAsia="华文中宋" w:cs="Times New Roman"/>
                            <w:i/>
                            <w:color w:val="000000" w:themeColor="text1"/>
                            <w:sz w:val="24"/>
                            <w14:textFill>
                              <w14:solidFill>
                                <w14:schemeClr w14:val="tx1"/>
                              </w14:solidFill>
                            </w14:textFill>
                          </w:rPr>
                          <m:t>q</m:t>
                        </m:r>
                        <m:ctrlPr>
                          <w:rPr>
                            <w:rFonts w:hint="default" w:ascii="Cambria Math" w:hAnsi="Cambria Math" w:eastAsia="华文中宋" w:cs="Times New Roman"/>
                            <w:color w:val="000000" w:themeColor="text1"/>
                            <w14:textFill>
                              <w14:solidFill>
                                <w14:schemeClr w14:val="tx1"/>
                              </w14:solidFill>
                            </w14:textFill>
                          </w:rPr>
                        </m:ctrlPr>
                      </m:e>
                      <m:sub>
                        <m:r>
                          <m:rPr>
                            <m:nor/>
                          </m:rPr>
                          <w:rPr>
                            <w:rFonts w:hint="default" w:ascii="Times New Roman" w:hAnsi="Times New Roman" w:eastAsia="华文中宋" w:cs="Times New Roman"/>
                            <w:i/>
                            <w:color w:val="000000" w:themeColor="text1"/>
                            <w:sz w:val="24"/>
                            <w14:textFill>
                              <w14:solidFill>
                                <w14:schemeClr w14:val="tx1"/>
                              </w14:solidFill>
                            </w14:textFill>
                          </w:rPr>
                          <m:t>n</m:t>
                        </m:r>
                        <m:ctrlPr>
                          <w:rPr>
                            <w:rFonts w:hint="default" w:ascii="Cambria Math" w:hAnsi="Cambria Math" w:eastAsia="华文中宋" w:cs="Times New Roman"/>
                            <w:color w:val="000000" w:themeColor="text1"/>
                            <w14:textFill>
                              <w14:solidFill>
                                <w14:schemeClr w14:val="tx1"/>
                              </w14:solidFill>
                            </w14:textFill>
                          </w:rPr>
                        </m:ctrlPr>
                      </m:sub>
                    </m:sSub>
                    <m:ctrlPr>
                      <w:rPr>
                        <w:rFonts w:hint="default" w:ascii="Cambria Math" w:hAnsi="Cambria Math" w:eastAsia="华文中宋" w:cs="Times New Roman"/>
                        <w:i/>
                        <w:color w:val="000000" w:themeColor="text1"/>
                        <w:sz w:val="24"/>
                        <w14:textFill>
                          <w14:solidFill>
                            <w14:schemeClr w14:val="tx1"/>
                          </w14:solidFill>
                        </w14:textFill>
                      </w:rPr>
                    </m:ctrlPr>
                  </m:num>
                  <m:den>
                    <m:sSub>
                      <m:sSubPr>
                        <m:ctrlPr>
                          <w:rPr>
                            <w:rFonts w:hint="default" w:ascii="Cambria Math" w:hAnsi="Cambria Math" w:eastAsia="华文中宋" w:cs="Times New Roman"/>
                            <w:i/>
                            <w:color w:val="000000" w:themeColor="text1"/>
                            <w:sz w:val="24"/>
                            <w14:textFill>
                              <w14:solidFill>
                                <w14:schemeClr w14:val="tx1"/>
                              </w14:solidFill>
                            </w14:textFill>
                          </w:rPr>
                        </m:ctrlPr>
                      </m:sSubPr>
                      <m:e>
                        <m:r>
                          <m:rPr>
                            <m:nor/>
                          </m:rPr>
                          <w:rPr>
                            <w:rFonts w:hint="default" w:ascii="Times New Roman" w:hAnsi="Times New Roman" w:eastAsia="华文中宋" w:cs="Times New Roman"/>
                            <w:i/>
                            <w:color w:val="000000" w:themeColor="text1"/>
                            <w:sz w:val="24"/>
                            <w14:textFill>
                              <w14:solidFill>
                                <w14:schemeClr w14:val="tx1"/>
                              </w14:solidFill>
                            </w14:textFill>
                          </w:rPr>
                          <m:t>Q</m:t>
                        </m:r>
                        <m:ctrlPr>
                          <w:rPr>
                            <w:rFonts w:hint="default" w:ascii="Cambria Math" w:hAnsi="Cambria Math" w:eastAsia="华文中宋" w:cs="Times New Roman"/>
                            <w:color w:val="000000" w:themeColor="text1"/>
                            <w14:textFill>
                              <w14:solidFill>
                                <w14:schemeClr w14:val="tx1"/>
                              </w14:solidFill>
                            </w14:textFill>
                          </w:rPr>
                        </m:ctrlPr>
                      </m:e>
                      <m:sub>
                        <m:r>
                          <m:rPr>
                            <m:nor/>
                          </m:rPr>
                          <w:rPr>
                            <w:rFonts w:hint="default" w:ascii="Times New Roman" w:hAnsi="Times New Roman" w:eastAsia="华文中宋" w:cs="Times New Roman"/>
                            <w:i/>
                            <w:color w:val="000000" w:themeColor="text1"/>
                            <w:sz w:val="24"/>
                            <w14:textFill>
                              <w14:solidFill>
                                <w14:schemeClr w14:val="tx1"/>
                              </w14:solidFill>
                            </w14:textFill>
                          </w:rPr>
                          <m:t>n</m:t>
                        </m:r>
                        <m:ctrlPr>
                          <w:rPr>
                            <w:rFonts w:hint="default" w:ascii="Cambria Math" w:hAnsi="Cambria Math" w:eastAsia="华文中宋" w:cs="Times New Roman"/>
                            <w:color w:val="000000" w:themeColor="text1"/>
                            <w14:textFill>
                              <w14:solidFill>
                                <w14:schemeClr w14:val="tx1"/>
                              </w14:solidFill>
                            </w14:textFill>
                          </w:rPr>
                        </m:ctrlPr>
                      </m:sub>
                    </m:sSub>
                    <m:ctrlPr>
                      <w:rPr>
                        <w:rFonts w:hint="default" w:ascii="Cambria Math" w:hAnsi="Cambria Math" w:eastAsia="华文中宋" w:cs="Times New Roman"/>
                        <w:i/>
                        <w:color w:val="000000" w:themeColor="text1"/>
                        <w:sz w:val="24"/>
                        <w14:textFill>
                          <w14:solidFill>
                            <w14:schemeClr w14:val="tx1"/>
                          </w14:solidFill>
                        </w14:textFill>
                      </w:rPr>
                    </m:ctrlPr>
                  </m:den>
                </m:f>
              </m:oMath>
            </m:oMathPara>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式中：q1，q2，...，qn——每种危险物质的最大总存在量，t；</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 xml:space="preserve">      Q1，Q2，...，Qn——每种危险物质的临界量，t；</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 xml:space="preserve">     当Q＜1时，该项目环境风险潜势为Ⅰ；</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 xml:space="preserve">     当Q≥1时，将Q 值划分为：（1）1≤Q＜10；（2）10≤Q＜100；（3）Q≥100。</w:t>
            </w:r>
          </w:p>
          <w:p>
            <w:pPr>
              <w:bidi w:val="0"/>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本项目生产过程涉及柴油，本项目涉及的危险物质存在量与临界量比值见表4-4。</w:t>
            </w:r>
          </w:p>
          <w:p>
            <w:pPr>
              <w:jc w:val="center"/>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b/>
                <w:bCs/>
                <w:color w:val="000000" w:themeColor="text1"/>
                <w:sz w:val="24"/>
                <w:szCs w:val="24"/>
                <w14:textFill>
                  <w14:solidFill>
                    <w14:schemeClr w14:val="tx1"/>
                  </w14:solidFill>
                </w14:textFill>
              </w:rPr>
              <w:t>表</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4-4</w:t>
            </w:r>
            <w:r>
              <w:rPr>
                <w:rFonts w:hint="default" w:ascii="Times New Roman" w:hAnsi="Times New Roman" w:eastAsia="华文中宋" w:cs="Times New Roman"/>
                <w:b/>
                <w:bCs/>
                <w:color w:val="000000" w:themeColor="text1"/>
                <w:sz w:val="24"/>
                <w:szCs w:val="24"/>
                <w14:textFill>
                  <w14:solidFill>
                    <w14:schemeClr w14:val="tx1"/>
                  </w14:solidFill>
                </w14:textFill>
              </w:rPr>
              <w:t xml:space="preserve">    </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华文中宋" w:cs="Times New Roman"/>
                <w:b/>
                <w:bCs/>
                <w:color w:val="000000" w:themeColor="text1"/>
                <w:sz w:val="24"/>
                <w:szCs w:val="24"/>
                <w14:textFill>
                  <w14:solidFill>
                    <w14:schemeClr w14:val="tx1"/>
                  </w14:solidFill>
                </w14:textFill>
              </w:rPr>
              <w:t>危险物质存在量与临界量比值</w:t>
            </w:r>
          </w:p>
          <w:tbl>
            <w:tblPr>
              <w:tblStyle w:val="29"/>
              <w:tblW w:w="83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2136"/>
              <w:gridCol w:w="2136"/>
              <w:gridCol w:w="17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98"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物质名称</w:t>
                  </w:r>
                </w:p>
              </w:tc>
              <w:tc>
                <w:tcPr>
                  <w:tcW w:w="2136"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临界量（Qi）</w:t>
                  </w:r>
                </w:p>
              </w:tc>
              <w:tc>
                <w:tcPr>
                  <w:tcW w:w="2136"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储存量（qi）</w:t>
                  </w:r>
                </w:p>
              </w:tc>
              <w:tc>
                <w:tcPr>
                  <w:tcW w:w="1706"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98"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油类物质（柴油）</w:t>
                  </w:r>
                </w:p>
              </w:tc>
              <w:tc>
                <w:tcPr>
                  <w:tcW w:w="2136"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2500t</w:t>
                  </w:r>
                </w:p>
              </w:tc>
              <w:tc>
                <w:tcPr>
                  <w:tcW w:w="2136"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1t</w:t>
                  </w:r>
                </w:p>
              </w:tc>
              <w:tc>
                <w:tcPr>
                  <w:tcW w:w="1706"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98"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∑（qi/Qi）</w:t>
                  </w:r>
                </w:p>
              </w:tc>
              <w:tc>
                <w:tcPr>
                  <w:tcW w:w="2136"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p>
              </w:tc>
              <w:tc>
                <w:tcPr>
                  <w:tcW w:w="2136"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p>
              </w:tc>
              <w:tc>
                <w:tcPr>
                  <w:tcW w:w="1706" w:type="dxa"/>
                  <w:tcBorders>
                    <w:tl2br w:val="nil"/>
                    <w:tr2bl w:val="nil"/>
                  </w:tcBorders>
                  <w:noWrap w:val="0"/>
                  <w:vAlign w:val="center"/>
                </w:tcPr>
                <w:p>
                  <w:pPr>
                    <w:pStyle w:val="5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华文中宋" w:cs="Times New Roman"/>
                      <w:color w:val="000000" w:themeColor="text1"/>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0.0004</w:t>
                  </w:r>
                </w:p>
              </w:tc>
            </w:tr>
          </w:tbl>
          <w:p>
            <w:pPr>
              <w:adjustRightInd w:val="0"/>
              <w:snapToGrid w:val="0"/>
              <w:spacing w:line="480" w:lineRule="exact"/>
              <w:ind w:firstLine="480" w:firstLineChars="200"/>
              <w:rPr>
                <w:rFonts w:hint="default" w:ascii="Times New Roman" w:hAnsi="Times New Roman" w:eastAsia="华文中宋" w:cs="Times New Roman"/>
                <w:color w:val="000000" w:themeColor="text1"/>
                <w:kern w:val="0"/>
                <w:sz w:val="24"/>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1"/>
                <w14:textFill>
                  <w14:solidFill>
                    <w14:schemeClr w14:val="tx1"/>
                  </w14:solidFill>
                </w14:textFill>
              </w:rPr>
              <w:t>本项目危险物质其存在量和临界量比值（Q）＜1，则该项目环境风险潜势为 I。</w:t>
            </w:r>
          </w:p>
          <w:p>
            <w:pPr>
              <w:adjustRightInd w:val="0"/>
              <w:snapToGrid w:val="0"/>
              <w:spacing w:line="480" w:lineRule="exact"/>
              <w:ind w:firstLine="480" w:firstLineChars="200"/>
              <w:rPr>
                <w:rFonts w:hint="default" w:ascii="Times New Roman" w:hAnsi="Times New Roman" w:eastAsia="华文中宋" w:cs="Times New Roman"/>
                <w:color w:val="000000" w:themeColor="text1"/>
                <w:kern w:val="0"/>
                <w:sz w:val="24"/>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1"/>
                <w14:textFill>
                  <w14:solidFill>
                    <w14:schemeClr w14:val="tx1"/>
                  </w14:solidFill>
                </w14:textFill>
              </w:rPr>
              <w:t>2）环境风险评价等级</w:t>
            </w:r>
          </w:p>
          <w:p>
            <w:pPr>
              <w:adjustRightInd w:val="0"/>
              <w:snapToGrid w:val="0"/>
              <w:spacing w:line="480" w:lineRule="exact"/>
              <w:ind w:firstLine="480" w:firstLineChars="200"/>
              <w:rPr>
                <w:rFonts w:hint="default" w:ascii="Times New Roman" w:hAnsi="Times New Roman" w:eastAsia="华文中宋" w:cs="Times New Roman"/>
                <w:color w:val="000000" w:themeColor="text1"/>
                <w:kern w:val="0"/>
                <w:sz w:val="24"/>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1"/>
                <w14:textFill>
                  <w14:solidFill>
                    <w14:schemeClr w14:val="tx1"/>
                  </w14:solidFill>
                </w14:textFill>
              </w:rPr>
              <w:t>根据《建设项目环境 风险评价技术导则》（ HJ169-2018）确定 本项目评价等级，评价工作等级划分见表</w:t>
            </w:r>
            <w:r>
              <w:rPr>
                <w:rFonts w:hint="default" w:ascii="Times New Roman" w:hAnsi="Times New Roman" w:eastAsia="华文中宋" w:cs="Times New Roman"/>
                <w:color w:val="000000" w:themeColor="text1"/>
                <w:kern w:val="0"/>
                <w:sz w:val="24"/>
                <w:szCs w:val="21"/>
                <w:lang w:val="en-US" w:eastAsia="zh-CN"/>
                <w14:textFill>
                  <w14:solidFill>
                    <w14:schemeClr w14:val="tx1"/>
                  </w14:solidFill>
                </w14:textFill>
              </w:rPr>
              <w:t>4-5</w:t>
            </w:r>
            <w:r>
              <w:rPr>
                <w:rFonts w:hint="default" w:ascii="Times New Roman" w:hAnsi="Times New Roman" w:eastAsia="华文中宋" w:cs="Times New Roman"/>
                <w:color w:val="000000" w:themeColor="text1"/>
                <w:kern w:val="0"/>
                <w:sz w:val="24"/>
                <w:szCs w:val="21"/>
                <w14:textFill>
                  <w14:solidFill>
                    <w14:schemeClr w14:val="tx1"/>
                  </w14:solidFill>
                </w14:textFill>
              </w:rPr>
              <w:t>。</w:t>
            </w:r>
          </w:p>
          <w:p>
            <w:pPr>
              <w:pStyle w:val="74"/>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华文中宋" w:cs="Times New Roman"/>
                <w:b/>
                <w:bCs/>
                <w:color w:val="000000" w:themeColor="text1"/>
                <w:sz w:val="21"/>
                <w:szCs w:val="21"/>
                <w14:textFill>
                  <w14:solidFill>
                    <w14:schemeClr w14:val="tx1"/>
                  </w14:solidFill>
                </w14:textFill>
              </w:rPr>
            </w:pPr>
            <w:r>
              <w:rPr>
                <w:rFonts w:hint="default" w:ascii="Times New Roman" w:hAnsi="Times New Roman" w:eastAsia="华文中宋" w:cs="Times New Roman"/>
                <w:b/>
                <w:bCs/>
                <w:color w:val="000000" w:themeColor="text1"/>
                <w:sz w:val="24"/>
                <w:szCs w:val="24"/>
                <w14:textFill>
                  <w14:solidFill>
                    <w14:schemeClr w14:val="tx1"/>
                  </w14:solidFill>
                </w14:textFill>
              </w:rPr>
              <w:t>表</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4-5</w:t>
            </w:r>
            <w:r>
              <w:rPr>
                <w:rFonts w:hint="default" w:ascii="Times New Roman" w:hAnsi="Times New Roman" w:eastAsia="华文中宋" w:cs="Times New Roman"/>
                <w:b/>
                <w:bCs/>
                <w:color w:val="000000" w:themeColor="text1"/>
                <w:sz w:val="24"/>
                <w:szCs w:val="24"/>
                <w14:textFill>
                  <w14:solidFill>
                    <w14:schemeClr w14:val="tx1"/>
                  </w14:solidFill>
                </w14:textFill>
              </w:rPr>
              <w:t xml:space="preserve">             评价工作等级划分表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1687"/>
              <w:gridCol w:w="1687"/>
              <w:gridCol w:w="1687"/>
              <w:gridCol w:w="16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7" w:type="dxa"/>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环境风险潜势</w:t>
                  </w:r>
                </w:p>
              </w:tc>
              <w:tc>
                <w:tcPr>
                  <w:tcW w:w="1687" w:type="dxa"/>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Ⅳ、Ⅳ+</w:t>
                  </w:r>
                </w:p>
              </w:tc>
              <w:tc>
                <w:tcPr>
                  <w:tcW w:w="1687" w:type="dxa"/>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Ⅲ</w:t>
                  </w:r>
                </w:p>
              </w:tc>
              <w:tc>
                <w:tcPr>
                  <w:tcW w:w="1687" w:type="dxa"/>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Ⅱ</w:t>
                  </w:r>
                </w:p>
              </w:tc>
              <w:tc>
                <w:tcPr>
                  <w:tcW w:w="1688" w:type="dxa"/>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7" w:type="dxa"/>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评价工作等级</w:t>
                  </w:r>
                </w:p>
              </w:tc>
              <w:tc>
                <w:tcPr>
                  <w:tcW w:w="1687" w:type="dxa"/>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一</w:t>
                  </w:r>
                </w:p>
              </w:tc>
              <w:tc>
                <w:tcPr>
                  <w:tcW w:w="1687" w:type="dxa"/>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二</w:t>
                  </w:r>
                </w:p>
              </w:tc>
              <w:tc>
                <w:tcPr>
                  <w:tcW w:w="1687" w:type="dxa"/>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三</w:t>
                  </w:r>
                </w:p>
              </w:tc>
              <w:tc>
                <w:tcPr>
                  <w:tcW w:w="1688" w:type="dxa"/>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firstLineChars="0"/>
                    <w:textAlignment w:val="center"/>
                    <w:rPr>
                      <w:rFonts w:hint="default" w:ascii="Times New Roman" w:hAnsi="Times New Roman" w:eastAsia="华文中宋" w:cs="Times New Roman"/>
                      <w:color w:val="000000" w:themeColor="text1"/>
                      <w:sz w:val="21"/>
                      <w:szCs w:val="21"/>
                      <w:vertAlign w:val="superscript"/>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简单分析</w:t>
                  </w:r>
                  <w:r>
                    <w:rPr>
                      <w:rFonts w:hint="default" w:ascii="Times New Roman" w:hAnsi="Times New Roman" w:eastAsia="华文中宋" w:cs="Times New Roman"/>
                      <w:color w:val="000000" w:themeColor="text1"/>
                      <w:sz w:val="21"/>
                      <w:szCs w:val="21"/>
                      <w:vertAlign w:val="superscript"/>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36" w:type="dxa"/>
                  <w:gridSpan w:val="5"/>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a是相对于详细评价工作内容而言，在描述危险物质、环境影响途径、环境危害后果、风险防范措施等方面给出定性的说明。</w:t>
                  </w:r>
                </w:p>
              </w:tc>
            </w:tr>
          </w:tbl>
          <w:p>
            <w:pPr>
              <w:adjustRightInd w:val="0"/>
              <w:snapToGrid w:val="0"/>
              <w:spacing w:line="480" w:lineRule="exact"/>
              <w:ind w:firstLine="480" w:firstLineChars="200"/>
              <w:rPr>
                <w:rFonts w:hint="default" w:ascii="Times New Roman" w:hAnsi="Times New Roman" w:eastAsia="华文中宋" w:cs="Times New Roman"/>
                <w:color w:val="000000" w:themeColor="text1"/>
                <w:kern w:val="0"/>
                <w:sz w:val="24"/>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1"/>
                <w14:textFill>
                  <w14:solidFill>
                    <w14:schemeClr w14:val="tx1"/>
                  </w14:solidFill>
                </w14:textFill>
              </w:rPr>
              <w:t>根据《建设项目环境风险评价技术导则》（ HJ169-2018）中判定原则，本项目环境风险潜势为I，故进行简单分析。</w:t>
            </w:r>
          </w:p>
          <w:p>
            <w:pPr>
              <w:adjustRightInd w:val="0"/>
              <w:snapToGrid w:val="0"/>
              <w:spacing w:line="480" w:lineRule="exact"/>
              <w:ind w:firstLine="480" w:firstLineChars="200"/>
              <w:rPr>
                <w:rFonts w:hint="default" w:ascii="Times New Roman" w:hAnsi="Times New Roman" w:eastAsia="华文中宋" w:cs="Times New Roman"/>
                <w:color w:val="000000" w:themeColor="text1"/>
                <w:kern w:val="0"/>
                <w:sz w:val="24"/>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1"/>
                <w14:textFill>
                  <w14:solidFill>
                    <w14:schemeClr w14:val="tx1"/>
                  </w14:solidFill>
                </w14:textFill>
              </w:rPr>
              <w:t>（4）环境风险识别</w:t>
            </w:r>
          </w:p>
          <w:p>
            <w:pPr>
              <w:adjustRightInd w:val="0"/>
              <w:snapToGrid w:val="0"/>
              <w:spacing w:line="480" w:lineRule="exact"/>
              <w:ind w:firstLine="480" w:firstLineChars="200"/>
              <w:rPr>
                <w:rFonts w:hint="default" w:ascii="Times New Roman" w:hAnsi="Times New Roman" w:eastAsia="华文中宋" w:cs="Times New Roman"/>
                <w:color w:val="000000" w:themeColor="text1"/>
                <w:kern w:val="0"/>
                <w:sz w:val="24"/>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1"/>
                <w14:textFill>
                  <w14:solidFill>
                    <w14:schemeClr w14:val="tx1"/>
                  </w14:solidFill>
                </w14:textFill>
              </w:rPr>
              <w:t>①物质危险性识别</w:t>
            </w:r>
          </w:p>
          <w:p>
            <w:pPr>
              <w:adjustRightInd w:val="0"/>
              <w:snapToGrid w:val="0"/>
              <w:spacing w:line="480" w:lineRule="exact"/>
              <w:ind w:firstLine="480" w:firstLineChars="200"/>
              <w:rPr>
                <w:rFonts w:hint="default" w:ascii="Times New Roman" w:hAnsi="Times New Roman" w:eastAsia="华文中宋" w:cs="Times New Roman"/>
                <w:color w:val="000000" w:themeColor="text1"/>
                <w:kern w:val="0"/>
                <w:sz w:val="24"/>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1"/>
                <w14:textFill>
                  <w14:solidFill>
                    <w14:schemeClr w14:val="tx1"/>
                  </w14:solidFill>
                </w14:textFill>
              </w:rPr>
              <w:t>本项目所涉及危险物质主要为柴油，</w:t>
            </w:r>
            <w:r>
              <w:rPr>
                <w:rFonts w:hint="default" w:ascii="Times New Roman" w:hAnsi="Times New Roman" w:eastAsia="华文中宋" w:cs="Times New Roman"/>
                <w:color w:val="000000" w:themeColor="text1"/>
                <w:kern w:val="0"/>
                <w:sz w:val="24"/>
                <w:szCs w:val="21"/>
                <w:lang w:val="en-US" w:eastAsia="zh-CN"/>
                <w14:textFill>
                  <w14:solidFill>
                    <w14:schemeClr w14:val="tx1"/>
                  </w14:solidFill>
                </w14:textFill>
              </w:rPr>
              <w:t>油桶</w:t>
            </w:r>
            <w:r>
              <w:rPr>
                <w:rFonts w:hint="default" w:ascii="Times New Roman" w:hAnsi="Times New Roman" w:eastAsia="华文中宋" w:cs="Times New Roman"/>
                <w:color w:val="000000" w:themeColor="text1"/>
                <w:kern w:val="0"/>
                <w:sz w:val="24"/>
                <w:szCs w:val="21"/>
                <w14:textFill>
                  <w14:solidFill>
                    <w14:schemeClr w14:val="tx1"/>
                  </w14:solidFill>
                </w14:textFill>
              </w:rPr>
              <w:t>存在泄漏等风险事故，其理化性质见表</w:t>
            </w:r>
            <w:r>
              <w:rPr>
                <w:rFonts w:hint="default" w:ascii="Times New Roman" w:hAnsi="Times New Roman" w:eastAsia="华文中宋" w:cs="Times New Roman"/>
                <w:color w:val="000000" w:themeColor="text1"/>
                <w:kern w:val="0"/>
                <w:sz w:val="24"/>
                <w:szCs w:val="21"/>
                <w:lang w:val="en-US" w:eastAsia="zh-CN"/>
                <w14:textFill>
                  <w14:solidFill>
                    <w14:schemeClr w14:val="tx1"/>
                  </w14:solidFill>
                </w14:textFill>
              </w:rPr>
              <w:t>4-6</w:t>
            </w:r>
            <w:r>
              <w:rPr>
                <w:rFonts w:hint="default" w:ascii="Times New Roman" w:hAnsi="Times New Roman" w:eastAsia="华文中宋" w:cs="Times New Roman"/>
                <w:color w:val="000000" w:themeColor="text1"/>
                <w:kern w:val="0"/>
                <w:sz w:val="24"/>
                <w:szCs w:val="21"/>
                <w14:textFill>
                  <w14:solidFill>
                    <w14:schemeClr w14:val="tx1"/>
                  </w14:solidFill>
                </w14:textFill>
              </w:rPr>
              <w:t>。</w:t>
            </w:r>
          </w:p>
          <w:p>
            <w:pPr>
              <w:pStyle w:val="74"/>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华文中宋" w:cs="Times New Roman"/>
                <w:b/>
                <w:bCs/>
                <w:color w:val="000000" w:themeColor="text1"/>
                <w:sz w:val="21"/>
                <w:szCs w:val="21"/>
                <w14:textFill>
                  <w14:solidFill>
                    <w14:schemeClr w14:val="tx1"/>
                  </w14:solidFill>
                </w14:textFill>
              </w:rPr>
            </w:pPr>
            <w:r>
              <w:rPr>
                <w:rFonts w:hint="default" w:ascii="Times New Roman" w:hAnsi="Times New Roman" w:eastAsia="华文中宋" w:cs="Times New Roman"/>
                <w:b/>
                <w:bCs/>
                <w:color w:val="000000" w:themeColor="text1"/>
                <w:sz w:val="24"/>
                <w:szCs w:val="24"/>
                <w14:textFill>
                  <w14:solidFill>
                    <w14:schemeClr w14:val="tx1"/>
                  </w14:solidFill>
                </w14:textFill>
              </w:rPr>
              <w:t>表</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4-6</w:t>
            </w:r>
            <w:r>
              <w:rPr>
                <w:rFonts w:hint="default" w:ascii="Times New Roman" w:hAnsi="Times New Roman" w:eastAsia="华文中宋" w:cs="Times New Roman"/>
                <w:b/>
                <w:bCs/>
                <w:color w:val="000000" w:themeColor="text1"/>
                <w:sz w:val="24"/>
                <w:szCs w:val="24"/>
                <w14:textFill>
                  <w14:solidFill>
                    <w14:schemeClr w14:val="tx1"/>
                  </w14:solidFill>
                </w14:textFill>
              </w:rPr>
              <w:t xml:space="preserve">             柴油的基本特征</w:t>
            </w:r>
          </w:p>
          <w:tbl>
            <w:tblPr>
              <w:tblStyle w:val="29"/>
              <w:tblW w:w="84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4"/>
              <w:gridCol w:w="77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理化性质</w:t>
                  </w:r>
                </w:p>
              </w:tc>
              <w:tc>
                <w:tcPr>
                  <w:tcW w:w="7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left"/>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外观与形状：稍</w:t>
                  </w:r>
                  <w:r>
                    <w:rPr>
                      <w:rFonts w:hint="default" w:ascii="Times New Roman" w:hAnsi="Times New Roman" w:eastAsia="华文中宋" w:cs="Times New Roman"/>
                      <w:color w:val="000000" w:themeColor="text1"/>
                      <w:sz w:val="21"/>
                      <w:szCs w:val="21"/>
                      <w:lang w:eastAsia="zh-CN"/>
                      <w14:textFill>
                        <w14:solidFill>
                          <w14:schemeClr w14:val="tx1"/>
                        </w14:solidFill>
                      </w14:textFill>
                    </w:rPr>
                    <w:t>有黏性的</w:t>
                  </w:r>
                  <w:r>
                    <w:rPr>
                      <w:rFonts w:hint="default" w:ascii="Times New Roman" w:hAnsi="Times New Roman" w:eastAsia="华文中宋" w:cs="Times New Roman"/>
                      <w:color w:val="000000" w:themeColor="text1"/>
                      <w:sz w:val="21"/>
                      <w:szCs w:val="21"/>
                      <w14:textFill>
                        <w14:solidFill>
                          <w14:schemeClr w14:val="tx1"/>
                        </w14:solidFill>
                      </w14:textFill>
                    </w:rPr>
                    <w:t>棕色液体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7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left"/>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主要用途：用作柴油机的燃料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7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left"/>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相对密度：（水=1）0.87~0. 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7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left"/>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熔点（℃）：-18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7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left"/>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沸点（℃）：282~338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燃烧爆炸危险性</w:t>
                  </w:r>
                </w:p>
              </w:tc>
              <w:tc>
                <w:tcPr>
                  <w:tcW w:w="7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left"/>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燃烧性：易燃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7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left"/>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闪点（℃）：50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7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left"/>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引燃温度（℃）：257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7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left"/>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危险特性：遇明火、高热或氧化剂</w:t>
                  </w:r>
                  <w:r>
                    <w:rPr>
                      <w:rFonts w:hint="default" w:ascii="Times New Roman" w:hAnsi="Times New Roman" w:eastAsia="华文中宋" w:cs="Times New Roman"/>
                      <w:color w:val="000000" w:themeColor="text1"/>
                      <w:sz w:val="21"/>
                      <w:szCs w:val="21"/>
                      <w:lang w:eastAsia="zh-CN"/>
                      <w14:textFill>
                        <w14:solidFill>
                          <w14:schemeClr w14:val="tx1"/>
                        </w14:solidFill>
                      </w14:textFill>
                    </w:rPr>
                    <w:t>接触</w:t>
                  </w:r>
                  <w:r>
                    <w:rPr>
                      <w:rFonts w:hint="default" w:ascii="Times New Roman" w:hAnsi="Times New Roman" w:eastAsia="华文中宋" w:cs="Times New Roman"/>
                      <w:color w:val="000000" w:themeColor="text1"/>
                      <w:sz w:val="21"/>
                      <w:szCs w:val="21"/>
                      <w14:textFill>
                        <w14:solidFill>
                          <w14:schemeClr w14:val="tx1"/>
                        </w14:solidFill>
                      </w14:textFill>
                    </w:rPr>
                    <w:t>，有引起燃烧爆炸的危险。若遇到高热，容器内压增大，有开裂和爆炸的危险。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7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left"/>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稳定性：稳定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7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left"/>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聚合危害：不聚合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7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left"/>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禁配物：强氧化剂、卤素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健康危害</w:t>
                  </w:r>
                </w:p>
              </w:tc>
              <w:tc>
                <w:tcPr>
                  <w:tcW w:w="7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left"/>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吸入、摄入或经皮肤吸收后对身体有害。可引起灼伤。对眼睛、皮肤、粘膜和上呼吸道具有强烈刺激作用。吸入后可引起喉、支气管的炎症、水肿、痉挛，化学性肺炎或肺水肿。接触后可引起烧灼感、咳嗽、喘息、气短、头痛、恶心和呕吐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储运要求</w:t>
                  </w:r>
                </w:p>
              </w:tc>
              <w:tc>
                <w:tcPr>
                  <w:tcW w:w="7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left"/>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储存于阴凉、通风的库房，远离火种、热源。应与氧化剂、卤素分开存放，切忌混储。采用防爆型照明通风设施。禁止使用易产生火花的机械设备和工具。储存区应</w:t>
                  </w:r>
                  <w:r>
                    <w:rPr>
                      <w:rFonts w:hint="default" w:ascii="Times New Roman" w:hAnsi="Times New Roman" w:eastAsia="华文中宋" w:cs="Times New Roman"/>
                      <w:color w:val="000000" w:themeColor="text1"/>
                      <w:sz w:val="21"/>
                      <w:szCs w:val="21"/>
                      <w:lang w:eastAsia="zh-CN"/>
                      <w14:textFill>
                        <w14:solidFill>
                          <w14:schemeClr w14:val="tx1"/>
                        </w14:solidFill>
                      </w14:textFill>
                    </w:rPr>
                    <w:t>备有</w:t>
                  </w:r>
                  <w:r>
                    <w:rPr>
                      <w:rFonts w:hint="default" w:ascii="Times New Roman" w:hAnsi="Times New Roman" w:eastAsia="华文中宋" w:cs="Times New Roman"/>
                      <w:color w:val="000000" w:themeColor="text1"/>
                      <w:sz w:val="21"/>
                      <w:szCs w:val="21"/>
                      <w14:textFill>
                        <w14:solidFill>
                          <w14:schemeClr w14:val="tx1"/>
                        </w14:solidFill>
                      </w14:textFill>
                    </w:rPr>
                    <w:t>泄漏应急处理设备和合适的收容材料。</w:t>
                  </w:r>
                </w:p>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left"/>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运输前应先检查包装容器是否完整、密封，运输过程中要确保容器不泄漏、不倒塌、不坠落、不损坏。运输时运输车辆应配备相应品种和数量的消防器材及泄漏应急处理设备。夏季最好早晚运输、严禁与氧化剂、卤素、食用化学品等混装混运。运输途中应</w:t>
                  </w:r>
                  <w:r>
                    <w:rPr>
                      <w:rFonts w:hint="default" w:ascii="Times New Roman" w:hAnsi="Times New Roman" w:eastAsia="华文中宋" w:cs="Times New Roman"/>
                      <w:color w:val="000000" w:themeColor="text1"/>
                      <w:sz w:val="21"/>
                      <w:szCs w:val="21"/>
                      <w:lang w:eastAsia="zh-CN"/>
                      <w14:textFill>
                        <w14:solidFill>
                          <w14:schemeClr w14:val="tx1"/>
                        </w14:solidFill>
                      </w14:textFill>
                    </w:rPr>
                    <w:t>防暴晒</w:t>
                  </w:r>
                  <w:r>
                    <w:rPr>
                      <w:rFonts w:hint="default" w:ascii="Times New Roman" w:hAnsi="Times New Roman" w:eastAsia="华文中宋" w:cs="Times New Roman"/>
                      <w:color w:val="000000" w:themeColor="text1"/>
                      <w:sz w:val="21"/>
                      <w:szCs w:val="21"/>
                      <w14:textFill>
                        <w14:solidFill>
                          <w14:schemeClr w14:val="tx1"/>
                        </w14:solidFill>
                      </w14:textFill>
                    </w:rPr>
                    <w:t>、雨淋、防高温。中途停留时应远离火种、热源、高温区。装运物品的车辆排气管必须配备阻火装置，禁止使用易产生火花的机械设备和工具装卸。运输车船必须彻底清洗、消毒，否则不得装运其它物品。船运时，配装位置应远离卧室、厨房，并与机舱、电源、火源等部位隔离。公路运输时要按规定路线行驶。</w:t>
                  </w:r>
                </w:p>
              </w:tc>
            </w:tr>
          </w:tbl>
          <w:p>
            <w:pPr>
              <w:adjustRightInd w:val="0"/>
              <w:snapToGrid w:val="0"/>
              <w:spacing w:line="480" w:lineRule="exact"/>
              <w:ind w:firstLine="480" w:firstLineChars="200"/>
              <w:rPr>
                <w:rFonts w:hint="default" w:ascii="Times New Roman" w:hAnsi="Times New Roman" w:eastAsia="华文中宋" w:cs="Times New Roman"/>
                <w:color w:val="000000" w:themeColor="text1"/>
                <w:kern w:val="0"/>
                <w:sz w:val="24"/>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1"/>
                <w14:textFill>
                  <w14:solidFill>
                    <w14:schemeClr w14:val="tx1"/>
                  </w14:solidFill>
                </w14:textFill>
              </w:rPr>
              <w:t>②生产系统危险性识别</w:t>
            </w:r>
          </w:p>
          <w:p>
            <w:pPr>
              <w:adjustRightInd w:val="0"/>
              <w:snapToGrid w:val="0"/>
              <w:spacing w:line="480" w:lineRule="exact"/>
              <w:ind w:firstLine="480" w:firstLineChars="200"/>
              <w:rPr>
                <w:rFonts w:hint="default" w:ascii="Times New Roman" w:hAnsi="Times New Roman" w:eastAsia="华文中宋" w:cs="Times New Roman"/>
                <w:color w:val="000000" w:themeColor="text1"/>
                <w:kern w:val="0"/>
                <w:sz w:val="24"/>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1"/>
                <w14:textFill>
                  <w14:solidFill>
                    <w14:schemeClr w14:val="tx1"/>
                  </w14:solidFill>
                </w14:textFill>
              </w:rPr>
              <w:t>本项目为</w:t>
            </w:r>
            <w:r>
              <w:rPr>
                <w:rFonts w:hint="default" w:ascii="Times New Roman" w:hAnsi="Times New Roman" w:eastAsia="华文中宋" w:cs="Times New Roman"/>
                <w:color w:val="000000" w:themeColor="text1"/>
                <w:kern w:val="0"/>
                <w:sz w:val="24"/>
                <w:szCs w:val="21"/>
                <w:lang w:val="en-US" w:eastAsia="zh-CN"/>
                <w14:textFill>
                  <w14:solidFill>
                    <w14:schemeClr w14:val="tx1"/>
                  </w14:solidFill>
                </w14:textFill>
              </w:rPr>
              <w:t>勘探</w:t>
            </w:r>
            <w:r>
              <w:rPr>
                <w:rFonts w:hint="default" w:ascii="Times New Roman" w:hAnsi="Times New Roman" w:eastAsia="华文中宋" w:cs="Times New Roman"/>
                <w:color w:val="000000" w:themeColor="text1"/>
                <w:kern w:val="0"/>
                <w:sz w:val="24"/>
                <w:szCs w:val="21"/>
                <w14:textFill>
                  <w14:solidFill>
                    <w14:schemeClr w14:val="tx1"/>
                  </w14:solidFill>
                </w14:textFill>
              </w:rPr>
              <w:t>项目，项目建设过程主要为施工平台构筑等，项目建设过</w:t>
            </w:r>
            <w:r>
              <w:rPr>
                <w:rFonts w:hint="default" w:ascii="Times New Roman" w:hAnsi="Times New Roman" w:eastAsia="华文中宋" w:cs="Times New Roman"/>
                <w:color w:val="000000" w:themeColor="text1"/>
                <w:kern w:val="0"/>
                <w:sz w:val="24"/>
                <w:szCs w:val="21"/>
                <w:lang w:eastAsia="zh-CN"/>
                <w14:textFill>
                  <w14:solidFill>
                    <w14:schemeClr w14:val="tx1"/>
                  </w14:solidFill>
                </w14:textFill>
              </w:rPr>
              <w:t>程中</w:t>
            </w:r>
            <w:r>
              <w:rPr>
                <w:rFonts w:hint="default" w:ascii="Times New Roman" w:hAnsi="Times New Roman" w:eastAsia="华文中宋" w:cs="Times New Roman"/>
                <w:color w:val="000000" w:themeColor="text1"/>
                <w:kern w:val="0"/>
                <w:sz w:val="24"/>
                <w:szCs w:val="21"/>
                <w14:textFill>
                  <w14:solidFill>
                    <w14:schemeClr w14:val="tx1"/>
                  </w14:solidFill>
                </w14:textFill>
              </w:rPr>
              <w:t>不存在环境风险事故情况。</w:t>
            </w:r>
          </w:p>
          <w:p>
            <w:pPr>
              <w:adjustRightInd w:val="0"/>
              <w:snapToGrid w:val="0"/>
              <w:spacing w:line="480" w:lineRule="exact"/>
              <w:ind w:firstLine="480" w:firstLineChars="200"/>
              <w:rPr>
                <w:rFonts w:hint="default" w:ascii="Times New Roman" w:hAnsi="Times New Roman" w:eastAsia="华文中宋" w:cs="Times New Roman"/>
                <w:color w:val="000000" w:themeColor="text1"/>
                <w:kern w:val="0"/>
                <w:sz w:val="24"/>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1"/>
                <w14:textFill>
                  <w14:solidFill>
                    <w14:schemeClr w14:val="tx1"/>
                  </w14:solidFill>
                </w14:textFill>
              </w:rPr>
              <w:t>（5）风险事故情形分析</w:t>
            </w:r>
          </w:p>
          <w:p>
            <w:pPr>
              <w:adjustRightInd w:val="0"/>
              <w:snapToGrid w:val="0"/>
              <w:spacing w:line="480" w:lineRule="exact"/>
              <w:ind w:firstLine="480" w:firstLineChars="200"/>
              <w:rPr>
                <w:rFonts w:hint="default" w:ascii="Times New Roman" w:hAnsi="Times New Roman" w:eastAsia="华文中宋" w:cs="Times New Roman"/>
                <w:color w:val="000000" w:themeColor="text1"/>
                <w:kern w:val="0"/>
                <w:sz w:val="24"/>
                <w:szCs w:val="21"/>
                <w14:textFill>
                  <w14:solidFill>
                    <w14:schemeClr w14:val="tx1"/>
                  </w14:solidFill>
                </w14:textFill>
              </w:rPr>
            </w:pPr>
            <w:r>
              <w:rPr>
                <w:rFonts w:hint="default" w:ascii="Times New Roman" w:hAnsi="Times New Roman" w:eastAsia="华文中宋" w:cs="Times New Roman"/>
                <w:color w:val="000000" w:themeColor="text1"/>
                <w:kern w:val="0"/>
                <w:sz w:val="24"/>
                <w:szCs w:val="21"/>
                <w14:textFill>
                  <w14:solidFill>
                    <w14:schemeClr w14:val="tx1"/>
                  </w14:solidFill>
                </w14:textFill>
              </w:rPr>
              <w:t>根据《建设项目环境风险评价技术导则》</w:t>
            </w:r>
            <w:r>
              <w:rPr>
                <w:rFonts w:hint="default" w:ascii="Times New Roman" w:hAnsi="Times New Roman" w:eastAsia="华文中宋" w:cs="Times New Roman"/>
                <w:color w:val="000000" w:themeColor="text1"/>
                <w:kern w:val="0"/>
                <w:sz w:val="24"/>
                <w:szCs w:val="21"/>
                <w:lang w:eastAsia="zh-CN"/>
                <w14:textFill>
                  <w14:solidFill>
                    <w14:schemeClr w14:val="tx1"/>
                  </w14:solidFill>
                </w14:textFill>
              </w:rPr>
              <w:t>（</w:t>
            </w:r>
            <w:r>
              <w:rPr>
                <w:rFonts w:hint="default" w:ascii="Times New Roman" w:hAnsi="Times New Roman" w:eastAsia="华文中宋" w:cs="Times New Roman"/>
                <w:color w:val="000000" w:themeColor="text1"/>
                <w:kern w:val="0"/>
                <w:sz w:val="24"/>
                <w:szCs w:val="21"/>
                <w14:textFill>
                  <w14:solidFill>
                    <w14:schemeClr w14:val="tx1"/>
                  </w14:solidFill>
                </w14:textFill>
              </w:rPr>
              <w:t>HJ169-2018</w:t>
            </w:r>
            <w:r>
              <w:rPr>
                <w:rFonts w:hint="default" w:ascii="Times New Roman" w:hAnsi="Times New Roman" w:eastAsia="华文中宋" w:cs="Times New Roman"/>
                <w:color w:val="000000" w:themeColor="text1"/>
                <w:kern w:val="0"/>
                <w:sz w:val="24"/>
                <w:szCs w:val="21"/>
                <w:lang w:eastAsia="zh-CN"/>
                <w14:textFill>
                  <w14:solidFill>
                    <w14:schemeClr w14:val="tx1"/>
                  </w14:solidFill>
                </w14:textFill>
              </w:rPr>
              <w:t>）</w:t>
            </w:r>
            <w:r>
              <w:rPr>
                <w:rFonts w:hint="default" w:ascii="Times New Roman" w:hAnsi="Times New Roman" w:eastAsia="华文中宋" w:cs="Times New Roman"/>
                <w:color w:val="000000" w:themeColor="text1"/>
                <w:kern w:val="0"/>
                <w:sz w:val="24"/>
                <w:szCs w:val="21"/>
                <w14:textFill>
                  <w14:solidFill>
                    <w14:schemeClr w14:val="tx1"/>
                  </w14:solidFill>
                </w14:textFill>
              </w:rPr>
              <w:t>，在风险识别的基础上，选择对环境影响较大并具有代表性的事故类型，设定风险事故情形。</w:t>
            </w:r>
          </w:p>
          <w:p>
            <w:pPr>
              <w:pStyle w:val="76"/>
              <w:spacing w:line="460" w:lineRule="exact"/>
              <w:jc w:val="both"/>
              <w:rPr>
                <w:rFonts w:hint="default" w:ascii="Times New Roman" w:hAnsi="Times New Roman" w:eastAsia="华文中宋" w:cs="Times New Roman"/>
                <w:color w:val="000000" w:themeColor="text1"/>
                <w:sz w:val="24"/>
                <w14:textFill>
                  <w14:solidFill>
                    <w14:schemeClr w14:val="tx1"/>
                  </w14:solidFill>
                </w14:textFill>
              </w:rPr>
            </w:pPr>
            <w:r>
              <w:rPr>
                <w:rFonts w:hint="default" w:ascii="Times New Roman" w:hAnsi="Times New Roman" w:eastAsia="华文中宋" w:cs="Times New Roman"/>
                <w:color w:val="000000" w:themeColor="text1"/>
                <w:kern w:val="0"/>
                <w:sz w:val="24"/>
                <w:szCs w:val="21"/>
                <w14:textFill>
                  <w14:solidFill>
                    <w14:schemeClr w14:val="tx1"/>
                  </w14:solidFill>
                </w14:textFill>
              </w:rPr>
              <w:t>根据风险识别结果，本项目风险事故情形设定见表</w:t>
            </w:r>
            <w:r>
              <w:rPr>
                <w:rFonts w:hint="default" w:ascii="Times New Roman" w:hAnsi="Times New Roman" w:eastAsia="华文中宋" w:cs="Times New Roman"/>
                <w:color w:val="000000" w:themeColor="text1"/>
                <w:kern w:val="0"/>
                <w:sz w:val="24"/>
                <w:szCs w:val="21"/>
                <w:lang w:val="en-US" w:eastAsia="zh-CN"/>
                <w14:textFill>
                  <w14:solidFill>
                    <w14:schemeClr w14:val="tx1"/>
                  </w14:solidFill>
                </w14:textFill>
              </w:rPr>
              <w:t>4-7</w:t>
            </w:r>
            <w:r>
              <w:rPr>
                <w:rFonts w:hint="default" w:ascii="Times New Roman" w:hAnsi="Times New Roman" w:eastAsia="华文中宋" w:cs="Times New Roman"/>
                <w:color w:val="000000" w:themeColor="text1"/>
                <w:kern w:val="0"/>
                <w:sz w:val="24"/>
                <w:szCs w:val="21"/>
                <w14:textFill>
                  <w14:solidFill>
                    <w14:schemeClr w14:val="tx1"/>
                  </w14:solidFill>
                </w14:textFill>
              </w:rPr>
              <w:t>。</w:t>
            </w:r>
          </w:p>
          <w:p>
            <w:pPr>
              <w:pStyle w:val="79"/>
              <w:keepNext w:val="0"/>
              <w:keepLines w:val="0"/>
              <w:pageBreakBefore w:val="0"/>
              <w:widowControl w:val="0"/>
              <w:kinsoku/>
              <w:wordWrap/>
              <w:overflowPunct/>
              <w:topLinePunct w:val="0"/>
              <w:autoSpaceDE/>
              <w:autoSpaceDN/>
              <w:bidi w:val="0"/>
              <w:adjustRightInd/>
              <w:snapToGrid/>
              <w:spacing w:line="500" w:lineRule="exact"/>
              <w:ind w:firstLine="420"/>
              <w:jc w:val="center"/>
              <w:textAlignment w:val="auto"/>
              <w:rPr>
                <w:rFonts w:hint="default" w:ascii="Times New Roman" w:hAnsi="Times New Roman" w:eastAsia="华文中宋" w:cs="Times New Roman"/>
                <w:b/>
                <w:bCs/>
                <w:color w:val="000000" w:themeColor="text1"/>
                <w:sz w:val="24"/>
                <w:szCs w:val="24"/>
                <w14:textFill>
                  <w14:solidFill>
                    <w14:schemeClr w14:val="tx1"/>
                  </w14:solidFill>
                </w14:textFill>
              </w:rPr>
            </w:pPr>
            <w:r>
              <w:rPr>
                <w:rFonts w:hint="default" w:ascii="Times New Roman" w:hAnsi="Times New Roman" w:eastAsia="华文中宋" w:cs="Times New Roman"/>
                <w:b/>
                <w:bCs/>
                <w:color w:val="000000" w:themeColor="text1"/>
                <w:sz w:val="24"/>
                <w:szCs w:val="24"/>
                <w14:textFill>
                  <w14:solidFill>
                    <w14:schemeClr w14:val="tx1"/>
                  </w14:solidFill>
                </w14:textFill>
              </w:rPr>
              <w:t>表</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4-7</w:t>
            </w:r>
            <w:r>
              <w:rPr>
                <w:rFonts w:hint="default" w:ascii="Times New Roman" w:hAnsi="Times New Roman" w:eastAsia="华文中宋" w:cs="Times New Roman"/>
                <w:b/>
                <w:bCs/>
                <w:color w:val="000000" w:themeColor="text1"/>
                <w:sz w:val="24"/>
                <w:szCs w:val="24"/>
                <w14:textFill>
                  <w14:solidFill>
                    <w14:schemeClr w14:val="tx1"/>
                  </w14:solidFill>
                </w14:textFill>
              </w:rPr>
              <w:t xml:space="preserve">         项目风险事故情形设定</w:t>
            </w:r>
          </w:p>
          <w:tbl>
            <w:tblPr>
              <w:tblStyle w:val="29"/>
              <w:tblW w:w="500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672"/>
              <w:gridCol w:w="1672"/>
              <w:gridCol w:w="1666"/>
              <w:gridCol w:w="1992"/>
              <w:gridCol w:w="16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971" w:type="pct"/>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危险单元</w:t>
                  </w:r>
                </w:p>
              </w:tc>
              <w:tc>
                <w:tcPr>
                  <w:tcW w:w="971" w:type="pct"/>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风险源</w:t>
                  </w:r>
                </w:p>
              </w:tc>
              <w:tc>
                <w:tcPr>
                  <w:tcW w:w="967" w:type="pct"/>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危险物质</w:t>
                  </w:r>
                </w:p>
              </w:tc>
              <w:tc>
                <w:tcPr>
                  <w:tcW w:w="1157" w:type="pct"/>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事故情形</w:t>
                  </w:r>
                </w:p>
              </w:tc>
              <w:tc>
                <w:tcPr>
                  <w:tcW w:w="934" w:type="pct"/>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环境影响途径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971" w:type="pct"/>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辅助设施</w:t>
                  </w:r>
                </w:p>
              </w:tc>
              <w:tc>
                <w:tcPr>
                  <w:tcW w:w="971" w:type="pct"/>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firstLineChars="0"/>
                    <w:textAlignment w:val="center"/>
                    <w:rPr>
                      <w:rFonts w:hint="default" w:ascii="Times New Roman" w:hAnsi="Times New Roman" w:eastAsia="华文中宋" w:cs="Times New Roman"/>
                      <w:color w:val="000000" w:themeColor="text1"/>
                      <w:sz w:val="21"/>
                      <w:szCs w:val="21"/>
                      <w:lang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油桶</w:t>
                  </w:r>
                </w:p>
              </w:tc>
              <w:tc>
                <w:tcPr>
                  <w:tcW w:w="967" w:type="pct"/>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柴油</w:t>
                  </w:r>
                </w:p>
              </w:tc>
              <w:tc>
                <w:tcPr>
                  <w:tcW w:w="1157" w:type="pct"/>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泄漏、</w:t>
                  </w:r>
                  <w:r>
                    <w:rPr>
                      <w:rFonts w:hint="default" w:ascii="Times New Roman" w:hAnsi="Times New Roman" w:eastAsia="华文中宋" w:cs="Times New Roman"/>
                      <w:color w:val="000000" w:themeColor="text1"/>
                      <w:sz w:val="21"/>
                      <w:szCs w:val="21"/>
                      <w14:textFill>
                        <w14:solidFill>
                          <w14:schemeClr w14:val="tx1"/>
                        </w14:solidFill>
                      </w14:textFill>
                    </w:rPr>
                    <w:t>火灾及爆炸</w:t>
                  </w:r>
                </w:p>
              </w:tc>
              <w:tc>
                <w:tcPr>
                  <w:tcW w:w="934" w:type="pct"/>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大气环境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971" w:type="pct"/>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辅助设施</w:t>
                  </w:r>
                </w:p>
              </w:tc>
              <w:tc>
                <w:tcPr>
                  <w:tcW w:w="971" w:type="pct"/>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运输道路</w:t>
                  </w:r>
                </w:p>
              </w:tc>
              <w:tc>
                <w:tcPr>
                  <w:tcW w:w="967" w:type="pct"/>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运输物资等</w:t>
                  </w:r>
                </w:p>
              </w:tc>
              <w:tc>
                <w:tcPr>
                  <w:tcW w:w="1157" w:type="pct"/>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firstLineChars="0"/>
                    <w:textAlignment w:val="center"/>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事故状态</w:t>
                  </w:r>
                  <w:r>
                    <w:rPr>
                      <w:rFonts w:hint="default" w:ascii="Times New Roman" w:hAnsi="Times New Roman" w:eastAsia="华文中宋" w:cs="Times New Roman"/>
                      <w:color w:val="000000" w:themeColor="text1"/>
                      <w:sz w:val="21"/>
                      <w:szCs w:val="21"/>
                      <w:lang w:eastAsia="zh-CN"/>
                      <w14:textFill>
                        <w14:solidFill>
                          <w14:schemeClr w14:val="tx1"/>
                        </w14:solidFill>
                      </w14:textFill>
                    </w:rPr>
                    <w:t>泄漏</w:t>
                  </w:r>
                  <w:r>
                    <w:rPr>
                      <w:rFonts w:hint="default" w:ascii="Times New Roman" w:hAnsi="Times New Roman" w:eastAsia="华文中宋" w:cs="Times New Roman"/>
                      <w:color w:val="000000" w:themeColor="text1"/>
                      <w:sz w:val="21"/>
                      <w:szCs w:val="21"/>
                      <w14:textFill>
                        <w14:solidFill>
                          <w14:schemeClr w14:val="tx1"/>
                        </w14:solidFill>
                      </w14:textFill>
                    </w:rPr>
                    <w:t>等</w:t>
                  </w:r>
                </w:p>
              </w:tc>
              <w:tc>
                <w:tcPr>
                  <w:tcW w:w="934" w:type="pct"/>
                  <w:tcBorders>
                    <w:tl2br w:val="nil"/>
                    <w:tr2bl w:val="nil"/>
                  </w:tcBorders>
                  <w:noWrap w:val="0"/>
                  <w:vAlign w:val="center"/>
                </w:tcPr>
                <w:p>
                  <w:pPr>
                    <w:pStyle w:val="75"/>
                    <w:keepNext w:val="0"/>
                    <w:keepLines w:val="0"/>
                    <w:pageBreakBefore w:val="0"/>
                    <w:widowControl w:val="0"/>
                    <w:kinsoku/>
                    <w:wordWrap/>
                    <w:overflowPunct/>
                    <w:topLinePunct w:val="0"/>
                    <w:autoSpaceDE/>
                    <w:autoSpaceDN/>
                    <w:bidi w:val="0"/>
                    <w:adjustRightInd/>
                    <w:snapToGrid/>
                    <w:spacing w:before="0" w:after="0" w:line="280" w:lineRule="exact"/>
                    <w:ind w:left="0" w:right="0" w:firstLine="0" w:firstLineChars="0"/>
                    <w:textAlignment w:val="center"/>
                    <w:rPr>
                      <w:rFonts w:hint="default" w:ascii="Times New Roman" w:hAnsi="Times New Roman" w:eastAsia="华文中宋" w:cs="Times New Roman"/>
                      <w:color w:val="000000" w:themeColor="text1"/>
                      <w:sz w:val="21"/>
                      <w:szCs w:val="21"/>
                      <w:lang w:eastAsia="zh-CN"/>
                      <w14:textFill>
                        <w14:solidFill>
                          <w14:schemeClr w14:val="tx1"/>
                        </w14:solidFill>
                      </w14:textFill>
                    </w:rPr>
                  </w:pPr>
                  <w:r>
                    <w:rPr>
                      <w:rFonts w:hint="default" w:ascii="Times New Roman" w:hAnsi="Times New Roman" w:eastAsia="华文中宋" w:cs="Times New Roman"/>
                      <w:color w:val="000000" w:themeColor="text1"/>
                      <w:sz w:val="21"/>
                      <w:szCs w:val="21"/>
                      <w:lang w:eastAsia="zh-CN"/>
                      <w14:textFill>
                        <w14:solidFill>
                          <w14:schemeClr w14:val="tx1"/>
                        </w14:solidFill>
                      </w14:textFill>
                    </w:rPr>
                    <w:t>——</w:t>
                  </w:r>
                </w:p>
              </w:tc>
            </w:tr>
          </w:tbl>
          <w:p>
            <w:pPr>
              <w:pStyle w:val="78"/>
              <w:ind w:firstLine="48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（7）环境风险防范及应急措施</w:t>
            </w:r>
          </w:p>
          <w:p>
            <w:pPr>
              <w:pStyle w:val="78"/>
              <w:ind w:firstLine="48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1）环境风险防范措施</w:t>
            </w:r>
          </w:p>
          <w:p>
            <w:pPr>
              <w:pStyle w:val="78"/>
              <w:ind w:firstLine="48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①勘探区设置专门的消防人员，做好巡检工作，防患于未然；</w:t>
            </w:r>
          </w:p>
          <w:p>
            <w:pPr>
              <w:pStyle w:val="78"/>
              <w:ind w:firstLine="48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②柴油</w:t>
            </w:r>
            <w:r>
              <w:rPr>
                <w:rFonts w:hint="default" w:ascii="Times New Roman" w:hAnsi="Times New Roman" w:eastAsia="华文中宋" w:cs="Times New Roman"/>
                <w:color w:val="000000" w:themeColor="text1"/>
                <w:lang w:val="en-US" w:eastAsia="zh-CN"/>
                <w14:textFill>
                  <w14:solidFill>
                    <w14:schemeClr w14:val="tx1"/>
                  </w14:solidFill>
                </w14:textFill>
              </w:rPr>
              <w:t>油桶放置区</w:t>
            </w:r>
            <w:r>
              <w:rPr>
                <w:rFonts w:hint="default" w:ascii="Times New Roman" w:hAnsi="Times New Roman" w:eastAsia="华文中宋" w:cs="Times New Roman"/>
                <w:color w:val="000000" w:themeColor="text1"/>
                <w14:textFill>
                  <w14:solidFill>
                    <w14:schemeClr w14:val="tx1"/>
                  </w14:solidFill>
                </w14:textFill>
              </w:rPr>
              <w:t xml:space="preserve">设置为禁火区，远离明火、禁烟； </w:t>
            </w:r>
          </w:p>
          <w:p>
            <w:pPr>
              <w:pStyle w:val="78"/>
              <w:ind w:firstLine="48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③加强消防安全教育培训。以创办消防知识宣传栏、开展知识竞赛等多种形式，</w:t>
            </w:r>
            <w:r>
              <w:rPr>
                <w:rFonts w:hint="default" w:ascii="Times New Roman" w:hAnsi="Times New Roman" w:eastAsia="华文中宋" w:cs="Times New Roman"/>
                <w:color w:val="000000" w:themeColor="text1"/>
                <w:lang w:eastAsia="zh-CN"/>
                <w14:textFill>
                  <w14:solidFill>
                    <w14:schemeClr w14:val="tx1"/>
                  </w14:solidFill>
                </w14:textFill>
              </w:rPr>
              <w:t>增强</w:t>
            </w:r>
            <w:r>
              <w:rPr>
                <w:rFonts w:hint="default" w:ascii="Times New Roman" w:hAnsi="Times New Roman" w:eastAsia="华文中宋" w:cs="Times New Roman"/>
                <w:color w:val="000000" w:themeColor="text1"/>
                <w14:textFill>
                  <w14:solidFill>
                    <w14:schemeClr w14:val="tx1"/>
                  </w14:solidFill>
                </w14:textFill>
              </w:rPr>
              <w:t>全体员工的消防意识。定期组织员工学习消防法规和各种规章制度，针对岗位特点进行消防安全教育培训；</w:t>
            </w:r>
          </w:p>
          <w:p>
            <w:pPr>
              <w:pStyle w:val="78"/>
              <w:ind w:firstLine="48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④一旦发生火灾，应立即报警，通过消防灭火；组织救援小组，封锁现场，指挥人员疏散，并组织消防力量进行自救灭火；</w:t>
            </w:r>
          </w:p>
          <w:p>
            <w:pPr>
              <w:pStyle w:val="78"/>
              <w:ind w:firstLine="48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⑤设置个人防护用品，防毒面具、</w:t>
            </w:r>
            <w:r>
              <w:rPr>
                <w:rFonts w:hint="default" w:ascii="Times New Roman" w:hAnsi="Times New Roman" w:eastAsia="华文中宋" w:cs="Times New Roman"/>
                <w:color w:val="000000" w:themeColor="text1"/>
                <w:lang w:eastAsia="zh-CN"/>
                <w14:textFill>
                  <w14:solidFill>
                    <w14:schemeClr w14:val="tx1"/>
                  </w14:solidFill>
                </w14:textFill>
              </w:rPr>
              <w:t>防护眼镜</w:t>
            </w:r>
            <w:r>
              <w:rPr>
                <w:rFonts w:hint="default" w:ascii="Times New Roman" w:hAnsi="Times New Roman" w:eastAsia="华文中宋" w:cs="Times New Roman"/>
                <w:color w:val="000000" w:themeColor="text1"/>
                <w14:textFill>
                  <w14:solidFill>
                    <w14:schemeClr w14:val="tx1"/>
                  </w14:solidFill>
                </w14:textFill>
              </w:rPr>
              <w:t>等；</w:t>
            </w:r>
          </w:p>
          <w:p>
            <w:pPr>
              <w:pStyle w:val="78"/>
              <w:ind w:firstLine="48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⑥加强运输过程风险管控措施，合理安排运输作业，选择天气晴朗天气进行运输，禁止大雨、大风等天气进行运输作业；</w:t>
            </w:r>
          </w:p>
          <w:p>
            <w:pPr>
              <w:pStyle w:val="78"/>
              <w:ind w:firstLine="48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⑦运输过</w:t>
            </w:r>
            <w:r>
              <w:rPr>
                <w:rFonts w:hint="default" w:ascii="Times New Roman" w:hAnsi="Times New Roman" w:eastAsia="华文中宋" w:cs="Times New Roman"/>
                <w:color w:val="000000" w:themeColor="text1"/>
                <w:lang w:eastAsia="zh-CN"/>
                <w14:textFill>
                  <w14:solidFill>
                    <w14:schemeClr w14:val="tx1"/>
                  </w14:solidFill>
                </w14:textFill>
              </w:rPr>
              <w:t>程中</w:t>
            </w:r>
            <w:r>
              <w:rPr>
                <w:rFonts w:hint="default" w:ascii="Times New Roman" w:hAnsi="Times New Roman" w:eastAsia="华文中宋" w:cs="Times New Roman"/>
                <w:color w:val="000000" w:themeColor="text1"/>
                <w14:textFill>
                  <w14:solidFill>
                    <w14:schemeClr w14:val="tx1"/>
                  </w14:solidFill>
                </w14:textFill>
              </w:rPr>
              <w:t>加强运输车辆保养维护，严禁运输车辆带病作业，对运输车辆做好清洁处置；</w:t>
            </w:r>
          </w:p>
          <w:p>
            <w:pPr>
              <w:pStyle w:val="78"/>
              <w:ind w:firstLine="480"/>
              <w:rPr>
                <w:rFonts w:hint="default" w:ascii="Times New Roman" w:hAnsi="Times New Roman" w:eastAsia="华文中宋" w:cs="Times New Roman"/>
                <w:color w:val="000000" w:themeColor="text1"/>
                <w:lang w:eastAsia="zh-CN"/>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⑧加强运输司机培训管理，控制车速，匀速通行，严禁在此区域</w:t>
            </w:r>
            <w:r>
              <w:rPr>
                <w:rFonts w:hint="default" w:ascii="Times New Roman" w:hAnsi="Times New Roman" w:eastAsia="华文中宋" w:cs="Times New Roman"/>
                <w:color w:val="000000" w:themeColor="text1"/>
                <w:lang w:eastAsia="zh-CN"/>
                <w14:textFill>
                  <w14:solidFill>
                    <w14:schemeClr w14:val="tx1"/>
                  </w14:solidFill>
                </w14:textFill>
              </w:rPr>
              <w:t>无故</w:t>
            </w:r>
            <w:r>
              <w:rPr>
                <w:rFonts w:hint="default" w:ascii="Times New Roman" w:hAnsi="Times New Roman" w:eastAsia="华文中宋" w:cs="Times New Roman"/>
                <w:color w:val="000000" w:themeColor="text1"/>
                <w14:textFill>
                  <w14:solidFill>
                    <w14:schemeClr w14:val="tx1"/>
                  </w14:solidFill>
                </w14:textFill>
              </w:rPr>
              <w:t>逗</w:t>
            </w:r>
            <w:r>
              <w:rPr>
                <w:rFonts w:hint="default" w:ascii="Times New Roman" w:hAnsi="Times New Roman" w:eastAsia="华文中宋" w:cs="Times New Roman"/>
                <w:color w:val="000000" w:themeColor="text1"/>
                <w:lang w:eastAsia="zh-CN"/>
                <w14:textFill>
                  <w14:solidFill>
                    <w14:schemeClr w14:val="tx1"/>
                  </w14:solidFill>
                </w14:textFill>
              </w:rPr>
              <w:t>。</w:t>
            </w:r>
          </w:p>
          <w:p>
            <w:pPr>
              <w:pStyle w:val="78"/>
              <w:ind w:firstLine="48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2）环境风险应急措施</w:t>
            </w:r>
          </w:p>
          <w:p>
            <w:pPr>
              <w:pStyle w:val="78"/>
              <w:ind w:firstLine="48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①合理安排平面布置，将柴油储存区与生活区宿舍等分开布置，保持一定安全距离；</w:t>
            </w:r>
          </w:p>
          <w:p>
            <w:pPr>
              <w:pStyle w:val="78"/>
              <w:ind w:firstLine="48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②运输道路立即对事故路段采取应急措施，对</w:t>
            </w:r>
            <w:r>
              <w:rPr>
                <w:rFonts w:hint="default" w:ascii="Times New Roman" w:hAnsi="Times New Roman" w:eastAsia="华文中宋" w:cs="Times New Roman"/>
                <w:color w:val="000000" w:themeColor="text1"/>
                <w:lang w:eastAsia="zh-CN"/>
                <w14:textFill>
                  <w14:solidFill>
                    <w14:schemeClr w14:val="tx1"/>
                  </w14:solidFill>
                </w14:textFill>
              </w:rPr>
              <w:t>泄漏</w:t>
            </w:r>
            <w:r>
              <w:rPr>
                <w:rFonts w:hint="default" w:ascii="Times New Roman" w:hAnsi="Times New Roman" w:eastAsia="华文中宋" w:cs="Times New Roman"/>
                <w:color w:val="000000" w:themeColor="text1"/>
                <w14:textFill>
                  <w14:solidFill>
                    <w14:schemeClr w14:val="tx1"/>
                  </w14:solidFill>
                </w14:textFill>
              </w:rPr>
              <w:t>油污等及时进行围堵。</w:t>
            </w:r>
          </w:p>
          <w:p>
            <w:pPr>
              <w:pStyle w:val="78"/>
              <w:ind w:firstLine="48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（8）风险评价结论</w:t>
            </w:r>
          </w:p>
          <w:p>
            <w:pPr>
              <w:pStyle w:val="78"/>
              <w:ind w:firstLine="48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根据《建设项目环境风险评价技术导则》（HJ169-2018）附录B本项目涉及危险物质主要为柴油，环境风险主要为</w:t>
            </w:r>
            <w:r>
              <w:rPr>
                <w:rFonts w:hint="default" w:ascii="Times New Roman" w:hAnsi="Times New Roman" w:eastAsia="华文中宋" w:cs="Times New Roman"/>
                <w:color w:val="000000" w:themeColor="text1"/>
                <w:lang w:val="en-US" w:eastAsia="zh-CN"/>
                <w14:textFill>
                  <w14:solidFill>
                    <w14:schemeClr w14:val="tx1"/>
                  </w14:solidFill>
                </w14:textFill>
              </w:rPr>
              <w:t>柴油储存</w:t>
            </w:r>
            <w:r>
              <w:rPr>
                <w:rFonts w:hint="default" w:ascii="Times New Roman" w:hAnsi="Times New Roman" w:eastAsia="华文中宋" w:cs="Times New Roman"/>
                <w:color w:val="000000" w:themeColor="text1"/>
                <w14:textFill>
                  <w14:solidFill>
                    <w14:schemeClr w14:val="tx1"/>
                  </w14:solidFill>
                </w14:textFill>
              </w:rPr>
              <w:t>风险，根据类比分析在采取相应的安全措施，并加强安全管理后，本项目的环境风险在可接受的范围内。</w:t>
            </w:r>
          </w:p>
          <w:p>
            <w:pPr>
              <w:pStyle w:val="78"/>
              <w:ind w:firstLine="48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（8）建设项目环境风险简单分析内容表</w:t>
            </w:r>
          </w:p>
          <w:p>
            <w:pPr>
              <w:pStyle w:val="78"/>
              <w:ind w:firstLine="48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建设项目环境风险简单分析内容见表</w:t>
            </w:r>
            <w:r>
              <w:rPr>
                <w:rFonts w:hint="default" w:ascii="Times New Roman" w:hAnsi="Times New Roman" w:eastAsia="华文中宋" w:cs="Times New Roman"/>
                <w:color w:val="000000" w:themeColor="text1"/>
                <w:lang w:val="en-US" w:eastAsia="zh-CN"/>
                <w14:textFill>
                  <w14:solidFill>
                    <w14:schemeClr w14:val="tx1"/>
                  </w14:solidFill>
                </w14:textFill>
              </w:rPr>
              <w:t>4-8</w:t>
            </w:r>
            <w:r>
              <w:rPr>
                <w:rFonts w:hint="default" w:ascii="Times New Roman" w:hAnsi="Times New Roman" w:eastAsia="华文中宋" w:cs="Times New Roman"/>
                <w:color w:val="000000" w:themeColor="text1"/>
                <w14:textFill>
                  <w14:solidFill>
                    <w14:schemeClr w14:val="tx1"/>
                  </w14:solidFill>
                </w14:textFill>
              </w:rPr>
              <w:t>。</w:t>
            </w:r>
          </w:p>
          <w:p>
            <w:pPr>
              <w:pStyle w:val="79"/>
              <w:keepNext w:val="0"/>
              <w:keepLines w:val="0"/>
              <w:pageBreakBefore w:val="0"/>
              <w:widowControl w:val="0"/>
              <w:kinsoku/>
              <w:wordWrap/>
              <w:overflowPunct/>
              <w:topLinePunct w:val="0"/>
              <w:autoSpaceDE/>
              <w:autoSpaceDN/>
              <w:bidi w:val="0"/>
              <w:adjustRightInd/>
              <w:snapToGrid/>
              <w:spacing w:line="500" w:lineRule="exact"/>
              <w:ind w:firstLine="420"/>
              <w:jc w:val="center"/>
              <w:textAlignment w:val="auto"/>
              <w:rPr>
                <w:rFonts w:hint="default" w:ascii="Times New Roman" w:hAnsi="Times New Roman" w:eastAsia="华文中宋" w:cs="Times New Roman"/>
                <w:b/>
                <w:bCs/>
                <w:color w:val="000000" w:themeColor="text1"/>
                <w:sz w:val="21"/>
                <w:szCs w:val="21"/>
                <w14:textFill>
                  <w14:solidFill>
                    <w14:schemeClr w14:val="tx1"/>
                  </w14:solidFill>
                </w14:textFill>
              </w:rPr>
            </w:pPr>
            <w:r>
              <w:rPr>
                <w:rFonts w:hint="default" w:ascii="Times New Roman" w:hAnsi="Times New Roman" w:eastAsia="华文中宋" w:cs="Times New Roman"/>
                <w:b/>
                <w:bCs/>
                <w:color w:val="000000" w:themeColor="text1"/>
                <w:sz w:val="24"/>
                <w:szCs w:val="24"/>
                <w14:textFill>
                  <w14:solidFill>
                    <w14:schemeClr w14:val="tx1"/>
                  </w14:solidFill>
                </w14:textFill>
              </w:rPr>
              <w:t>表</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4-8</w:t>
            </w:r>
            <w:r>
              <w:rPr>
                <w:rFonts w:hint="default" w:ascii="Times New Roman" w:hAnsi="Times New Roman" w:eastAsia="华文中宋" w:cs="Times New Roman"/>
                <w:b/>
                <w:bCs/>
                <w:color w:val="000000" w:themeColor="text1"/>
                <w:sz w:val="24"/>
                <w:szCs w:val="24"/>
                <w14:textFill>
                  <w14:solidFill>
                    <w14:schemeClr w14:val="tx1"/>
                  </w14:solidFill>
                </w14:textFill>
              </w:rPr>
              <w:t xml:space="preserve">        建设项目环境风险简单分析内容表</w:t>
            </w:r>
          </w:p>
          <w:tbl>
            <w:tblPr>
              <w:tblStyle w:val="29"/>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037"/>
              <w:gridCol w:w="257"/>
              <w:gridCol w:w="1402"/>
              <w:gridCol w:w="327"/>
              <w:gridCol w:w="671"/>
              <w:gridCol w:w="504"/>
              <w:gridCol w:w="780"/>
              <w:gridCol w:w="1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建设项目名称</w:t>
                  </w:r>
                </w:p>
              </w:tc>
              <w:tc>
                <w:tcPr>
                  <w:tcW w:w="3813" w:type="pct"/>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且末县苏盖提坎铜镍矿勘探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建设地点</w:t>
                  </w:r>
                </w:p>
              </w:tc>
              <w:tc>
                <w:tcPr>
                  <w:tcW w:w="75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新疆维吾尔自治区</w:t>
                  </w:r>
                </w:p>
              </w:tc>
              <w:tc>
                <w:tcPr>
                  <w:tcW w:w="8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华文中宋" w:cs="Times New Roman"/>
                      <w:color w:val="000000" w:themeColor="text1"/>
                      <w:sz w:val="21"/>
                      <w:szCs w:val="21"/>
                      <w:lang w:eastAsia="zh-CN"/>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w:t>
                  </w: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巴州</w:t>
                  </w:r>
                  <w:r>
                    <w:rPr>
                      <w:rFonts w:hint="default" w:ascii="Times New Roman" w:hAnsi="Times New Roman" w:eastAsia="华文中宋" w:cs="Times New Roman"/>
                      <w:color w:val="000000" w:themeColor="text1"/>
                      <w:sz w:val="21"/>
                      <w:szCs w:val="21"/>
                      <w14:textFill>
                        <w14:solidFill>
                          <w14:schemeClr w14:val="tx1"/>
                        </w14:solidFill>
                      </w14:textFill>
                    </w:rPr>
                    <w:t>）</w:t>
                  </w: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地区</w:t>
                  </w:r>
                </w:p>
              </w:tc>
              <w:tc>
                <w:tcPr>
                  <w:tcW w:w="580"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eastAsia="zh-CN"/>
                      <w14:textFill>
                        <w14:solidFill>
                          <w14:schemeClr w14:val="tx1"/>
                        </w14:solidFill>
                      </w14:textFill>
                    </w:rPr>
                    <w:t>（</w:t>
                  </w: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w:t>
                  </w:r>
                  <w:r>
                    <w:rPr>
                      <w:rFonts w:hint="default" w:ascii="Times New Roman" w:hAnsi="Times New Roman" w:eastAsia="华文中宋" w:cs="Times New Roman"/>
                      <w:color w:val="000000" w:themeColor="text1"/>
                      <w:sz w:val="21"/>
                      <w:szCs w:val="21"/>
                      <w14:textFill>
                        <w14:solidFill>
                          <w14:schemeClr w14:val="tx1"/>
                        </w14:solidFill>
                      </w14:textFill>
                    </w:rPr>
                    <w:t>）区</w:t>
                  </w:r>
                </w:p>
              </w:tc>
              <w:tc>
                <w:tcPr>
                  <w:tcW w:w="74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w:t>
                  </w: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且末</w:t>
                  </w:r>
                  <w:r>
                    <w:rPr>
                      <w:rFonts w:hint="default" w:ascii="Times New Roman" w:hAnsi="Times New Roman" w:eastAsia="华文中宋" w:cs="Times New Roman"/>
                      <w:color w:val="000000" w:themeColor="text1"/>
                      <w:sz w:val="21"/>
                      <w:szCs w:val="21"/>
                      <w14:textFill>
                        <w14:solidFill>
                          <w14:schemeClr w14:val="tx1"/>
                        </w14:solidFill>
                      </w14:textFill>
                    </w:rPr>
                    <w:t>）县</w:t>
                  </w:r>
                </w:p>
              </w:tc>
              <w:tc>
                <w:tcPr>
                  <w:tcW w:w="9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（/）园区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地理坐标</w:t>
                  </w:r>
                </w:p>
              </w:tc>
              <w:tc>
                <w:tcPr>
                  <w:tcW w:w="6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经度</w:t>
                  </w:r>
                </w:p>
              </w:tc>
              <w:tc>
                <w:tcPr>
                  <w:tcW w:w="1154"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4"/>
                      <w:lang w:val="en-US" w:eastAsia="zh-CN"/>
                      <w14:textFill>
                        <w14:solidFill>
                          <w14:schemeClr w14:val="tx1"/>
                        </w14:solidFill>
                      </w14:textFill>
                    </w:rPr>
                    <w:t>84°13′19.463″</w:t>
                  </w:r>
                </w:p>
              </w:tc>
              <w:tc>
                <w:tcPr>
                  <w:tcW w:w="68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纬度</w:t>
                  </w:r>
                </w:p>
              </w:tc>
              <w:tc>
                <w:tcPr>
                  <w:tcW w:w="137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4"/>
                      <w:lang w:val="en-US" w:eastAsia="zh-CN"/>
                      <w14:textFill>
                        <w14:solidFill>
                          <w14:schemeClr w14:val="tx1"/>
                        </w14:solidFill>
                      </w14:textFill>
                    </w:rPr>
                    <w:t>36°45′23.566″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主要危险物质及分布</w:t>
                  </w:r>
                </w:p>
              </w:tc>
              <w:tc>
                <w:tcPr>
                  <w:tcW w:w="3813" w:type="pct"/>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left"/>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根据《建设项目环境风险评价技术导则》（HJ169-2018）附录B本项目涉及危险物质主要为柴油，属于易燃物质。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环境影响途径及危害后果（大气、地表水、地下水等）</w:t>
                  </w:r>
                </w:p>
              </w:tc>
              <w:tc>
                <w:tcPr>
                  <w:tcW w:w="3813" w:type="pct"/>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left"/>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 xml:space="preserve">大气途径：原辅料火灾引发伴生/次生污染物排放； </w:t>
                  </w:r>
                </w:p>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left"/>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地表水途径：运输过</w:t>
                  </w:r>
                  <w:r>
                    <w:rPr>
                      <w:rFonts w:hint="default" w:ascii="Times New Roman" w:hAnsi="Times New Roman" w:eastAsia="华文中宋" w:cs="Times New Roman"/>
                      <w:color w:val="000000" w:themeColor="text1"/>
                      <w:sz w:val="21"/>
                      <w:szCs w:val="21"/>
                      <w:lang w:eastAsia="zh-CN"/>
                      <w14:textFill>
                        <w14:solidFill>
                          <w14:schemeClr w14:val="tx1"/>
                        </w14:solidFill>
                      </w14:textFill>
                    </w:rPr>
                    <w:t>程中</w:t>
                  </w:r>
                  <w:r>
                    <w:rPr>
                      <w:rFonts w:hint="default" w:ascii="Times New Roman" w:hAnsi="Times New Roman" w:eastAsia="华文中宋" w:cs="Times New Roman"/>
                      <w:color w:val="000000" w:themeColor="text1"/>
                      <w:sz w:val="21"/>
                      <w:szCs w:val="21"/>
                      <w14:textFill>
                        <w14:solidFill>
                          <w14:schemeClr w14:val="tx1"/>
                        </w14:solidFill>
                      </w14:textFill>
                    </w:rPr>
                    <w:t xml:space="preserve">在沿河路段发生事故造成地表水水质污染； </w:t>
                  </w:r>
                </w:p>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left"/>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地下水途径：无；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风险防范措施要求</w:t>
                  </w:r>
                </w:p>
              </w:tc>
              <w:tc>
                <w:tcPr>
                  <w:tcW w:w="3813" w:type="pct"/>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详见报告环境风险分析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9"/>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填表说明（列出相关信息及评价说明）</w:t>
                  </w:r>
                </w:p>
              </w:tc>
            </w:tr>
          </w:tbl>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rPr>
                <w:rFonts w:hint="default" w:ascii="Times New Roman" w:hAnsi="Times New Roman" w:eastAsia="华文中宋" w:cs="Times New Roman"/>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879" w:type="dxa"/>
            <w:noWrap w:val="0"/>
            <w:tcMar>
              <w:left w:w="28" w:type="dxa"/>
              <w:right w:w="28" w:type="dxa"/>
            </w:tcMar>
            <w:vAlign w:val="center"/>
          </w:tcPr>
          <w:p>
            <w:pPr>
              <w:pStyle w:val="24"/>
              <w:adjustRightInd w:val="0"/>
              <w:snapToGrid w:val="0"/>
              <w:spacing w:before="0" w:beforeAutospacing="0" w:after="0" w:afterAutospacing="0"/>
              <w:ind w:left="0" w:leftChars="0" w:firstLine="0" w:firstLineChars="0"/>
              <w:jc w:val="both"/>
              <w:rPr>
                <w:rFonts w:hint="default" w:ascii="Times New Roman" w:hAnsi="Times New Roman" w:eastAsia="华文中宋" w:cs="Times New Roman"/>
                <w:bCs/>
                <w:color w:val="000000" w:themeColor="text1"/>
                <w:kern w:val="2"/>
                <w:sz w:val="21"/>
                <w:szCs w:val="21"/>
                <w14:textFill>
                  <w14:solidFill>
                    <w14:schemeClr w14:val="tx1"/>
                  </w14:solidFill>
                </w14:textFill>
              </w:rPr>
            </w:pPr>
            <w:r>
              <w:rPr>
                <w:rFonts w:hint="default" w:ascii="Times New Roman" w:hAnsi="Times New Roman" w:eastAsia="华文中宋" w:cs="Times New Roman"/>
                <w:bCs/>
                <w:color w:val="000000" w:themeColor="text1"/>
                <w:spacing w:val="10"/>
                <w:kern w:val="2"/>
                <w:sz w:val="24"/>
                <w:szCs w:val="24"/>
                <w14:textFill>
                  <w14:solidFill>
                    <w14:schemeClr w14:val="tx1"/>
                  </w14:solidFill>
                </w14:textFill>
              </w:rPr>
              <w:t>运营期生态环境影响分析</w:t>
            </w:r>
          </w:p>
        </w:tc>
        <w:tc>
          <w:tcPr>
            <w:tcW w:w="8852" w:type="dxa"/>
            <w:noWrap w:val="0"/>
            <w:vAlign w:val="top"/>
          </w:tcPr>
          <w:p>
            <w:pPr>
              <w:keepNext w:val="0"/>
              <w:keepLines w:val="0"/>
              <w:pageBreakBefore w:val="0"/>
              <w:widowControl w:val="0"/>
              <w:kinsoku/>
              <w:wordWrap/>
              <w:overflowPunct/>
              <w:topLinePunct/>
              <w:autoSpaceDE/>
              <w:autoSpaceDN/>
              <w:bidi w:val="0"/>
              <w:spacing w:line="500" w:lineRule="exact"/>
              <w:textAlignment w:val="auto"/>
              <w:rPr>
                <w:rFonts w:hint="default" w:ascii="Times New Roman" w:hAnsi="Times New Roman" w:eastAsia="华文中宋" w:cs="Times New Roman"/>
                <w:b/>
                <w:snapToGrid w:val="0"/>
                <w:color w:val="000000" w:themeColor="text1"/>
                <w:kern w:val="0"/>
                <w:sz w:val="24"/>
                <w:szCs w:val="24"/>
                <w:lang w:val="en-US" w:eastAsia="zh-CN"/>
                <w14:textFill>
                  <w14:solidFill>
                    <w14:schemeClr w14:val="tx1"/>
                  </w14:solidFill>
                </w14:textFill>
              </w:rPr>
            </w:pPr>
            <w:r>
              <w:rPr>
                <w:rFonts w:hint="default" w:ascii="Times New Roman" w:hAnsi="Times New Roman" w:eastAsia="华文中宋" w:cs="Times New Roman"/>
                <w:b/>
                <w:snapToGrid w:val="0"/>
                <w:color w:val="000000" w:themeColor="text1"/>
                <w:kern w:val="0"/>
                <w:sz w:val="24"/>
                <w:szCs w:val="24"/>
                <w:lang w:val="en-US" w:eastAsia="zh-CN"/>
                <w14:textFill>
                  <w14:solidFill>
                    <w14:schemeClr w14:val="tx1"/>
                  </w14:solidFill>
                </w14:textFill>
              </w:rPr>
              <w:t>矿体开采期环境影响分析</w:t>
            </w:r>
          </w:p>
          <w:p>
            <w:pPr>
              <w:pStyle w:val="12"/>
              <w:keepNext w:val="0"/>
              <w:keepLines w:val="0"/>
              <w:pageBreakBefore w:val="0"/>
              <w:widowControl w:val="0"/>
              <w:numPr>
                <w:ilvl w:val="0"/>
                <w:numId w:val="0"/>
              </w:numPr>
              <w:kinsoku/>
              <w:wordWrap/>
              <w:overflowPunct/>
              <w:autoSpaceDE/>
              <w:autoSpaceDN/>
              <w:bidi w:val="0"/>
              <w:spacing w:after="0" w:line="500" w:lineRule="exact"/>
              <w:ind w:firstLine="480" w:firstLineChars="200"/>
              <w:textAlignment w:val="auto"/>
              <w:rPr>
                <w:rFonts w:hint="default" w:ascii="Times New Roman" w:hAnsi="Times New Roman" w:eastAsia="华文中宋" w:cs="Times New Roman"/>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Cs/>
                <w:color w:val="000000" w:themeColor="text1"/>
                <w:sz w:val="24"/>
                <w:szCs w:val="24"/>
                <w:lang w:val="en-US" w:eastAsia="zh-CN"/>
                <w14:textFill>
                  <w14:solidFill>
                    <w14:schemeClr w14:val="tx1"/>
                  </w14:solidFill>
                </w14:textFill>
              </w:rPr>
              <w:t>通过勘查，若勘查报告表明矿权所属范围具有开采价值，将对矿权所属范围进行矿产开采。本次环评只针对本项目勘探所产生的环境影响进行评价，根据详查结果若后期需要对矿体进行开采，矿体开采的环境影响及矿区封矿后的环境影响应单独进行环境影响评价。</w:t>
            </w:r>
          </w:p>
          <w:p>
            <w:pPr>
              <w:keepNext w:val="0"/>
              <w:keepLines w:val="0"/>
              <w:pageBreakBefore w:val="0"/>
              <w:widowControl w:val="0"/>
              <w:kinsoku/>
              <w:wordWrap/>
              <w:overflowPunct/>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bCs/>
                <w:color w:val="000000" w:themeColor="text1"/>
                <w:sz w:val="24"/>
                <w:szCs w:val="24"/>
                <w:lang w:val="en-US" w:eastAsia="zh-CN"/>
                <w14:textFill>
                  <w14:solidFill>
                    <w14:schemeClr w14:val="tx1"/>
                  </w14:solidFill>
                </w14:textFill>
              </w:rPr>
              <w:t>因此，本次环评不对矿山后期开采进行评价。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89" w:hRule="atLeast"/>
          <w:jc w:val="center"/>
        </w:trPr>
        <w:tc>
          <w:tcPr>
            <w:tcW w:w="879" w:type="dxa"/>
            <w:noWrap w:val="0"/>
            <w:vAlign w:val="center"/>
          </w:tcPr>
          <w:p>
            <w:pPr>
              <w:pStyle w:val="24"/>
              <w:adjustRightInd w:val="0"/>
              <w:snapToGrid w:val="0"/>
              <w:spacing w:before="0" w:beforeAutospacing="0" w:after="0" w:afterAutospacing="0"/>
              <w:ind w:left="0" w:leftChars="0" w:firstLine="0" w:firstLineChars="0"/>
              <w:jc w:val="both"/>
              <w:rPr>
                <w:rFonts w:hint="default" w:ascii="Times New Roman" w:hAnsi="Times New Roman" w:eastAsia="华文中宋" w:cs="Times New Roman"/>
                <w:bCs/>
                <w:color w:val="000000" w:themeColor="text1"/>
                <w:kern w:val="2"/>
                <w:sz w:val="21"/>
                <w:szCs w:val="21"/>
                <w14:textFill>
                  <w14:solidFill>
                    <w14:schemeClr w14:val="tx1"/>
                  </w14:solidFill>
                </w14:textFill>
              </w:rPr>
            </w:pPr>
            <w:r>
              <w:rPr>
                <w:rFonts w:hint="default" w:ascii="Times New Roman" w:hAnsi="Times New Roman" w:eastAsia="华文中宋" w:cs="Times New Roman"/>
                <w:bCs/>
                <w:color w:val="000000" w:themeColor="text1"/>
                <w:kern w:val="2"/>
                <w:sz w:val="24"/>
                <w:szCs w:val="24"/>
                <w14:textFill>
                  <w14:solidFill>
                    <w14:schemeClr w14:val="tx1"/>
                  </w14:solidFill>
                </w14:textFill>
              </w:rPr>
              <w:t>选址选线环境合理性分析</w:t>
            </w:r>
          </w:p>
        </w:tc>
        <w:tc>
          <w:tcPr>
            <w:tcW w:w="88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14:textFill>
                  <w14:solidFill>
                    <w14:schemeClr w14:val="tx1"/>
                  </w14:solidFill>
                </w14:textFill>
              </w:rPr>
              <w:t>项目建设地点</w:t>
            </w:r>
            <w:r>
              <w:rPr>
                <w:rFonts w:hint="default" w:ascii="Times New Roman" w:hAnsi="Times New Roman" w:eastAsia="华文中宋" w:cs="Times New Roman"/>
                <w:color w:val="000000" w:themeColor="text1"/>
                <w:sz w:val="24"/>
                <w:szCs w:val="24"/>
                <w:lang w:eastAsia="zh-CN"/>
                <w14:textFill>
                  <w14:solidFill>
                    <w14:schemeClr w14:val="tx1"/>
                  </w14:solidFill>
                </w14:textFill>
              </w:rPr>
              <w:t>位于且末县奥依亚依拉克乡南部</w:t>
            </w:r>
            <w:r>
              <w:rPr>
                <w:rFonts w:hint="default" w:ascii="Times New Roman" w:hAnsi="Times New Roman" w:eastAsia="华文中宋" w:cs="Times New Roman"/>
                <w:color w:val="000000" w:themeColor="text1"/>
                <w:sz w:val="24"/>
                <w:szCs w:val="24"/>
                <w14:textFill>
                  <w14:solidFill>
                    <w14:schemeClr w14:val="tx1"/>
                  </w14:solidFill>
                </w14:textFill>
              </w:rPr>
              <w:t>，行政区划隶属且末县管辖</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。中心地理坐标：东经84°13′19.463″，北纬36°45′23.566″。</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本项目搭建彩钢板房作为</w:t>
            </w:r>
            <w:r>
              <w:rPr>
                <w:rFonts w:hint="default" w:ascii="Times New Roman" w:hAnsi="Times New Roman" w:eastAsia="华文中宋" w:cs="Times New Roman"/>
                <w:color w:val="000000" w:themeColor="text1"/>
                <w:lang w:val="en-US" w:eastAsia="zh-CN"/>
                <w14:textFill>
                  <w14:solidFill>
                    <w14:schemeClr w14:val="tx1"/>
                  </w14:solidFill>
                </w14:textFill>
              </w:rPr>
              <w:t>临时办公</w:t>
            </w:r>
            <w:r>
              <w:rPr>
                <w:rFonts w:hint="default" w:ascii="Times New Roman" w:hAnsi="Times New Roman" w:eastAsia="华文中宋" w:cs="Times New Roman"/>
                <w:color w:val="000000" w:themeColor="text1"/>
                <w14:textFill>
                  <w14:solidFill>
                    <w14:schemeClr w14:val="tx1"/>
                  </w14:solidFill>
                </w14:textFill>
              </w:rPr>
              <w:t>用房；项目区及周围区域外环境关系较简单，无重要保护文物、风景名胜区、水源保护地、水源涵养地生态敏感点等明显的环境制约因子。项目勘探过程中将对周围环境产生一定影响。按照本环评提出的污染防治措施治理后，能满足相应的排放标准，对周围环境影响较小，项目选址合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32"/>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综上所述，本项目选址选线从环保角度分析是合理的。</w:t>
            </w:r>
          </w:p>
        </w:tc>
      </w:tr>
    </w:tbl>
    <w:p>
      <w:pPr>
        <w:pStyle w:val="24"/>
        <w:jc w:val="center"/>
        <w:rPr>
          <w:rFonts w:hint="default" w:ascii="Times New Roman" w:hAnsi="Times New Roman" w:eastAsia="华文中宋" w:cs="Times New Roman"/>
          <w:snapToGrid w:val="0"/>
          <w:color w:val="000000" w:themeColor="text1"/>
          <w:sz w:val="36"/>
          <w:szCs w:val="36"/>
          <w14:textFill>
            <w14:solidFill>
              <w14:schemeClr w14:val="tx1"/>
            </w14:solidFill>
          </w14:textFill>
        </w:rPr>
        <w:sectPr>
          <w:pgSz w:w="11906" w:h="16838"/>
          <w:pgMar w:top="1440" w:right="1800" w:bottom="1440" w:left="1800" w:header="851" w:footer="1077" w:gutter="0"/>
          <w:pgBorders>
            <w:top w:val="none" w:sz="0" w:space="0"/>
            <w:left w:val="none" w:sz="0" w:space="0"/>
            <w:bottom w:val="none" w:sz="0" w:space="0"/>
            <w:right w:val="none" w:sz="0" w:space="0"/>
          </w:pgBorders>
          <w:pgNumType w:fmt="decimal"/>
          <w:cols w:space="720" w:num="1"/>
          <w:docGrid w:linePitch="312" w:charSpace="0"/>
        </w:sectPr>
      </w:pPr>
    </w:p>
    <w:p>
      <w:pPr>
        <w:pStyle w:val="24"/>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Style w:val="36"/>
          <w:rFonts w:hint="default" w:ascii="Times New Roman" w:hAnsi="Times New Roman" w:eastAsia="华文中宋" w:cs="Times New Roman"/>
          <w:b/>
          <w:bCs/>
          <w:color w:val="000000" w:themeColor="text1"/>
          <w:lang w:val="en-US" w:eastAsia="zh-CN"/>
          <w14:textFill>
            <w14:solidFill>
              <w14:schemeClr w14:val="tx1"/>
            </w14:solidFill>
          </w14:textFill>
        </w:rPr>
      </w:pPr>
      <w:bookmarkStart w:id="34" w:name="_Toc12788"/>
      <w:r>
        <w:rPr>
          <w:rStyle w:val="36"/>
          <w:rFonts w:hint="default" w:ascii="Times New Roman" w:hAnsi="Times New Roman" w:eastAsia="华文中宋" w:cs="Times New Roman"/>
          <w:b/>
          <w:bCs/>
          <w:color w:val="000000" w:themeColor="text1"/>
          <w:lang w:val="en-US" w:eastAsia="zh-CN"/>
          <w14:textFill>
            <w14:solidFill>
              <w14:schemeClr w14:val="tx1"/>
            </w14:solidFill>
          </w14:textFill>
        </w:rPr>
        <w:t>五、主要生态环境保护措施</w:t>
      </w:r>
      <w:bookmarkEnd w:id="34"/>
    </w:p>
    <w:tbl>
      <w:tblPr>
        <w:tblStyle w:val="29"/>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4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51" w:hRule="atLeast"/>
          <w:jc w:val="center"/>
        </w:trPr>
        <w:tc>
          <w:tcPr>
            <w:tcW w:w="753" w:type="dxa"/>
            <w:noWrap w:val="0"/>
            <w:tcMar>
              <w:left w:w="28" w:type="dxa"/>
              <w:right w:w="28" w:type="dxa"/>
            </w:tcMar>
            <w:vAlign w:val="center"/>
          </w:tcPr>
          <w:p>
            <w:pPr>
              <w:adjustRightInd w:val="0"/>
              <w:snapToGrid w:val="0"/>
              <w:spacing w:line="240" w:lineRule="auto"/>
              <w:ind w:left="0" w:leftChars="0" w:firstLine="0" w:firstLineChars="0"/>
              <w:jc w:val="both"/>
              <w:rPr>
                <w:rFonts w:hint="default" w:ascii="Times New Roman" w:hAnsi="Times New Roman" w:eastAsia="华文中宋" w:cs="Times New Roman"/>
                <w:bCs/>
                <w:color w:val="000000" w:themeColor="text1"/>
                <w:sz w:val="21"/>
                <w:szCs w:val="21"/>
                <w14:textFill>
                  <w14:solidFill>
                    <w14:schemeClr w14:val="tx1"/>
                  </w14:solidFill>
                </w14:textFill>
              </w:rPr>
            </w:pPr>
            <w:r>
              <w:rPr>
                <w:rFonts w:hint="default" w:ascii="Times New Roman" w:hAnsi="Times New Roman" w:eastAsia="华文中宋" w:cs="Times New Roman"/>
                <w:bCs/>
                <w:color w:val="000000" w:themeColor="text1"/>
                <w:spacing w:val="10"/>
                <w:sz w:val="24"/>
                <w:szCs w:val="24"/>
                <w14:textFill>
                  <w14:solidFill>
                    <w14:schemeClr w14:val="tx1"/>
                  </w14:solidFill>
                </w14:textFill>
              </w:rPr>
              <w:t>施工期生态环境保护措施</w:t>
            </w:r>
          </w:p>
        </w:tc>
        <w:tc>
          <w:tcPr>
            <w:tcW w:w="8457" w:type="dxa"/>
            <w:noWrap w:val="0"/>
            <w:vAlign w:val="top"/>
          </w:tcPr>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1、生态环境保护措施</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t>（1）严格按照勘探采样设计方案开展工作，控制勘探占地范围，所有机械（主要为勘探钻具）需在控制在勘探设计方案划定范围内作业。生产车辆尽可能利用既有道路，并严格按设计施工便道进行施工活动。</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t>（2）勘探采样应加强管理，合理安排勘探计划和作业时间，优化勘探方案，将勘探活动控制在施工区域内，严禁越界勘探。在工程开挖过程中，尽量减小和有效控制对探矿区生态环境的影响范围和程度；尽量避免在大风天气进行动土施工。</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t>（3）</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对临时占用的其他草</w:t>
            </w: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地，勘探工程结束后，需对占用土地进行清理平整后，应将开挖前的表土均匀覆盖在底土之上，草地、林地有效覆土厚度大于20cm，确保覆土厚度及土质能满足植被正常生长需要，仅压占但未受到挖损、污染的场地，可采取深翻、松土、培土等方式使表土达到复垦要求。</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剥离的草皮应全部复植。将原剥离的根系腐殖土铺垫在覆盖的表土上，再将剥离养护的植被依次紧凑铺平复植。植被复植后应适当浇水养护，确保与开挖前状态基本一致。</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t>探矿期结束后，应对遗留的施工迹地采取恢复措施，尽早使地表恢复原貌。凡受到施工车辆、机械破坏的地方，都要及时修整，恢复原貌，破坏应在勘探结束后的当年或来年予以恢复。</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t>（4）勘探期充分利用已有道路，减少土石方工程量并缩小生态影响范围，减少了对周边土壤和植被的破坏。做好表层土壤的保护和利用。保护利用好表层的熟化土壤(主要为0~30cm的土层)，在挖掘平整、勘探前，首先要把表层的熟化土壤尽可能地集中堆放，避免重型机械过度碾压，防止土壤板结和侵蚀，施工结束后再进行熟土回填，保护土壤肥力，以利后期生态恢复。</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t>（5）加强勘探活动及管理人员环境保护知识的学习和教育，积极宣传环境保护法规，增强人员环保意识，禁止一切乱砍滥伐、捕猎活动，对于工作人员在进行矿山踏勘时，应尽量避免探矿活动区生态环境不受到显著人为干扰。</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t>（6）在勘探期采取定期洒水的措施，通过洒水使地表反复形成结皮，可有效解决开采过程中的起尘问题，减轻水土流失。</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t>（7）合理规划机械设备作业活动范围及时间，降低噪声对周边动物的影响。</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t>（8）生活营地及其他临时占地施工结束后，应按相关规定平整恢复，同时严格管理燃料、危险废物贮存管理，做好相应的防渗措施，防止泄漏污染土壤，防范潜在污染。</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t>（9）勘探期结束后，应立即停止探矿采样活动，严禁“以探代采”。</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2、水土保持措施</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zh-CN" w:eastAsia="zh-CN"/>
                <w14:textFill>
                  <w14:solidFill>
                    <w14:schemeClr w14:val="tx1"/>
                  </w14:solidFill>
                </w14:textFill>
              </w:rPr>
              <w:t>根据</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该矿</w:t>
            </w:r>
            <w:r>
              <w:rPr>
                <w:rFonts w:hint="default" w:ascii="Times New Roman" w:hAnsi="Times New Roman" w:eastAsia="华文中宋" w:cs="Times New Roman"/>
                <w:color w:val="000000" w:themeColor="text1"/>
                <w:sz w:val="24"/>
                <w:szCs w:val="24"/>
                <w:lang w:val="zh-CN" w:eastAsia="zh-CN"/>
                <w14:textFill>
                  <w14:solidFill>
                    <w14:schemeClr w14:val="tx1"/>
                  </w14:solidFill>
                </w14:textFill>
              </w:rPr>
              <w:t>施工建设产生水土流失的特点、危害程度和防治目标，依据治理与防护相</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结合、植物措施与工程措施相结合、永久措施与临时措施相结合，统筹布局各种水土保持措施，形成完整的水土流失防治体系。</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在防治措施布置上，充分利用工程措施的控制性和速效性，同时发挥生物措施的有效性和长效性，生物措施与固定管理工程单元相结合，工程措施与主体工程相结合的方法。同时拟对不同水土流失分区内的典型段进行典型设计，以代表该段的水土保持治理方向。</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坚持分区防治的原则，根据工程区沿线所属水土流失防治分区来确定指导性防治措施。在各防治分区以侵蚀地貌划分治理单元，提出各治理单元的主导性防治措施体系；在各治理单元，根据主要侵蚀部位系统论证推荐布置经济、合理、安全的防治措施。</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针对施工活动引发水土流失的特点和造成的危害程度，合理确定水土保持措施的总体布局，采取工程措施、植物措施有机结合的防治措施，以形成完整、科学的水土流失防治措施体系。</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zh-CN"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zh-CN" w:eastAsia="zh-CN"/>
                <w14:textFill>
                  <w14:solidFill>
                    <w14:schemeClr w14:val="tx1"/>
                  </w14:solidFill>
                </w14:textFill>
              </w:rPr>
              <w:t>为减少拟建项目施工期的水土流失影响，建议采取以下控制措施：</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zh-CN"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zh-CN" w:eastAsia="zh-CN"/>
                <w14:textFill>
                  <w14:solidFill>
                    <w14:schemeClr w14:val="tx1"/>
                  </w14:solidFill>
                </w14:textFill>
              </w:rPr>
              <w:t>①严格控制作业面积，将施工扰动区域降到最小；</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zh-CN"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zh-CN" w:eastAsia="zh-CN"/>
                <w14:textFill>
                  <w14:solidFill>
                    <w14:schemeClr w14:val="tx1"/>
                  </w14:solidFill>
                </w14:textFill>
              </w:rPr>
              <w:t>②工程措施：平台构筑过程对边缘区域进行压实处置，防治风蚀等情况产生水土流失，施工过程中产生各类物料堆放期间采取苫盖措施，严禁大面积裸露；</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zh-CN"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zh-CN" w:eastAsia="zh-CN"/>
                <w14:textFill>
                  <w14:solidFill>
                    <w14:schemeClr w14:val="tx1"/>
                  </w14:solidFill>
                </w14:textFill>
              </w:rPr>
              <w:t>③临时措施：主体施工过程中，特别是下雨或刮风期施工时，为防止开挖填垫后的场地水蚀和风蚀，对施工平台周围设置拦挡和遮盖等临时防护措施，考虑临时工程的时效性，选择有效、简单易行、易于拆除且投资小的措施。</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zh-CN"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zh-CN" w:eastAsia="zh-CN"/>
                <w14:textFill>
                  <w14:solidFill>
                    <w14:schemeClr w14:val="tx1"/>
                  </w14:solidFill>
                </w14:textFill>
              </w:rPr>
              <w:t>④管理措施：工程施工时序和施工安排对水土保持工程防治水土流失的效果影响很大。若施工时序和施工安排不当，不但不能有效预防施工中产生的水土流失，而且造成施工中的水土流失无从治理，失去预防优先的意义。</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zh-CN"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zh-CN" w:eastAsia="zh-CN"/>
                <w14:textFill>
                  <w14:solidFill>
                    <w14:schemeClr w14:val="tx1"/>
                  </w14:solidFill>
                </w14:textFill>
              </w:rPr>
              <w:t>本项目在施工过程中通过采用工程措施、临时措施和管理措施相结合的综合防护措施后，对项目区域内的水土流失影响较小。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bCs/>
                <w:color w:val="000000" w:themeColor="text1"/>
                <w:kern w:val="2"/>
                <w:sz w:val="24"/>
                <w:szCs w:val="24"/>
                <w:lang w:val="en-US" w:eastAsia="zh-CN" w:bidi="ar-SA"/>
                <w14:textFill>
                  <w14:solidFill>
                    <w14:schemeClr w14:val="tx1"/>
                  </w14:solidFill>
                </w14:textFill>
              </w:rPr>
              <w:t>3、防沙治沙措施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为避免项目区土壤沙化，本次环评要求建设单位严格按照《中华人民共和国防沙治沙法》《国家林业局关于做好沙区开发建设项目环评中防沙治沙内容评价工作的意见》和《关于加强沙区建设项目环境影响评价工作的通知》（新环环评发138〔2020〕号）中有关规定，执行以下防沙治沙防治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①土地临时使用过程中发现土地沙化的，应当及时报告当地人民政府。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②在施工过程中，重点保护项目区内防风固沙植被，禁止乱砍滥伐，随意碾压项目区内其他固沙植被。</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③严格控制施工活动范围，严禁乱碾乱轧，避免对项目占地范围外的区域造成扰动。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④优化施工组织，缩短施工时间，避免在大风天气作业，以免造成土壤风蚀影响。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⑤废土石采用防尘网苫盖，减少风蚀。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⑥施工结束后对场地进行清理、平整并压实，避免水土流失影响。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⑦加强运营期管理，密切观察项目区土地沙化情况。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⑧合理规划作业范围，在勘察结束后及时开展植被恢复工作。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b w:val="0"/>
                <w:bCs w:val="0"/>
                <w:color w:val="000000" w:themeColor="text1"/>
                <w:kern w:val="2"/>
                <w:sz w:val="24"/>
                <w:szCs w:val="24"/>
                <w:lang w:val="en-US" w:eastAsia="zh-CN" w:bidi="ar-SA"/>
                <w14:textFill>
                  <w14:solidFill>
                    <w14:schemeClr w14:val="tx1"/>
                  </w14:solidFill>
                </w14:textFill>
              </w:rPr>
              <w:t>采取上述措施，项目施工过程中对周围生态环境的破坏可降低至可接受水平。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勘探期大气环境保护措施</w:t>
            </w:r>
          </w:p>
          <w:p>
            <w:pPr>
              <w:pStyle w:val="16"/>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1）为了减少勘探期机械及运输车辆对大气环境的污染。建设单位应缩短机械使用时间，并在使用过程中采取相关环保措施、对运输车辆选用尾气排放达标运输车辆，车辆禁止超载，不得使用劣质燃料；安排专人加强运输车辆和设备维护，确保运输车辆和设备正常运行；合理安排施工运输工作；做好施工现场的交通疏导，最大限度地控制汽车尾气的排放。</w:t>
            </w:r>
          </w:p>
          <w:p>
            <w:pPr>
              <w:pStyle w:val="16"/>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2）作业场地修整、生态恢复等施工过程，主要采用洒水降尘的方式降低粉尘产生量；</w:t>
            </w:r>
          </w:p>
          <w:p>
            <w:pPr>
              <w:pStyle w:val="16"/>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3）钻探过程利用循环水可有效地降低钻探过程钻杆产生的粉尘；</w:t>
            </w:r>
          </w:p>
          <w:p>
            <w:pPr>
              <w:pStyle w:val="16"/>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4）加强员工粉尘防范意识，要求作业期间佩戴防尘口罩。</w:t>
            </w:r>
          </w:p>
          <w:p>
            <w:pPr>
              <w:pStyle w:val="16"/>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5、勘探期水环境保护措施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勘探期生产废水包括施工机械冲洗水以及施工机械跑、冒、滴、漏的油等，主要含SS、石油类等，施工废水进入临时沉淀池（勘探期结束后回填覆盖），经沉淀处理后循环使用和洒水降尘。施工废水临时沉淀池设置在</w:t>
            </w:r>
            <w:r>
              <w:rPr>
                <w:rFonts w:hint="default" w:ascii="Times New Roman" w:hAnsi="Times New Roman" w:eastAsia="华文中宋" w:cs="Times New Roman"/>
                <w:color w:val="000000" w:themeColor="text1"/>
                <w:kern w:val="0"/>
                <w:sz w:val="24"/>
                <w:szCs w:val="24"/>
                <w:lang w:val="en-US" w:eastAsia="zh-CN"/>
                <w14:textFill>
                  <w14:solidFill>
                    <w14:schemeClr w14:val="tx1"/>
                  </w14:solidFill>
                </w14:textFill>
              </w:rPr>
              <w:t>钻孔平台。</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施工废水临时沉淀池采用</w:t>
            </w:r>
            <w:r>
              <w:rPr>
                <w:rFonts w:hint="default" w:ascii="Times New Roman" w:hAnsi="Times New Roman" w:eastAsia="华文中宋" w:cs="Times New Roman"/>
                <w:color w:val="000000" w:themeColor="text1"/>
                <w:kern w:val="21"/>
                <w:sz w:val="24"/>
                <w:szCs w:val="24"/>
                <w:lang w:val="en-US" w:eastAsia="zh-CN"/>
                <w14:textFill>
                  <w14:solidFill>
                    <w14:schemeClr w14:val="tx1"/>
                  </w14:solidFill>
                </w14:textFill>
              </w:rPr>
              <w:t>HDPE防渗膜进行防渗，</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勘探期结束后进行回填覆盖，最后进行生态恢复。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00" w:lineRule="exact"/>
              <w:ind w:right="0" w:rightChars="0" w:firstLine="480" w:firstLineChars="200"/>
              <w:jc w:val="left"/>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2）施工人员生活污水用修建的化粪池（容积10m</w:t>
            </w:r>
            <w:r>
              <w:rPr>
                <w:rFonts w:hint="default" w:ascii="Times New Roman" w:hAnsi="Times New Roman" w:eastAsia="华文中宋"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）处理贮存，施工期生活污水定期拉运至且末县污水处理厂进行处理。</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rPr>
                <w:rFonts w:hint="default" w:ascii="Times New Roman" w:hAnsi="Times New Roman" w:eastAsia="华文中宋" w:cs="Times New Roman"/>
                <w:i w:val="0"/>
                <w:iCs w:val="0"/>
                <w:caps w:val="0"/>
                <w:color w:val="000000" w:themeColor="text1"/>
                <w:spacing w:val="0"/>
                <w:sz w:val="24"/>
                <w:szCs w:val="24"/>
                <w:shd w:val="clear" w:color="auto" w:fill="FFFFFF"/>
                <w14:textFill>
                  <w14:solidFill>
                    <w14:schemeClr w14:val="tx1"/>
                  </w14:solidFill>
                </w14:textFill>
              </w:rPr>
            </w:pPr>
            <w:r>
              <w:rPr>
                <w:rFonts w:hint="default" w:ascii="Times New Roman" w:hAnsi="Times New Roman" w:eastAsia="华文中宋" w:cs="Times New Roman"/>
                <w:i w:val="0"/>
                <w:iCs w:val="0"/>
                <w:caps w:val="0"/>
                <w:color w:val="000000" w:themeColor="text1"/>
                <w:spacing w:val="0"/>
                <w:sz w:val="24"/>
                <w:szCs w:val="24"/>
                <w:shd w:val="clear" w:color="auto" w:fill="FFFFFF"/>
                <w:lang w:val="en-US" w:eastAsia="zh-CN"/>
                <w14:textFill>
                  <w14:solidFill>
                    <w14:schemeClr w14:val="tx1"/>
                  </w14:solidFill>
                </w14:textFill>
              </w:rPr>
              <w:t>且末县生活污水处理厂位于且末县城车尔臣河东侧治沙站内，</w:t>
            </w:r>
            <w:r>
              <w:rPr>
                <w:rFonts w:hint="default" w:ascii="Times New Roman" w:hAnsi="Times New Roman" w:eastAsia="华文中宋" w:cs="Times New Roman"/>
                <w:i w:val="0"/>
                <w:iCs w:val="0"/>
                <w:caps w:val="0"/>
                <w:color w:val="000000" w:themeColor="text1"/>
                <w:spacing w:val="0"/>
                <w:sz w:val="24"/>
                <w:szCs w:val="24"/>
                <w:shd w:val="clear" w:color="auto" w:fill="FFFFFF"/>
                <w14:textFill>
                  <w14:solidFill>
                    <w14:schemeClr w14:val="tx1"/>
                  </w14:solidFill>
                </w14:textFill>
              </w:rPr>
              <w:t>一期工程于2012年8月2日通过巴州环保局审批，批复文号为：巴环控函〔2012〕574号；2015年11月25日，巴州环保局下发了同意该项目试生产的批复，批复文号为：〔2015〕498号，项目建成后，调试过程中存在较多的问题，始终不能达到《城镇污水处理厂污染物排放标准》（GB18918-2002）中一级B标准。2017年全州污水处理厂提标改造，污水处理厂出水标准必须达到《城镇污水处理厂污染物排放标准》一级A标准。</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rPr>
                <w:rFonts w:hint="default" w:ascii="Times New Roman" w:hAnsi="Times New Roman" w:eastAsia="华文中宋" w:cs="Times New Roman"/>
                <w:i w:val="0"/>
                <w:iCs w:val="0"/>
                <w:caps w:val="0"/>
                <w:color w:val="000000" w:themeColor="text1"/>
                <w:spacing w:val="0"/>
                <w:sz w:val="24"/>
                <w:szCs w:val="24"/>
                <w:shd w:val="clear" w:color="auto" w:fill="FFFFFF"/>
                <w14:textFill>
                  <w14:solidFill>
                    <w14:schemeClr w14:val="tx1"/>
                  </w14:solidFill>
                </w14:textFill>
              </w:rPr>
            </w:pPr>
            <w:r>
              <w:rPr>
                <w:rFonts w:hint="default" w:ascii="Times New Roman" w:hAnsi="Times New Roman" w:eastAsia="华文中宋" w:cs="Times New Roman"/>
                <w:i w:val="0"/>
                <w:iCs w:val="0"/>
                <w:caps w:val="0"/>
                <w:color w:val="000000" w:themeColor="text1"/>
                <w:spacing w:val="0"/>
                <w:sz w:val="24"/>
                <w:szCs w:val="24"/>
                <w:shd w:val="clear" w:color="auto" w:fill="FFFFFF"/>
                <w14:textFill>
                  <w14:solidFill>
                    <w14:schemeClr w14:val="tx1"/>
                  </w14:solidFill>
                </w14:textFill>
              </w:rPr>
              <w:t>2018年，且末县沙露水务有限公司委托中科森环企业管理（北京）有限公司编制完成了《且末县污水处理厂升级改造工程环境影响报告表》，并取得巴州生态环境局《关于且末县污水处理厂升级改造工程环境影响报告表的批复》（批复文号：环评价函〔2018〕108号），处理工艺</w:t>
            </w:r>
            <w:r>
              <w:rPr>
                <w:rFonts w:hint="default" w:ascii="Times New Roman" w:hAnsi="Times New Roman" w:eastAsia="华文中宋" w:cs="Times New Roman"/>
                <w:i w:val="0"/>
                <w:iCs w:val="0"/>
                <w:caps w:val="0"/>
                <w:color w:val="000000" w:themeColor="text1"/>
                <w:spacing w:val="0"/>
                <w:sz w:val="24"/>
                <w:szCs w:val="24"/>
                <w:shd w:val="clear" w:color="auto" w:fill="FFFFFF"/>
                <w:lang w:val="en-US" w:eastAsia="zh-CN"/>
                <w14:textFill>
                  <w14:solidFill>
                    <w14:schemeClr w14:val="tx1"/>
                  </w14:solidFill>
                </w14:textFill>
              </w:rPr>
              <w:t>为</w:t>
            </w:r>
            <w:r>
              <w:rPr>
                <w:rFonts w:hint="default" w:ascii="Times New Roman" w:hAnsi="Times New Roman" w:eastAsia="华文中宋" w:cs="Times New Roman"/>
                <w:i w:val="0"/>
                <w:iCs w:val="0"/>
                <w:caps w:val="0"/>
                <w:color w:val="000000" w:themeColor="text1"/>
                <w:spacing w:val="0"/>
                <w:sz w:val="24"/>
                <w:szCs w:val="24"/>
                <w:shd w:val="clear" w:color="auto" w:fill="FFFFFF"/>
                <w14:textFill>
                  <w14:solidFill>
                    <w14:schemeClr w14:val="tx1"/>
                  </w14:solidFill>
                </w14:textFill>
              </w:rPr>
              <w:t>预处理+生物处理+深度处理</w:t>
            </w:r>
            <w:r>
              <w:rPr>
                <w:rFonts w:hint="default" w:ascii="Times New Roman" w:hAnsi="Times New Roman" w:eastAsia="华文中宋" w:cs="Times New Roman"/>
                <w:i w:val="0"/>
                <w:iCs w:val="0"/>
                <w:caps w:val="0"/>
                <w:color w:val="000000" w:themeColor="text1"/>
                <w:spacing w:val="0"/>
                <w:sz w:val="24"/>
                <w:szCs w:val="24"/>
                <w:shd w:val="clear" w:color="auto" w:fill="FFFFFF"/>
                <w:lang w:eastAsia="zh-CN"/>
                <w14:textFill>
                  <w14:solidFill>
                    <w14:schemeClr w14:val="tx1"/>
                  </w14:solidFill>
                </w14:textFill>
              </w:rPr>
              <w:t>，</w:t>
            </w:r>
            <w:r>
              <w:rPr>
                <w:rFonts w:hint="default" w:ascii="Times New Roman" w:hAnsi="Times New Roman" w:eastAsia="华文中宋" w:cs="Times New Roman"/>
                <w:i w:val="0"/>
                <w:iCs w:val="0"/>
                <w:caps w:val="0"/>
                <w:color w:val="000000" w:themeColor="text1"/>
                <w:spacing w:val="0"/>
                <w:sz w:val="24"/>
                <w:szCs w:val="24"/>
                <w:shd w:val="clear" w:color="auto" w:fill="FFFFFF"/>
                <w14:textFill>
                  <w14:solidFill>
                    <w14:schemeClr w14:val="tx1"/>
                  </w14:solidFill>
                </w14:textFill>
              </w:rPr>
              <w:t>并于2019年委托新疆中测测试有限公司完成建设项目自主竣工环境保护验收。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华文中宋" w:cs="Times New Roman"/>
                <w:i w:val="0"/>
                <w:iCs w:val="0"/>
                <w:caps w:val="0"/>
                <w:color w:val="000000" w:themeColor="text1"/>
                <w:spacing w:val="0"/>
                <w:sz w:val="24"/>
                <w:szCs w:val="24"/>
                <w:shd w:val="clear" w:color="auto" w:fill="FFFFFF"/>
                <w14:textFill>
                  <w14:solidFill>
                    <w14:schemeClr w14:val="tx1"/>
                  </w14:solidFill>
                </w14:textFill>
              </w:rPr>
              <w:t>该污水处理厂设计处理水量</w:t>
            </w:r>
            <w:r>
              <w:rPr>
                <w:rFonts w:hint="default" w:ascii="Times New Roman" w:hAnsi="Times New Roman" w:eastAsia="华文中宋" w:cs="Times New Roman"/>
                <w:i w:val="0"/>
                <w:iCs w:val="0"/>
                <w:caps w:val="0"/>
                <w:color w:val="000000" w:themeColor="text1"/>
                <w:spacing w:val="0"/>
                <w:sz w:val="24"/>
                <w:szCs w:val="24"/>
                <w:shd w:val="clear" w:color="auto" w:fill="FFFFFF"/>
                <w:lang w:val="en-US" w:eastAsia="zh-CN"/>
                <w14:textFill>
                  <w14:solidFill>
                    <w14:schemeClr w14:val="tx1"/>
                  </w14:solidFill>
                </w14:textFill>
              </w:rPr>
              <w:t>6000</w:t>
            </w:r>
            <w:r>
              <w:rPr>
                <w:rFonts w:hint="default" w:ascii="Times New Roman" w:hAnsi="Times New Roman" w:eastAsia="华文中宋" w:cs="Times New Roman"/>
                <w:i w:val="0"/>
                <w:iCs w:val="0"/>
                <w:caps w:val="0"/>
                <w:color w:val="000000" w:themeColor="text1"/>
                <w:spacing w:val="0"/>
                <w:sz w:val="24"/>
                <w:szCs w:val="24"/>
                <w:shd w:val="clear" w:color="auto" w:fill="FFFFFF"/>
                <w14:textFill>
                  <w14:solidFill>
                    <w14:schemeClr w14:val="tx1"/>
                  </w14:solidFill>
                </w14:textFill>
              </w:rPr>
              <w:t>m</w:t>
            </w:r>
            <w:r>
              <w:rPr>
                <w:rFonts w:hint="default" w:ascii="Times New Roman" w:hAnsi="Times New Roman" w:eastAsia="华文中宋" w:cs="Times New Roman"/>
                <w:i w:val="0"/>
                <w:iCs w:val="0"/>
                <w:caps w:val="0"/>
                <w:color w:val="000000" w:themeColor="text1"/>
                <w:spacing w:val="0"/>
                <w:sz w:val="24"/>
                <w:szCs w:val="24"/>
                <w:shd w:val="clear" w:color="auto" w:fill="FFFFFF"/>
                <w:vertAlign w:val="superscript"/>
                <w14:textFill>
                  <w14:solidFill>
                    <w14:schemeClr w14:val="tx1"/>
                  </w14:solidFill>
                </w14:textFill>
              </w:rPr>
              <w:t>3</w:t>
            </w:r>
            <w:r>
              <w:rPr>
                <w:rFonts w:hint="default" w:ascii="Times New Roman" w:hAnsi="Times New Roman" w:eastAsia="华文中宋" w:cs="Times New Roman"/>
                <w:i w:val="0"/>
                <w:iCs w:val="0"/>
                <w:caps w:val="0"/>
                <w:color w:val="000000" w:themeColor="text1"/>
                <w:spacing w:val="0"/>
                <w:sz w:val="24"/>
                <w:szCs w:val="24"/>
                <w:shd w:val="clear" w:color="auto" w:fill="FFFFFF"/>
                <w14:textFill>
                  <w14:solidFill>
                    <w14:schemeClr w14:val="tx1"/>
                  </w14:solidFill>
                </w14:textFill>
              </w:rPr>
              <w:t>/d，现日处理水量</w:t>
            </w:r>
            <w:r>
              <w:rPr>
                <w:rFonts w:hint="default" w:ascii="Times New Roman" w:hAnsi="Times New Roman" w:eastAsia="华文中宋" w:cs="Times New Roman"/>
                <w:i w:val="0"/>
                <w:iCs w:val="0"/>
                <w:caps w:val="0"/>
                <w:color w:val="000000" w:themeColor="text1"/>
                <w:spacing w:val="0"/>
                <w:sz w:val="24"/>
                <w:szCs w:val="24"/>
                <w:shd w:val="clear" w:color="auto" w:fill="FFFFFF"/>
                <w:lang w:val="en-US" w:eastAsia="zh-CN"/>
                <w14:textFill>
                  <w14:solidFill>
                    <w14:schemeClr w14:val="tx1"/>
                  </w14:solidFill>
                </w14:textFill>
              </w:rPr>
              <w:t>5600</w:t>
            </w:r>
            <w:r>
              <w:rPr>
                <w:rFonts w:hint="default" w:ascii="Times New Roman" w:hAnsi="Times New Roman" w:eastAsia="华文中宋" w:cs="Times New Roman"/>
                <w:i w:val="0"/>
                <w:iCs w:val="0"/>
                <w:caps w:val="0"/>
                <w:color w:val="000000" w:themeColor="text1"/>
                <w:spacing w:val="0"/>
                <w:sz w:val="24"/>
                <w:szCs w:val="24"/>
                <w:shd w:val="clear" w:color="auto" w:fill="FFFFFF"/>
                <w14:textFill>
                  <w14:solidFill>
                    <w14:schemeClr w14:val="tx1"/>
                  </w14:solidFill>
                </w14:textFill>
              </w:rPr>
              <w:t>m</w:t>
            </w:r>
            <w:r>
              <w:rPr>
                <w:rFonts w:hint="default" w:ascii="Times New Roman" w:hAnsi="Times New Roman" w:eastAsia="华文中宋" w:cs="Times New Roman"/>
                <w:i w:val="0"/>
                <w:iCs w:val="0"/>
                <w:caps w:val="0"/>
                <w:color w:val="000000" w:themeColor="text1"/>
                <w:spacing w:val="0"/>
                <w:sz w:val="24"/>
                <w:szCs w:val="24"/>
                <w:shd w:val="clear" w:color="auto" w:fill="FFFFFF"/>
                <w:vertAlign w:val="superscript"/>
                <w14:textFill>
                  <w14:solidFill>
                    <w14:schemeClr w14:val="tx1"/>
                  </w14:solidFill>
                </w14:textFill>
              </w:rPr>
              <w:t>3</w:t>
            </w:r>
            <w:r>
              <w:rPr>
                <w:rFonts w:hint="default" w:ascii="Times New Roman" w:hAnsi="Times New Roman" w:eastAsia="华文中宋" w:cs="Times New Roman"/>
                <w:i w:val="0"/>
                <w:iCs w:val="0"/>
                <w:caps w:val="0"/>
                <w:color w:val="000000" w:themeColor="text1"/>
                <w:spacing w:val="0"/>
                <w:sz w:val="24"/>
                <w:szCs w:val="24"/>
                <w:shd w:val="clear" w:color="auto" w:fill="FFFFFF"/>
                <w14:textFill>
                  <w14:solidFill>
                    <w14:schemeClr w14:val="tx1"/>
                  </w14:solidFill>
                </w14:textFill>
              </w:rPr>
              <w:t>/d，余量0.02m</w:t>
            </w:r>
            <w:r>
              <w:rPr>
                <w:rFonts w:hint="default" w:ascii="Times New Roman" w:hAnsi="Times New Roman" w:eastAsia="华文中宋" w:cs="Times New Roman"/>
                <w:i w:val="0"/>
                <w:iCs w:val="0"/>
                <w:caps w:val="0"/>
                <w:color w:val="000000" w:themeColor="text1"/>
                <w:spacing w:val="0"/>
                <w:sz w:val="24"/>
                <w:szCs w:val="24"/>
                <w:shd w:val="clear" w:color="auto" w:fill="FFFFFF"/>
                <w:vertAlign w:val="superscript"/>
                <w14:textFill>
                  <w14:solidFill>
                    <w14:schemeClr w14:val="tx1"/>
                  </w14:solidFill>
                </w14:textFill>
              </w:rPr>
              <w:t>3</w:t>
            </w:r>
            <w:r>
              <w:rPr>
                <w:rFonts w:hint="default" w:ascii="Times New Roman" w:hAnsi="Times New Roman" w:eastAsia="华文中宋" w:cs="Times New Roman"/>
                <w:i w:val="0"/>
                <w:iCs w:val="0"/>
                <w:caps w:val="0"/>
                <w:color w:val="000000" w:themeColor="text1"/>
                <w:spacing w:val="0"/>
                <w:sz w:val="24"/>
                <w:szCs w:val="24"/>
                <w:shd w:val="clear" w:color="auto" w:fill="FFFFFF"/>
                <w14:textFill>
                  <w14:solidFill>
                    <w14:schemeClr w14:val="tx1"/>
                  </w14:solidFill>
                </w14:textFill>
              </w:rPr>
              <w:t>/d，本项目施工期生活污水产生量</w:t>
            </w:r>
            <w:r>
              <w:rPr>
                <w:rFonts w:hint="default" w:ascii="Times New Roman" w:hAnsi="Times New Roman" w:eastAsia="华文中宋" w:cs="Times New Roman"/>
                <w:i w:val="0"/>
                <w:iCs w:val="0"/>
                <w:caps w:val="0"/>
                <w:color w:val="000000" w:themeColor="text1"/>
                <w:spacing w:val="0"/>
                <w:sz w:val="24"/>
                <w:szCs w:val="24"/>
                <w:shd w:val="clear" w:color="auto" w:fill="FFFFFF"/>
                <w:lang w:val="en-US" w:eastAsia="zh-CN"/>
                <w14:textFill>
                  <w14:solidFill>
                    <w14:schemeClr w14:val="tx1"/>
                  </w14:solidFill>
                </w14:textFill>
              </w:rPr>
              <w:t>0.72</w:t>
            </w:r>
            <w:r>
              <w:rPr>
                <w:rFonts w:hint="default" w:ascii="Times New Roman" w:hAnsi="Times New Roman" w:eastAsia="华文中宋" w:cs="Times New Roman"/>
                <w:i w:val="0"/>
                <w:iCs w:val="0"/>
                <w:caps w:val="0"/>
                <w:color w:val="000000" w:themeColor="text1"/>
                <w:spacing w:val="0"/>
                <w:sz w:val="24"/>
                <w:szCs w:val="24"/>
                <w:shd w:val="clear" w:color="auto" w:fill="FFFFFF"/>
                <w14:textFill>
                  <w14:solidFill>
                    <w14:schemeClr w14:val="tx1"/>
                  </w14:solidFill>
                </w14:textFill>
              </w:rPr>
              <w:t>m</w:t>
            </w:r>
            <w:r>
              <w:rPr>
                <w:rFonts w:hint="default" w:ascii="Times New Roman" w:hAnsi="Times New Roman" w:eastAsia="华文中宋" w:cs="Times New Roman"/>
                <w:i w:val="0"/>
                <w:iCs w:val="0"/>
                <w:caps w:val="0"/>
                <w:color w:val="000000" w:themeColor="text1"/>
                <w:spacing w:val="0"/>
                <w:sz w:val="24"/>
                <w:szCs w:val="24"/>
                <w:shd w:val="clear" w:color="auto" w:fill="FFFFFF"/>
                <w:vertAlign w:val="superscript"/>
                <w14:textFill>
                  <w14:solidFill>
                    <w14:schemeClr w14:val="tx1"/>
                  </w14:solidFill>
                </w14:textFill>
              </w:rPr>
              <w:t>3</w:t>
            </w:r>
            <w:r>
              <w:rPr>
                <w:rFonts w:hint="default" w:ascii="Times New Roman" w:hAnsi="Times New Roman" w:eastAsia="华文中宋" w:cs="Times New Roman"/>
                <w:i w:val="0"/>
                <w:iCs w:val="0"/>
                <w:caps w:val="0"/>
                <w:color w:val="000000" w:themeColor="text1"/>
                <w:spacing w:val="0"/>
                <w:sz w:val="24"/>
                <w:szCs w:val="24"/>
                <w:shd w:val="clear" w:color="auto" w:fill="FFFFFF"/>
                <w14:textFill>
                  <w14:solidFill>
                    <w14:schemeClr w14:val="tx1"/>
                  </w14:solidFill>
                </w14:textFill>
              </w:rPr>
              <w:t>/d，余量足够，依托可行。</w:t>
            </w:r>
          </w:p>
          <w:p>
            <w:pPr>
              <w:pStyle w:val="16"/>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kern w:val="2"/>
                <w:sz w:val="24"/>
                <w:szCs w:val="24"/>
                <w:lang w:val="en-US" w:eastAsia="zh-CN" w:bidi="ar-SA"/>
                <w14:textFill>
                  <w14:solidFill>
                    <w14:schemeClr w14:val="tx1"/>
                  </w14:solidFill>
                </w14:textFill>
              </w:rPr>
              <w:t>综上所述，在采取上述措施后，项目产生的施工废水能够妥善处理，对周围水环境影响很小。</w:t>
            </w:r>
          </w:p>
          <w:p>
            <w:pPr>
              <w:pStyle w:val="16"/>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6、勘探期噪声环境保护措施</w:t>
            </w:r>
          </w:p>
          <w:p>
            <w:pPr>
              <w:pStyle w:val="16"/>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1）机械设备应适时维修，特别对因松动部件的振动或降低噪声部件的损坏而产生很强的噪声的设备，更应经常检查维护；</w:t>
            </w:r>
          </w:p>
          <w:p>
            <w:pPr>
              <w:pStyle w:val="16"/>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2）制定科学的施工计划，节省施工时间，尽量缩短施工周期；</w:t>
            </w:r>
          </w:p>
          <w:p>
            <w:pPr>
              <w:pStyle w:val="16"/>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24"/>
                <w:szCs w:val="24"/>
                <w:lang w:val="en-US" w:eastAsia="zh-CN"/>
                <w14:textFill>
                  <w14:solidFill>
                    <w14:schemeClr w14:val="tx1"/>
                  </w14:solidFill>
                </w14:textFill>
              </w:rPr>
              <w:t>3）合理安排施工时间。</w:t>
            </w:r>
          </w:p>
          <w:p>
            <w:pPr>
              <w:pStyle w:val="16"/>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7、固体废物防治措施</w:t>
            </w:r>
          </w:p>
          <w:p>
            <w:pPr>
              <w:bidi w:val="0"/>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（1）槽探、钻探固废</w:t>
            </w:r>
          </w:p>
          <w:p>
            <w:pPr>
              <w:bidi w:val="0"/>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槽坑表土和碎石可临时堆放槽坑两侧。土石方临时堆放时间较短，工作完成后立即回填，进行生态恢复；钻探平台搭建产生的碎石施工结束后全部回填至钻探区；本项目产生的泥浆属于一般固废，根据施工现场的实际情况设计现场泥浆池，钻探结束后</w:t>
            </w:r>
            <w:r>
              <w:rPr>
                <w:rFonts w:hint="default" w:ascii="Times New Roman" w:hAnsi="Times New Roman" w:eastAsia="华文中宋" w:cs="Times New Roman"/>
                <w:color w:val="000000" w:themeColor="text1"/>
                <w:lang w:val="en-US" w:eastAsia="zh-CN"/>
                <w14:textFill>
                  <w14:solidFill>
                    <w14:schemeClr w14:val="tx1"/>
                  </w14:solidFill>
                </w14:textFill>
              </w:rPr>
              <w:t>钻孔泥浆及沉淀池底泥自然干化后就地填埋压实</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w:t>
            </w:r>
          </w:p>
          <w:p>
            <w:pPr>
              <w:bidi w:val="0"/>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（2）生活垃圾</w:t>
            </w:r>
          </w:p>
          <w:p>
            <w:pPr>
              <w:bidi w:val="0"/>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生活垃圾采用垃圾桶集中收集后，定期拉运至且末县生活垃圾填埋场</w:t>
            </w:r>
            <w:r>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t>。</w:t>
            </w:r>
          </w:p>
          <w:p>
            <w:pPr>
              <w:bidi w:val="0"/>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t>且末县生活垃圾卫生填埋场位于距离且末县25km处的阿羌镇萨尔瓦墩，于2010年6月开工建设，2011年10月试运行，2017年底通过竣工环境保护验收。采用无害化卫生填埋处置工艺，设计处理规模70t/d，配套城乡收运体系（户分类、村收集、乡镇监管、县处理）覆盖县城及周边乡镇，现状处理量20t/d，剩余处理能力50t/d，本项目依托处理可行。</w:t>
            </w:r>
          </w:p>
          <w:p>
            <w:pPr>
              <w:bidi w:val="0"/>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t>（3）危险废物</w:t>
            </w:r>
          </w:p>
          <w:p>
            <w:pPr>
              <w:bidi w:val="0"/>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华文中宋" w:cs="Times New Roman"/>
                <w:color w:val="000000" w:themeColor="text1"/>
                <w:highlight w:val="none"/>
                <w:lang w:val="en-US" w:eastAsia="zh-CN"/>
                <w14:textFill>
                  <w14:solidFill>
                    <w14:schemeClr w14:val="tx1"/>
                  </w14:solidFill>
                </w14:textFill>
              </w:rPr>
              <w:t>勘探过程机械设备维修、</w:t>
            </w:r>
            <w:r>
              <w:rPr>
                <w:rFonts w:hint="default" w:ascii="Times New Roman" w:hAnsi="Times New Roman" w:eastAsia="华文中宋" w:cs="Times New Roman"/>
                <w:color w:val="000000" w:themeColor="text1"/>
                <w:highlight w:val="none"/>
                <w:lang w:eastAsia="zh-CN"/>
                <w14:textFill>
                  <w14:solidFill>
                    <w14:schemeClr w14:val="tx1"/>
                  </w14:solidFill>
                </w14:textFill>
              </w:rPr>
              <w:t>柴油发电机维修</w:t>
            </w:r>
            <w:r>
              <w:rPr>
                <w:rFonts w:hint="default" w:ascii="Times New Roman" w:hAnsi="Times New Roman" w:eastAsia="华文中宋" w:cs="Times New Roman"/>
                <w:color w:val="000000" w:themeColor="text1"/>
                <w:highlight w:val="none"/>
                <w:lang w:val="en-US" w:eastAsia="zh-CN"/>
                <w14:textFill>
                  <w14:solidFill>
                    <w14:schemeClr w14:val="tx1"/>
                  </w14:solidFill>
                </w14:textFill>
              </w:rPr>
              <w:t>产生</w:t>
            </w:r>
            <w:r>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t>废机油交由具有相应危废处置资质的单位负责接收、转运、处置。</w:t>
            </w:r>
          </w:p>
          <w:p>
            <w:pPr>
              <w:bidi w:val="0"/>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t>本项目设置危废暂存间，其需满足防风、防雨、防晒、防渗、防漏、防腐要求，地面设计堵截泄漏的裙脚。各类危险废物采用与其相容的包装容器贮存，其容器和包装物应满足相应的防渗、防漏、防腐和强度等要求，无破损泄漏。暂存间地面防渗材料采用抗渗混凝土、高密度聚乙烯膜、钠基膨润土防水毯或其他防渗性能等效的材料，不同危险废物之间设置隔挡，分区存放。</w:t>
            </w:r>
          </w:p>
          <w:p>
            <w:pPr>
              <w:bidi w:val="0"/>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t>危废暂存间根据《危险废物识别标志设置技术规范》（HJ1276-2022）要求设置标识标牌，注明主要贮存危废的种类、数量、危废编号等信息，贮存时间不得超过1年。收集后的危险废物定期委托有资质单位处理，按国家有关标准和规定建立危险废物管理台账并保存，制定相应危险废物管理制度，接受生态环境主管部门监督。</w:t>
            </w:r>
          </w:p>
          <w:p>
            <w:pPr>
              <w:bidi w:val="0"/>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highlight w:val="none"/>
                <w:lang w:val="en-US" w:eastAsia="zh-CN"/>
                <w14:textFill>
                  <w14:solidFill>
                    <w14:schemeClr w14:val="tx1"/>
                  </w14:solidFill>
                </w14:textFill>
              </w:rPr>
              <w:t>综上，拟建项目产生的固废采取上述分类收集、分类处置的措施后，可合理处置各类固废，并记录相应台账，各类固体废物来源去向可进行有效追溯，对周围环境影响轻微。</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8、风险防范措施</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zh-CN"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zh-CN" w:eastAsia="zh-CN"/>
                <w14:textFill>
                  <w14:solidFill>
                    <w14:schemeClr w14:val="tx1"/>
                  </w14:solidFill>
                </w14:textFill>
              </w:rPr>
              <w:t>（</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1</w:t>
            </w:r>
            <w:r>
              <w:rPr>
                <w:rFonts w:hint="default" w:ascii="Times New Roman" w:hAnsi="Times New Roman" w:eastAsia="华文中宋" w:cs="Times New Roman"/>
                <w:color w:val="000000" w:themeColor="text1"/>
                <w:sz w:val="24"/>
                <w:szCs w:val="24"/>
                <w:lang w:val="zh-CN" w:eastAsia="zh-CN"/>
                <w14:textFill>
                  <w14:solidFill>
                    <w14:schemeClr w14:val="tx1"/>
                  </w14:solidFill>
                </w14:textFill>
              </w:rPr>
              <w:t>）环境风险防范措施</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zh-CN"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zh-CN" w:eastAsia="zh-CN"/>
                <w14:textFill>
                  <w14:solidFill>
                    <w14:schemeClr w14:val="tx1"/>
                  </w14:solidFill>
                </w14:textFill>
              </w:rPr>
              <w:t>①勘探区设置专门的消防人员，做好巡检工作，防患于未然；</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zh-CN"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zh-CN" w:eastAsia="zh-CN"/>
                <w14:textFill>
                  <w14:solidFill>
                    <w14:schemeClr w14:val="tx1"/>
                  </w14:solidFill>
                </w14:textFill>
              </w:rPr>
              <w:t xml:space="preserve">②柴油储存区设置为禁火区，远离明火、禁烟； </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zh-CN"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zh-CN" w:eastAsia="zh-CN"/>
                <w14:textFill>
                  <w14:solidFill>
                    <w14:schemeClr w14:val="tx1"/>
                  </w14:solidFill>
                </w14:textFill>
              </w:rPr>
              <w:t>③加强消防安全教育培训。以创办消防知识宣传栏、开展知识竞赛等多种形式，增强全体员工的消防意识。定期组织员工学习消防法规和各种规章制度，针对岗位特点进行消防安全教育培训；</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zh-CN"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zh-CN" w:eastAsia="zh-CN"/>
                <w14:textFill>
                  <w14:solidFill>
                    <w14:schemeClr w14:val="tx1"/>
                  </w14:solidFill>
                </w14:textFill>
              </w:rPr>
              <w:t>一旦发生火灾，应立即报警，通过消防灭火；组织救援小组，封锁现场，指挥人员疏散，并组织消防力量进行自救灭火；</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④储存区设置个人防护用品，防毒面具、防护眼镜等；</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⑤加强运输过程风险管控措施，合理安排运输作业，选择天气晴朗天气进行运输，禁止大雨、大风等天气进行运输作业；</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⑥运输过程中加强运输车辆保养维护，严禁运输车辆带病作业，对运输车辆做好清洁处置，以防运输车辆表面存在油污等情况对外环境造成影响；</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⑦加强运输司机培训管理，匀速通行，严禁在此区域无故逗；</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⑧柴油运输过程要求运输加油站采取符合要求的运输罐车，严禁使用带病罐车运输；</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丘加强项目的管理工作和对职工的教育工作，使其在日常生产过程中树立良好的风险意识，提高事故自救能力，制定和强化各种安全管理，减少人为风险事故的发生。</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⑩严格执行防火、防爆、防雷击、防毒害等各项要求；按照《建筑灭火器配置设计规范》（GB 50140-2005）规定，配置相应数量的灭火器，严禁区内有明火出现。</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2）环境风险应急措施</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①合理安排平面布置，将柴油储存区与生活区宿舍等分开布置，保持一定安全距离，建设单位应做好危险废物合规性管理工作；</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②一旦发生火灾，应立即报警，通过消防灭火；组织救援小组，封锁现场，指挥人员疏散，并组织消防力量进行自救灭火。</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②矿山在发生重大事故时，立即启动公司事故应急预案，矿山负责人员有计划地向事故源上风向组织员工撤离和疏散，并由公司警卫人员维持秩序，避免人为因素导致事故情况的扩大。根据事故情况，由矿山负责人逐级向且末县政府部门及时上报事故情形。</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9、探矿期完成后所采取保护措施</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本项目为矿产勘探项目，勘探工作完成后对勘探孔进行封闭处置，当勘探矿山具有开采利用价值时，将勘探期建成的钻孔临时封闭，当勘探矿山不具备开发利用价值时，采取永久封闭措施。按照《矿山生态环境保护与恢复治理技术规范（试行）》进行复垦措施。</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（1）根据“谁破坏，谁复垦”的原则和矿区开采计划，将土地复垦纳入各年度生产计划，并设专人负责土地复垦工作，及时协调土地复垦中各部门之间关系，保证按计划完成复垦任务。</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（2）在平整过的治理区地表上覆盖黄土，封闭地表裂隙并辅以机械压实。并对治理区覆盖面进行复垦回填措施，保证生态环境的恢复。</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（3）对勘探孔作业区进行迹地恢复，对区域植被等进行恢复治理。</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（4）进一步加强土地复垦工作的宣传教育，提高企业职工群众珍惜土地资源和保护生态环境的意识，自觉做好土地复垦工作，保证矿区的经济与社会可持续发展。</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center"/>
              <w:textAlignment w:val="auto"/>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表5-1</w:t>
            </w:r>
            <w:r>
              <w:rPr>
                <w:rFonts w:hint="eastAsia" w:ascii="Times New Roman" w:hAnsi="Times New Roman" w:eastAsia="华文中宋"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 xml:space="preserve">  勘探区生态整治措施</w:t>
            </w:r>
          </w:p>
          <w:tbl>
            <w:tblPr>
              <w:tblStyle w:val="2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2601"/>
              <w:gridCol w:w="662"/>
              <w:gridCol w:w="636"/>
              <w:gridCol w:w="974"/>
              <w:gridCol w:w="1135"/>
              <w:gridCol w:w="1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5"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序号</w:t>
                  </w:r>
                </w:p>
              </w:tc>
              <w:tc>
                <w:tcPr>
                  <w:tcW w:w="1583"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生态保护措施要求</w:t>
                  </w:r>
                </w:p>
              </w:tc>
              <w:tc>
                <w:tcPr>
                  <w:tcW w:w="403"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实施</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部位</w:t>
                  </w:r>
                </w:p>
              </w:tc>
              <w:tc>
                <w:tcPr>
                  <w:tcW w:w="387"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实施</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时间</w:t>
                  </w:r>
                </w:p>
              </w:tc>
              <w:tc>
                <w:tcPr>
                  <w:tcW w:w="593"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责任主体</w:t>
                  </w:r>
                </w:p>
              </w:tc>
              <w:tc>
                <w:tcPr>
                  <w:tcW w:w="691"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实施保障</w:t>
                  </w:r>
                </w:p>
              </w:tc>
              <w:tc>
                <w:tcPr>
                  <w:tcW w:w="1066"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实施效果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5"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1</w:t>
                  </w:r>
                </w:p>
              </w:tc>
              <w:tc>
                <w:tcPr>
                  <w:tcW w:w="1583"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及时办理土地征用手续。</w:t>
                  </w:r>
                </w:p>
              </w:tc>
              <w:tc>
                <w:tcPr>
                  <w:tcW w:w="403" w:type="pct"/>
                  <w:vMerge w:val="restar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项目所有区域</w:t>
                  </w:r>
                </w:p>
              </w:tc>
              <w:tc>
                <w:tcPr>
                  <w:tcW w:w="387"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开工前</w:t>
                  </w:r>
                </w:p>
              </w:tc>
              <w:tc>
                <w:tcPr>
                  <w:tcW w:w="593"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建设单位</w:t>
                  </w:r>
                </w:p>
              </w:tc>
              <w:tc>
                <w:tcPr>
                  <w:tcW w:w="691" w:type="pct"/>
                  <w:vMerge w:val="restar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①建立环境管理机构，配备专职或兼职环保管理人员；</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②制定相关方环境管理条例、质量管理规定；</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③加强环境监理，开展经常性检查、监督，发现问题及时解决、纠正。</w:t>
                  </w:r>
                </w:p>
              </w:tc>
              <w:tc>
                <w:tcPr>
                  <w:tcW w:w="1066"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取得临时用地手续。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5"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2</w:t>
                  </w:r>
                </w:p>
              </w:tc>
              <w:tc>
                <w:tcPr>
                  <w:tcW w:w="1583"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尽量减少占地、控制施工范围、减少扰动面积，作业区四周设置彩带控制作业范围。</w:t>
                  </w:r>
                </w:p>
              </w:tc>
              <w:tc>
                <w:tcPr>
                  <w:tcW w:w="403"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387" w:type="pct"/>
                  <w:vMerge w:val="restar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全部施工期</w:t>
                  </w:r>
                </w:p>
              </w:tc>
              <w:tc>
                <w:tcPr>
                  <w:tcW w:w="593" w:type="pct"/>
                  <w:vMerge w:val="restar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施工单位</w:t>
                  </w:r>
                </w:p>
              </w:tc>
              <w:tc>
                <w:tcPr>
                  <w:tcW w:w="691"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1066"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划定施工作业范围，将施工占地控制在最小范围。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5"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3</w:t>
                  </w:r>
                </w:p>
              </w:tc>
              <w:tc>
                <w:tcPr>
                  <w:tcW w:w="1583"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开挖回填、同时采取拦护等措施。</w:t>
                  </w:r>
                </w:p>
              </w:tc>
              <w:tc>
                <w:tcPr>
                  <w:tcW w:w="403"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387"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593"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691"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1066" w:type="pct"/>
                  <w:vMerge w:val="restar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减少土壤养分的流失，恢复土壤肥力和土壤理化性质，使土壤受影响程度最低。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75"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4</w:t>
                  </w:r>
                </w:p>
              </w:tc>
              <w:tc>
                <w:tcPr>
                  <w:tcW w:w="1583"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减少地表开挖裸露时间、避开大风天气施工、及时进行迹地恢复等。</w:t>
                  </w:r>
                </w:p>
              </w:tc>
              <w:tc>
                <w:tcPr>
                  <w:tcW w:w="403"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387"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593"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691"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1066"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75"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5</w:t>
                  </w:r>
                </w:p>
              </w:tc>
              <w:tc>
                <w:tcPr>
                  <w:tcW w:w="1583"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加强宣传教育，设置环保宣传牌</w:t>
                  </w:r>
                </w:p>
              </w:tc>
              <w:tc>
                <w:tcPr>
                  <w:tcW w:w="403"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387"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593"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691"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1066"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避免发生施工人员随意惊吓、捕猎、宰杀野生动物，踩踏、破坏植被的现象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75"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6</w:t>
                  </w:r>
                </w:p>
              </w:tc>
              <w:tc>
                <w:tcPr>
                  <w:tcW w:w="1583"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钻孔平台处铺设HDPE防渗膜的防渗沉淀池</w:t>
                  </w:r>
                </w:p>
              </w:tc>
              <w:tc>
                <w:tcPr>
                  <w:tcW w:w="403"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钻孔平台</w:t>
                  </w:r>
                </w:p>
              </w:tc>
              <w:tc>
                <w:tcPr>
                  <w:tcW w:w="387" w:type="pct"/>
                  <w:vMerge w:val="restar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开工时</w:t>
                  </w:r>
                </w:p>
              </w:tc>
              <w:tc>
                <w:tcPr>
                  <w:tcW w:w="593"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691"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1066" w:type="pct"/>
                  <w:vMerge w:val="restar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避免造成区域地下水和土壤污染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75"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7</w:t>
                  </w:r>
                </w:p>
              </w:tc>
              <w:tc>
                <w:tcPr>
                  <w:tcW w:w="1583"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化粪池采用抗渗混凝土型式建设，定期拉运处置。</w:t>
                  </w:r>
                </w:p>
              </w:tc>
              <w:tc>
                <w:tcPr>
                  <w:tcW w:w="403"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生活区</w:t>
                  </w:r>
                </w:p>
              </w:tc>
              <w:tc>
                <w:tcPr>
                  <w:tcW w:w="387"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593"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691"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1066"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275"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8</w:t>
                  </w:r>
                </w:p>
              </w:tc>
              <w:tc>
                <w:tcPr>
                  <w:tcW w:w="1583"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占地范围内清理平整，恢复地貌。</w:t>
                  </w:r>
                </w:p>
              </w:tc>
              <w:tc>
                <w:tcPr>
                  <w:tcW w:w="403"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387"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施工</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后期</w:t>
                  </w:r>
                </w:p>
              </w:tc>
              <w:tc>
                <w:tcPr>
                  <w:tcW w:w="593"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691" w:type="pct"/>
                  <w:vMerge w:val="continue"/>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p>
              </w:tc>
              <w:tc>
                <w:tcPr>
                  <w:tcW w:w="1066" w:type="pct"/>
                  <w:tcBorders>
                    <w:tl2br w:val="nil"/>
                    <w:tr2bl w:val="nil"/>
                  </w:tcBorders>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72" w:leftChars="-30" w:right="-72" w:rightChars="-30"/>
                    <w:jc w:val="center"/>
                    <w:textAlignment w:val="auto"/>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华文中宋" w:cs="Times New Roman"/>
                      <w:color w:val="000000" w:themeColor="text1"/>
                      <w:sz w:val="18"/>
                      <w:szCs w:val="18"/>
                      <w:vertAlign w:val="baseline"/>
                      <w:lang w:val="en-US" w:eastAsia="zh-CN"/>
                      <w14:textFill>
                        <w14:solidFill>
                          <w14:schemeClr w14:val="tx1"/>
                        </w14:solidFill>
                      </w14:textFill>
                    </w:rPr>
                    <w:t>施工后做到工完料净场地清。</w:t>
                  </w:r>
                </w:p>
              </w:tc>
            </w:tr>
          </w:tbl>
          <w:p>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753" w:type="dxa"/>
            <w:noWrap w:val="0"/>
            <w:tcMar>
              <w:left w:w="28" w:type="dxa"/>
              <w:right w:w="28" w:type="dxa"/>
            </w:tcMar>
            <w:vAlign w:val="center"/>
          </w:tcPr>
          <w:p>
            <w:pPr>
              <w:adjustRightInd w:val="0"/>
              <w:snapToGrid w:val="0"/>
              <w:spacing w:line="240" w:lineRule="auto"/>
              <w:ind w:left="0" w:leftChars="0" w:firstLine="0" w:firstLineChars="0"/>
              <w:jc w:val="both"/>
              <w:rPr>
                <w:rFonts w:hint="default" w:ascii="Times New Roman" w:hAnsi="Times New Roman" w:eastAsia="华文中宋" w:cs="Times New Roman"/>
                <w:bCs/>
                <w:color w:val="000000" w:themeColor="text1"/>
                <w:spacing w:val="10"/>
                <w:sz w:val="24"/>
                <w:szCs w:val="24"/>
                <w14:textFill>
                  <w14:solidFill>
                    <w14:schemeClr w14:val="tx1"/>
                  </w14:solidFill>
                </w14:textFill>
              </w:rPr>
            </w:pPr>
            <w:r>
              <w:rPr>
                <w:rFonts w:hint="default" w:ascii="Times New Roman" w:hAnsi="Times New Roman" w:eastAsia="华文中宋" w:cs="Times New Roman"/>
                <w:bCs/>
                <w:color w:val="000000" w:themeColor="text1"/>
                <w:spacing w:val="10"/>
                <w:sz w:val="24"/>
                <w:szCs w:val="24"/>
                <w14:textFill>
                  <w14:solidFill>
                    <w14:schemeClr w14:val="tx1"/>
                  </w14:solidFill>
                </w14:textFill>
              </w:rPr>
              <w:t>运营期生态环境保护措施</w:t>
            </w:r>
          </w:p>
        </w:tc>
        <w:tc>
          <w:tcPr>
            <w:tcW w:w="8457" w:type="dxa"/>
            <w:noWrap w:val="0"/>
            <w:vAlign w:val="top"/>
          </w:tcPr>
          <w:p>
            <w:pPr>
              <w:bidi w:val="0"/>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lang w:val="en-US" w:eastAsia="zh-CN"/>
                <w14:textFill>
                  <w14:solidFill>
                    <w14:schemeClr w14:val="tx1"/>
                  </w14:solidFill>
                </w14:textFill>
              </w:rPr>
              <w:t>本项目为矿产资源勘探项目，无运营期。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2" w:hRule="atLeast"/>
          <w:jc w:val="center"/>
        </w:trPr>
        <w:tc>
          <w:tcPr>
            <w:tcW w:w="753" w:type="dxa"/>
            <w:noWrap w:val="0"/>
            <w:vAlign w:val="center"/>
          </w:tcPr>
          <w:p>
            <w:pPr>
              <w:adjustRightInd w:val="0"/>
              <w:snapToGrid w:val="0"/>
              <w:ind w:left="0" w:leftChars="0" w:firstLine="0" w:firstLineChars="0"/>
              <w:jc w:val="both"/>
              <w:rPr>
                <w:rFonts w:hint="default" w:ascii="Times New Roman" w:hAnsi="Times New Roman" w:eastAsia="华文中宋" w:cs="Times New Roman"/>
                <w:bCs/>
                <w:color w:val="000000" w:themeColor="text1"/>
                <w:spacing w:val="10"/>
                <w:szCs w:val="21"/>
                <w14:textFill>
                  <w14:solidFill>
                    <w14:schemeClr w14:val="tx1"/>
                  </w14:solidFill>
                </w14:textFill>
              </w:rPr>
            </w:pPr>
            <w:r>
              <w:rPr>
                <w:rFonts w:hint="default" w:ascii="Times New Roman" w:hAnsi="Times New Roman" w:eastAsia="华文中宋" w:cs="Times New Roman"/>
                <w:bCs/>
                <w:color w:val="000000" w:themeColor="text1"/>
                <w:sz w:val="24"/>
                <w:szCs w:val="24"/>
                <w14:textFill>
                  <w14:solidFill>
                    <w14:schemeClr w14:val="tx1"/>
                  </w14:solidFill>
                </w14:textFill>
              </w:rPr>
              <w:t>其他</w:t>
            </w:r>
          </w:p>
        </w:tc>
        <w:tc>
          <w:tcPr>
            <w:tcW w:w="8457" w:type="dxa"/>
            <w:noWrap w:val="0"/>
            <w:vAlign w:val="top"/>
          </w:tcPr>
          <w:p>
            <w:pPr>
              <w:pStyle w:val="71"/>
              <w:keepNext w:val="0"/>
              <w:keepLines w:val="0"/>
              <w:pageBreakBefore w:val="0"/>
              <w:kinsoku/>
              <w:wordWrap/>
              <w:overflowPunct/>
              <w:topLinePunct w:val="0"/>
              <w:autoSpaceDE/>
              <w:autoSpaceDN/>
              <w:bidi w:val="0"/>
              <w:adjustRightInd/>
              <w:snapToGrid/>
              <w:spacing w:after="0" w:afterLines="0" w:line="500" w:lineRule="exact"/>
              <w:ind w:firstLine="420" w:firstLineChars="200"/>
              <w:textAlignment w:val="auto"/>
              <w:rPr>
                <w:rFonts w:hint="default" w:ascii="Times New Roman" w:hAnsi="Times New Roman" w:eastAsia="华文中宋" w:cs="Times New Roman"/>
                <w:color w:val="000000" w:themeColor="text1"/>
                <w:sz w:val="24"/>
                <w:szCs w:val="24"/>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1、</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勘探</w:t>
            </w:r>
            <w:r>
              <w:rPr>
                <w:rFonts w:hint="default" w:ascii="Times New Roman" w:hAnsi="Times New Roman" w:eastAsia="华文中宋" w:cs="Times New Roman"/>
                <w:color w:val="000000" w:themeColor="text1"/>
                <w:sz w:val="24"/>
                <w:szCs w:val="24"/>
                <w14:textFill>
                  <w14:solidFill>
                    <w14:schemeClr w14:val="tx1"/>
                  </w14:solidFill>
                </w14:textFill>
              </w:rPr>
              <w:t>期环境监测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华文中宋" w:cs="Times New Roman"/>
                <w:color w:val="000000" w:themeColor="text1"/>
                <w:sz w:val="24"/>
                <w:szCs w:val="24"/>
                <w:lang w:val="en-US" w:eastAsia="zh-CN"/>
                <w14:textFill>
                  <w14:solidFill>
                    <w14:schemeClr w14:val="tx1"/>
                  </w14:solidFill>
                </w14:textFill>
              </w:rPr>
            </w:pP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勘探</w:t>
            </w:r>
            <w:r>
              <w:rPr>
                <w:rFonts w:hint="default" w:ascii="Times New Roman" w:hAnsi="Times New Roman" w:eastAsia="华文中宋" w:cs="Times New Roman"/>
                <w:color w:val="000000" w:themeColor="text1"/>
                <w:sz w:val="24"/>
                <w:szCs w:val="24"/>
                <w14:textFill>
                  <w14:solidFill>
                    <w14:schemeClr w14:val="tx1"/>
                  </w14:solidFill>
                </w14:textFill>
              </w:rPr>
              <w:t>期环境监测工作委托有资质的监测单位承担。工程施工可能对施工区大气环境、声环境、生态环境产生不利影响。因此，为了对不利影响产生的范围及程度进行调查，需要对其进行监测。本工程因涉及范围较广，但环境影响问题简单，不必设置专门的环境保护机构，但应有专职或兼职管理人员负责环境监测计划的实施。为便于</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勘探</w:t>
            </w:r>
            <w:r>
              <w:rPr>
                <w:rFonts w:hint="default" w:ascii="Times New Roman" w:hAnsi="Times New Roman" w:eastAsia="华文中宋" w:cs="Times New Roman"/>
                <w:color w:val="000000" w:themeColor="text1"/>
                <w:sz w:val="24"/>
                <w:szCs w:val="24"/>
                <w14:textFill>
                  <w14:solidFill>
                    <w14:schemeClr w14:val="tx1"/>
                  </w14:solidFill>
                </w14:textFill>
              </w:rPr>
              <w:t>管理及满足工程竣工验收要求，本工程</w:t>
            </w:r>
            <w:r>
              <w:rPr>
                <w:rFonts w:hint="default" w:ascii="Times New Roman" w:hAnsi="Times New Roman" w:eastAsia="华文中宋" w:cs="Times New Roman"/>
                <w:color w:val="000000" w:themeColor="text1"/>
                <w:sz w:val="24"/>
                <w:szCs w:val="24"/>
                <w:lang w:eastAsia="zh-CN"/>
                <w14:textFill>
                  <w14:solidFill>
                    <w14:schemeClr w14:val="tx1"/>
                  </w14:solidFill>
                </w14:textFill>
              </w:rPr>
              <w:t>勘探</w:t>
            </w:r>
            <w:r>
              <w:rPr>
                <w:rFonts w:hint="default" w:ascii="Times New Roman" w:hAnsi="Times New Roman" w:eastAsia="华文中宋" w:cs="Times New Roman"/>
                <w:color w:val="000000" w:themeColor="text1"/>
                <w:sz w:val="24"/>
                <w:szCs w:val="24"/>
                <w14:textFill>
                  <w14:solidFill>
                    <w14:schemeClr w14:val="tx1"/>
                  </w14:solidFill>
                </w14:textFill>
              </w:rPr>
              <w:t>期监测计划见下表。</w:t>
            </w:r>
            <w:r>
              <w:rPr>
                <w:rFonts w:hint="default" w:ascii="Times New Roman" w:hAnsi="Times New Roman" w:eastAsia="华文中宋" w:cs="Times New Roman"/>
                <w:color w:val="000000" w:themeColor="text1"/>
                <w:sz w:val="24"/>
                <w:szCs w:val="24"/>
                <w:lang w:val="en-US" w:eastAsia="zh-CN"/>
                <w14:textFill>
                  <w14:solidFill>
                    <w14:schemeClr w14:val="tx1"/>
                  </w14:solidFill>
                </w14:textFill>
              </w:rPr>
              <w:t xml:space="preserve"> </w:t>
            </w:r>
          </w:p>
          <w:p>
            <w:pPr>
              <w:spacing w:line="240" w:lineRule="auto"/>
              <w:ind w:firstLine="2643" w:firstLineChars="1100"/>
              <w:jc w:val="both"/>
              <w:rPr>
                <w:rFonts w:hint="default" w:ascii="Times New Roman" w:hAnsi="Times New Roman" w:eastAsia="华文中宋" w:cs="Times New Roman"/>
                <w:b/>
                <w:bCs/>
                <w:color w:val="000000" w:themeColor="text1"/>
                <w:sz w:val="24"/>
                <w:szCs w:val="24"/>
                <w14:textFill>
                  <w14:solidFill>
                    <w14:schemeClr w14:val="tx1"/>
                  </w14:solidFill>
                </w14:textFill>
              </w:rPr>
            </w:pPr>
            <w:r>
              <w:rPr>
                <w:rFonts w:hint="default" w:ascii="Times New Roman" w:hAnsi="Times New Roman" w:eastAsia="华文中宋" w:cs="Times New Roman"/>
                <w:b/>
                <w:bCs/>
                <w:color w:val="000000" w:themeColor="text1"/>
                <w:sz w:val="24"/>
                <w:szCs w:val="24"/>
                <w14:textFill>
                  <w14:solidFill>
                    <w14:schemeClr w14:val="tx1"/>
                  </w14:solidFill>
                </w14:textFill>
              </w:rPr>
              <w:t>表</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5-2</w:t>
            </w:r>
            <w:r>
              <w:rPr>
                <w:rFonts w:hint="default" w:ascii="Times New Roman" w:hAnsi="Times New Roman" w:eastAsia="华文中宋" w:cs="Times New Roman"/>
                <w:b/>
                <w:bCs/>
                <w:color w:val="000000" w:themeColor="text1"/>
                <w:sz w:val="24"/>
                <w:szCs w:val="24"/>
                <w14:textFill>
                  <w14:solidFill>
                    <w14:schemeClr w14:val="tx1"/>
                  </w14:solidFill>
                </w14:textFill>
              </w:rPr>
              <w:t xml:space="preserve">  </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华文中宋" w:cs="Times New Roman"/>
                <w:b/>
                <w:bCs/>
                <w:color w:val="000000" w:themeColor="text1"/>
                <w:sz w:val="24"/>
                <w:szCs w:val="24"/>
                <w14:textFill>
                  <w14:solidFill>
                    <w14:schemeClr w14:val="tx1"/>
                  </w14:solidFill>
                </w14:textFill>
              </w:rPr>
              <w:t xml:space="preserve"> </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勘探</w:t>
            </w:r>
            <w:r>
              <w:rPr>
                <w:rFonts w:hint="default" w:ascii="Times New Roman" w:hAnsi="Times New Roman" w:eastAsia="华文中宋" w:cs="Times New Roman"/>
                <w:b/>
                <w:bCs/>
                <w:color w:val="000000" w:themeColor="text1"/>
                <w:sz w:val="24"/>
                <w:szCs w:val="24"/>
                <w14:textFill>
                  <w14:solidFill>
                    <w14:schemeClr w14:val="tx1"/>
                  </w14:solidFill>
                </w14:textFill>
              </w:rPr>
              <w:t>期环境监测计划</w:t>
            </w:r>
          </w:p>
          <w:tbl>
            <w:tblPr>
              <w:tblStyle w:val="29"/>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292"/>
              <w:gridCol w:w="1680"/>
              <w:gridCol w:w="2887"/>
              <w:gridCol w:w="15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pct"/>
                  <w:gridSpan w:val="2"/>
                  <w:tcBorders>
                    <w:tl2br w:val="nil"/>
                    <w:tr2bl w:val="nil"/>
                  </w:tcBorders>
                  <w:noWrap w:val="0"/>
                  <w:vAlign w:val="center"/>
                </w:tcPr>
                <w:p>
                  <w:pPr>
                    <w:pStyle w:val="70"/>
                    <w:keepNext w:val="0"/>
                    <w:keepLines w:val="0"/>
                    <w:pageBreakBefore w:val="0"/>
                    <w:widowControl w:val="0"/>
                    <w:kinsoku/>
                    <w:wordWrap/>
                    <w:overflowPunct w:val="0"/>
                    <w:topLinePunct/>
                    <w:autoSpaceDE/>
                    <w:autoSpaceDN w:val="0"/>
                    <w:bidi w:val="0"/>
                    <w:adjustRightInd w:val="0"/>
                    <w:snapToGrid w:val="0"/>
                    <w:spacing w:line="240" w:lineRule="auto"/>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bookmarkStart w:id="35" w:name="OLE_LINK59"/>
                  <w:r>
                    <w:rPr>
                      <w:rFonts w:hint="default" w:ascii="Times New Roman" w:hAnsi="Times New Roman" w:eastAsia="华文中宋" w:cs="Times New Roman"/>
                      <w:color w:val="000000" w:themeColor="text1"/>
                      <w:sz w:val="21"/>
                      <w:szCs w:val="21"/>
                      <w14:textFill>
                        <w14:solidFill>
                          <w14:schemeClr w14:val="tx1"/>
                        </w14:solidFill>
                      </w14:textFill>
                    </w:rPr>
                    <w:t>监测项目</w:t>
                  </w:r>
                </w:p>
              </w:tc>
              <w:tc>
                <w:tcPr>
                  <w:tcW w:w="1023" w:type="pct"/>
                  <w:tcBorders>
                    <w:tl2br w:val="nil"/>
                    <w:tr2bl w:val="nil"/>
                  </w:tcBorders>
                  <w:noWrap w:val="0"/>
                  <w:vAlign w:val="center"/>
                </w:tcPr>
                <w:p>
                  <w:pPr>
                    <w:pStyle w:val="70"/>
                    <w:keepNext w:val="0"/>
                    <w:keepLines w:val="0"/>
                    <w:pageBreakBefore w:val="0"/>
                    <w:widowControl w:val="0"/>
                    <w:kinsoku/>
                    <w:wordWrap/>
                    <w:overflowPunct w:val="0"/>
                    <w:topLinePunct/>
                    <w:autoSpaceDE/>
                    <w:autoSpaceDN w:val="0"/>
                    <w:bidi w:val="0"/>
                    <w:adjustRightInd w:val="0"/>
                    <w:snapToGrid w:val="0"/>
                    <w:spacing w:line="240" w:lineRule="auto"/>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监测点位</w:t>
                  </w:r>
                </w:p>
              </w:tc>
              <w:tc>
                <w:tcPr>
                  <w:tcW w:w="1758" w:type="pct"/>
                  <w:tcBorders>
                    <w:tl2br w:val="nil"/>
                    <w:tr2bl w:val="nil"/>
                  </w:tcBorders>
                  <w:noWrap w:val="0"/>
                  <w:vAlign w:val="center"/>
                </w:tcPr>
                <w:p>
                  <w:pPr>
                    <w:pStyle w:val="70"/>
                    <w:keepNext w:val="0"/>
                    <w:keepLines w:val="0"/>
                    <w:pageBreakBefore w:val="0"/>
                    <w:widowControl w:val="0"/>
                    <w:kinsoku/>
                    <w:wordWrap/>
                    <w:overflowPunct w:val="0"/>
                    <w:topLinePunct/>
                    <w:autoSpaceDE/>
                    <w:autoSpaceDN w:val="0"/>
                    <w:bidi w:val="0"/>
                    <w:adjustRightInd w:val="0"/>
                    <w:snapToGrid w:val="0"/>
                    <w:spacing w:line="240" w:lineRule="auto"/>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监测时间、频率</w:t>
                  </w:r>
                </w:p>
              </w:tc>
              <w:tc>
                <w:tcPr>
                  <w:tcW w:w="946" w:type="pct"/>
                  <w:tcBorders>
                    <w:tl2br w:val="nil"/>
                    <w:tr2bl w:val="nil"/>
                  </w:tcBorders>
                  <w:noWrap w:val="0"/>
                  <w:vAlign w:val="center"/>
                </w:tcPr>
                <w:p>
                  <w:pPr>
                    <w:pStyle w:val="70"/>
                    <w:keepNext w:val="0"/>
                    <w:keepLines w:val="0"/>
                    <w:pageBreakBefore w:val="0"/>
                    <w:widowControl w:val="0"/>
                    <w:kinsoku/>
                    <w:wordWrap/>
                    <w:overflowPunct w:val="0"/>
                    <w:topLinePunct/>
                    <w:autoSpaceDE/>
                    <w:autoSpaceDN w:val="0"/>
                    <w:bidi w:val="0"/>
                    <w:adjustRightInd w:val="0"/>
                    <w:snapToGrid w:val="0"/>
                    <w:spacing w:line="240" w:lineRule="auto"/>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实施机构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84" w:type="pct"/>
                  <w:vMerge w:val="restart"/>
                  <w:tcBorders>
                    <w:tl2br w:val="nil"/>
                    <w:tr2bl w:val="nil"/>
                  </w:tcBorders>
                  <w:noWrap w:val="0"/>
                  <w:vAlign w:val="center"/>
                </w:tcPr>
                <w:p>
                  <w:pPr>
                    <w:pStyle w:val="70"/>
                    <w:keepNext w:val="0"/>
                    <w:keepLines w:val="0"/>
                    <w:pageBreakBefore w:val="0"/>
                    <w:widowControl w:val="0"/>
                    <w:kinsoku/>
                    <w:wordWrap/>
                    <w:overflowPunct w:val="0"/>
                    <w:topLinePunct/>
                    <w:autoSpaceDE/>
                    <w:autoSpaceDN w:val="0"/>
                    <w:bidi w:val="0"/>
                    <w:adjustRightInd w:val="0"/>
                    <w:snapToGrid w:val="0"/>
                    <w:spacing w:line="240" w:lineRule="auto"/>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勘探期</w:t>
                  </w:r>
                </w:p>
              </w:tc>
              <w:tc>
                <w:tcPr>
                  <w:tcW w:w="786" w:type="pct"/>
                  <w:tcBorders>
                    <w:tl2br w:val="nil"/>
                    <w:tr2bl w:val="nil"/>
                  </w:tcBorders>
                  <w:noWrap w:val="0"/>
                  <w:vAlign w:val="center"/>
                </w:tcPr>
                <w:p>
                  <w:pPr>
                    <w:pStyle w:val="70"/>
                    <w:keepNext w:val="0"/>
                    <w:keepLines w:val="0"/>
                    <w:pageBreakBefore w:val="0"/>
                    <w:widowControl w:val="0"/>
                    <w:kinsoku/>
                    <w:wordWrap/>
                    <w:overflowPunct w:val="0"/>
                    <w:topLinePunct/>
                    <w:autoSpaceDE/>
                    <w:autoSpaceDN w:val="0"/>
                    <w:bidi w:val="0"/>
                    <w:adjustRightInd w:val="0"/>
                    <w:snapToGrid w:val="0"/>
                    <w:spacing w:line="240" w:lineRule="auto"/>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施工噪声</w:t>
                  </w:r>
                </w:p>
              </w:tc>
              <w:tc>
                <w:tcPr>
                  <w:tcW w:w="1023" w:type="pct"/>
                  <w:tcBorders>
                    <w:tl2br w:val="nil"/>
                    <w:tr2bl w:val="nil"/>
                  </w:tcBorders>
                  <w:noWrap w:val="0"/>
                  <w:vAlign w:val="center"/>
                </w:tcPr>
                <w:p>
                  <w:pPr>
                    <w:pStyle w:val="70"/>
                    <w:keepNext w:val="0"/>
                    <w:keepLines w:val="0"/>
                    <w:pageBreakBefore w:val="0"/>
                    <w:widowControl w:val="0"/>
                    <w:kinsoku/>
                    <w:wordWrap/>
                    <w:overflowPunct w:val="0"/>
                    <w:topLinePunct/>
                    <w:autoSpaceDE/>
                    <w:autoSpaceDN w:val="0"/>
                    <w:bidi w:val="0"/>
                    <w:adjustRightInd w:val="0"/>
                    <w:snapToGrid w:val="0"/>
                    <w:spacing w:line="240" w:lineRule="auto"/>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施工边界</w:t>
                  </w:r>
                </w:p>
              </w:tc>
              <w:tc>
                <w:tcPr>
                  <w:tcW w:w="1758" w:type="pct"/>
                  <w:tcBorders>
                    <w:tl2br w:val="nil"/>
                    <w:tr2bl w:val="nil"/>
                  </w:tcBorders>
                  <w:noWrap w:val="0"/>
                  <w:vAlign w:val="center"/>
                </w:tcPr>
                <w:p>
                  <w:pPr>
                    <w:pStyle w:val="70"/>
                    <w:keepNext w:val="0"/>
                    <w:keepLines w:val="0"/>
                    <w:pageBreakBefore w:val="0"/>
                    <w:widowControl w:val="0"/>
                    <w:kinsoku/>
                    <w:wordWrap/>
                    <w:overflowPunct w:val="0"/>
                    <w:topLinePunct/>
                    <w:autoSpaceDE/>
                    <w:autoSpaceDN w:val="0"/>
                    <w:bidi w:val="0"/>
                    <w:adjustRightInd w:val="0"/>
                    <w:snapToGrid w:val="0"/>
                    <w:spacing w:line="240" w:lineRule="auto"/>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施工期一次，监测昼夜噪声</w:t>
                  </w:r>
                </w:p>
              </w:tc>
              <w:tc>
                <w:tcPr>
                  <w:tcW w:w="946" w:type="pct"/>
                  <w:vMerge w:val="restart"/>
                  <w:tcBorders>
                    <w:tl2br w:val="nil"/>
                    <w:tr2bl w:val="nil"/>
                  </w:tcBorders>
                  <w:noWrap w:val="0"/>
                  <w:vAlign w:val="center"/>
                </w:tcPr>
                <w:p>
                  <w:pPr>
                    <w:pStyle w:val="70"/>
                    <w:keepNext w:val="0"/>
                    <w:keepLines w:val="0"/>
                    <w:pageBreakBefore w:val="0"/>
                    <w:widowControl w:val="0"/>
                    <w:kinsoku/>
                    <w:wordWrap/>
                    <w:overflowPunct w:val="0"/>
                    <w:topLinePunct/>
                    <w:autoSpaceDE/>
                    <w:autoSpaceDN w:val="0"/>
                    <w:bidi w:val="0"/>
                    <w:adjustRightInd w:val="0"/>
                    <w:snapToGrid w:val="0"/>
                    <w:spacing w:line="240" w:lineRule="auto"/>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委托有资质机构监测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84" w:type="pct"/>
                  <w:vMerge w:val="continue"/>
                  <w:tcBorders>
                    <w:tl2br w:val="nil"/>
                    <w:tr2bl w:val="nil"/>
                  </w:tcBorders>
                  <w:noWrap w:val="0"/>
                  <w:vAlign w:val="center"/>
                </w:tcPr>
                <w:p>
                  <w:pPr>
                    <w:pStyle w:val="70"/>
                    <w:keepNext w:val="0"/>
                    <w:keepLines w:val="0"/>
                    <w:pageBreakBefore w:val="0"/>
                    <w:widowControl w:val="0"/>
                    <w:kinsoku/>
                    <w:wordWrap/>
                    <w:overflowPunct w:val="0"/>
                    <w:topLinePunct/>
                    <w:autoSpaceDE/>
                    <w:autoSpaceDN w:val="0"/>
                    <w:bidi w:val="0"/>
                    <w:adjustRightInd w:val="0"/>
                    <w:snapToGrid w:val="0"/>
                    <w:spacing w:line="240" w:lineRule="auto"/>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786" w:type="pct"/>
                  <w:tcBorders>
                    <w:tl2br w:val="nil"/>
                    <w:tr2bl w:val="nil"/>
                  </w:tcBorders>
                  <w:noWrap w:val="0"/>
                  <w:vAlign w:val="center"/>
                </w:tcPr>
                <w:p>
                  <w:pPr>
                    <w:pStyle w:val="70"/>
                    <w:keepNext w:val="0"/>
                    <w:keepLines w:val="0"/>
                    <w:pageBreakBefore w:val="0"/>
                    <w:widowControl w:val="0"/>
                    <w:kinsoku/>
                    <w:wordWrap/>
                    <w:overflowPunct w:val="0"/>
                    <w:topLinePunct/>
                    <w:autoSpaceDE/>
                    <w:autoSpaceDN w:val="0"/>
                    <w:bidi w:val="0"/>
                    <w:adjustRightInd w:val="0"/>
                    <w:snapToGrid w:val="0"/>
                    <w:spacing w:line="240" w:lineRule="auto"/>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TSP</w:t>
                  </w:r>
                </w:p>
              </w:tc>
              <w:tc>
                <w:tcPr>
                  <w:tcW w:w="1023" w:type="pct"/>
                  <w:tcBorders>
                    <w:tl2br w:val="nil"/>
                    <w:tr2bl w:val="nil"/>
                  </w:tcBorders>
                  <w:noWrap w:val="0"/>
                  <w:vAlign w:val="center"/>
                </w:tcPr>
                <w:p>
                  <w:pPr>
                    <w:pStyle w:val="70"/>
                    <w:keepNext w:val="0"/>
                    <w:keepLines w:val="0"/>
                    <w:pageBreakBefore w:val="0"/>
                    <w:widowControl w:val="0"/>
                    <w:kinsoku/>
                    <w:wordWrap/>
                    <w:overflowPunct w:val="0"/>
                    <w:topLinePunct/>
                    <w:autoSpaceDE/>
                    <w:autoSpaceDN w:val="0"/>
                    <w:bidi w:val="0"/>
                    <w:adjustRightInd w:val="0"/>
                    <w:snapToGrid w:val="0"/>
                    <w:spacing w:line="240" w:lineRule="auto"/>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项目区下风向</w:t>
                  </w:r>
                </w:p>
              </w:tc>
              <w:tc>
                <w:tcPr>
                  <w:tcW w:w="1758" w:type="pct"/>
                  <w:tcBorders>
                    <w:tl2br w:val="nil"/>
                    <w:tr2bl w:val="nil"/>
                  </w:tcBorders>
                  <w:noWrap w:val="0"/>
                  <w:vAlign w:val="center"/>
                </w:tcPr>
                <w:p>
                  <w:pPr>
                    <w:pStyle w:val="70"/>
                    <w:keepNext w:val="0"/>
                    <w:keepLines w:val="0"/>
                    <w:pageBreakBefore w:val="0"/>
                    <w:widowControl w:val="0"/>
                    <w:kinsoku/>
                    <w:wordWrap/>
                    <w:overflowPunct w:val="0"/>
                    <w:topLinePunct/>
                    <w:autoSpaceDE/>
                    <w:autoSpaceDN w:val="0"/>
                    <w:bidi w:val="0"/>
                    <w:adjustRightInd w:val="0"/>
                    <w:snapToGrid w:val="0"/>
                    <w:spacing w:line="240" w:lineRule="auto"/>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施工期一次</w:t>
                  </w:r>
                </w:p>
              </w:tc>
              <w:tc>
                <w:tcPr>
                  <w:tcW w:w="946" w:type="pct"/>
                  <w:vMerge w:val="continue"/>
                  <w:tcBorders>
                    <w:tl2br w:val="nil"/>
                    <w:tr2bl w:val="nil"/>
                  </w:tcBorders>
                  <w:noWrap w:val="0"/>
                  <w:vAlign w:val="center"/>
                </w:tcPr>
                <w:p>
                  <w:pPr>
                    <w:pStyle w:val="70"/>
                    <w:keepNext w:val="0"/>
                    <w:keepLines w:val="0"/>
                    <w:pageBreakBefore w:val="0"/>
                    <w:widowControl w:val="0"/>
                    <w:kinsoku/>
                    <w:wordWrap/>
                    <w:overflowPunct w:val="0"/>
                    <w:topLinePunct/>
                    <w:autoSpaceDE/>
                    <w:autoSpaceDN w:val="0"/>
                    <w:bidi w:val="0"/>
                    <w:adjustRightInd w:val="0"/>
                    <w:snapToGrid w:val="0"/>
                    <w:spacing w:line="240" w:lineRule="auto"/>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84" w:type="pct"/>
                  <w:vMerge w:val="continue"/>
                  <w:tcBorders>
                    <w:tl2br w:val="nil"/>
                    <w:tr2bl w:val="nil"/>
                  </w:tcBorders>
                  <w:noWrap w:val="0"/>
                  <w:vAlign w:val="center"/>
                </w:tcPr>
                <w:p>
                  <w:pPr>
                    <w:pStyle w:val="70"/>
                    <w:keepNext w:val="0"/>
                    <w:keepLines w:val="0"/>
                    <w:pageBreakBefore w:val="0"/>
                    <w:widowControl w:val="0"/>
                    <w:kinsoku/>
                    <w:wordWrap/>
                    <w:overflowPunct w:val="0"/>
                    <w:topLinePunct/>
                    <w:autoSpaceDE/>
                    <w:autoSpaceDN w:val="0"/>
                    <w:bidi w:val="0"/>
                    <w:adjustRightInd w:val="0"/>
                    <w:snapToGrid w:val="0"/>
                    <w:spacing w:line="240" w:lineRule="auto"/>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786" w:type="pct"/>
                  <w:tcBorders>
                    <w:tl2br w:val="nil"/>
                    <w:tr2bl w:val="nil"/>
                  </w:tcBorders>
                  <w:noWrap w:val="0"/>
                  <w:vAlign w:val="center"/>
                </w:tcPr>
                <w:p>
                  <w:pPr>
                    <w:pStyle w:val="70"/>
                    <w:keepNext w:val="0"/>
                    <w:keepLines w:val="0"/>
                    <w:pageBreakBefore w:val="0"/>
                    <w:widowControl w:val="0"/>
                    <w:kinsoku/>
                    <w:wordWrap/>
                    <w:overflowPunct w:val="0"/>
                    <w:topLinePunct/>
                    <w:autoSpaceDE/>
                    <w:autoSpaceDN w:val="0"/>
                    <w:bidi w:val="0"/>
                    <w:adjustRightInd w:val="0"/>
                    <w:snapToGrid w:val="0"/>
                    <w:spacing w:line="240" w:lineRule="auto"/>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生态环境</w:t>
                  </w:r>
                </w:p>
              </w:tc>
              <w:tc>
                <w:tcPr>
                  <w:tcW w:w="1023" w:type="pct"/>
                  <w:tcBorders>
                    <w:tl2br w:val="nil"/>
                    <w:tr2bl w:val="nil"/>
                  </w:tcBorders>
                  <w:noWrap w:val="0"/>
                  <w:vAlign w:val="center"/>
                </w:tcPr>
                <w:p>
                  <w:pPr>
                    <w:pStyle w:val="70"/>
                    <w:keepNext w:val="0"/>
                    <w:keepLines w:val="0"/>
                    <w:pageBreakBefore w:val="0"/>
                    <w:widowControl w:val="0"/>
                    <w:kinsoku/>
                    <w:wordWrap/>
                    <w:overflowPunct w:val="0"/>
                    <w:topLinePunct/>
                    <w:autoSpaceDE/>
                    <w:autoSpaceDN w:val="0"/>
                    <w:bidi w:val="0"/>
                    <w:adjustRightInd w:val="0"/>
                    <w:snapToGrid w:val="0"/>
                    <w:spacing w:line="240" w:lineRule="auto"/>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施工平台</w:t>
                  </w:r>
                </w:p>
              </w:tc>
              <w:tc>
                <w:tcPr>
                  <w:tcW w:w="1758" w:type="pct"/>
                  <w:tcBorders>
                    <w:tl2br w:val="nil"/>
                    <w:tr2bl w:val="nil"/>
                  </w:tcBorders>
                  <w:noWrap w:val="0"/>
                  <w:vAlign w:val="center"/>
                </w:tcPr>
                <w:p>
                  <w:pPr>
                    <w:pStyle w:val="70"/>
                    <w:keepNext w:val="0"/>
                    <w:keepLines w:val="0"/>
                    <w:pageBreakBefore w:val="0"/>
                    <w:widowControl w:val="0"/>
                    <w:kinsoku/>
                    <w:wordWrap/>
                    <w:overflowPunct w:val="0"/>
                    <w:topLinePunct/>
                    <w:autoSpaceDE/>
                    <w:autoSpaceDN w:val="0"/>
                    <w:bidi w:val="0"/>
                    <w:adjustRightInd w:val="0"/>
                    <w:snapToGrid w:val="0"/>
                    <w:spacing w:line="240" w:lineRule="auto"/>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勘查</w:t>
                  </w:r>
                  <w:r>
                    <w:rPr>
                      <w:rFonts w:hint="default" w:ascii="Times New Roman" w:hAnsi="Times New Roman" w:eastAsia="华文中宋" w:cs="Times New Roman"/>
                      <w:color w:val="000000" w:themeColor="text1"/>
                      <w:sz w:val="21"/>
                      <w:szCs w:val="21"/>
                      <w14:textFill>
                        <w14:solidFill>
                          <w14:schemeClr w14:val="tx1"/>
                        </w14:solidFill>
                      </w14:textFill>
                    </w:rPr>
                    <w:t>施工期间检查是否超范围取弃土，施工结束后是否进行生态恢复</w:t>
                  </w:r>
                </w:p>
              </w:tc>
              <w:tc>
                <w:tcPr>
                  <w:tcW w:w="946" w:type="pct"/>
                  <w:tcBorders>
                    <w:tl2br w:val="nil"/>
                    <w:tr2bl w:val="nil"/>
                  </w:tcBorders>
                  <w:noWrap w:val="0"/>
                  <w:vAlign w:val="center"/>
                </w:tcPr>
                <w:p>
                  <w:pPr>
                    <w:pStyle w:val="70"/>
                    <w:keepNext w:val="0"/>
                    <w:keepLines w:val="0"/>
                    <w:pageBreakBefore w:val="0"/>
                    <w:widowControl w:val="0"/>
                    <w:kinsoku/>
                    <w:wordWrap/>
                    <w:overflowPunct w:val="0"/>
                    <w:topLinePunct/>
                    <w:autoSpaceDE/>
                    <w:autoSpaceDN w:val="0"/>
                    <w:bidi w:val="0"/>
                    <w:adjustRightInd w:val="0"/>
                    <w:snapToGrid w:val="0"/>
                    <w:spacing w:line="240" w:lineRule="auto"/>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建设方</w:t>
                  </w:r>
                </w:p>
              </w:tc>
            </w:tr>
            <w:bookmarkEnd w:id="35"/>
          </w:tbl>
          <w:p>
            <w:pPr>
              <w:bidi w:val="0"/>
              <w:rPr>
                <w:rFonts w:hint="default" w:ascii="Times New Roman" w:hAnsi="Times New Roman" w:eastAsia="华文中宋" w:cs="Times New Roman"/>
                <w:b/>
                <w:bCs/>
                <w:color w:val="000000" w:themeColor="text1"/>
                <w14:textFill>
                  <w14:solidFill>
                    <w14:schemeClr w14:val="tx1"/>
                  </w14:solidFill>
                </w14:textFill>
              </w:rPr>
            </w:pPr>
            <w:r>
              <w:rPr>
                <w:rFonts w:hint="default" w:ascii="Times New Roman" w:hAnsi="Times New Roman" w:eastAsia="华文中宋" w:cs="Times New Roman"/>
                <w:b/>
                <w:bCs/>
                <w:color w:val="000000" w:themeColor="text1"/>
                <w:lang w:val="en-US" w:eastAsia="zh-CN"/>
                <w14:textFill>
                  <w14:solidFill>
                    <w14:schemeClr w14:val="tx1"/>
                  </w14:solidFill>
                </w14:textFill>
              </w:rPr>
              <w:t>2、</w:t>
            </w:r>
            <w:r>
              <w:rPr>
                <w:rFonts w:hint="default" w:ascii="Times New Roman" w:hAnsi="Times New Roman" w:eastAsia="华文中宋" w:cs="Times New Roman"/>
                <w:b/>
                <w:bCs/>
                <w:color w:val="000000" w:themeColor="text1"/>
                <w14:textFill>
                  <w14:solidFill>
                    <w14:schemeClr w14:val="tx1"/>
                  </w14:solidFill>
                </w14:textFill>
              </w:rPr>
              <w:t>环保竣工验收</w:t>
            </w:r>
          </w:p>
          <w:p>
            <w:pPr>
              <w:bidi w:val="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根据《建设项目环境保护管理条例</w:t>
            </w:r>
            <w:r>
              <w:rPr>
                <w:rFonts w:hint="default" w:ascii="Times New Roman" w:hAnsi="Times New Roman" w:eastAsia="华文中宋" w:cs="Times New Roman"/>
                <w:color w:val="000000" w:themeColor="text1"/>
                <w:lang w:eastAsia="zh-CN"/>
                <w14:textFill>
                  <w14:solidFill>
                    <w14:schemeClr w14:val="tx1"/>
                  </w14:solidFill>
                </w14:textFill>
              </w:rPr>
              <w:t>》《</w:t>
            </w:r>
            <w:r>
              <w:rPr>
                <w:rFonts w:hint="default" w:ascii="Times New Roman" w:hAnsi="Times New Roman" w:eastAsia="华文中宋" w:cs="Times New Roman"/>
                <w:color w:val="000000" w:themeColor="text1"/>
                <w14:textFill>
                  <w14:solidFill>
                    <w14:schemeClr w14:val="tx1"/>
                  </w14:solidFill>
                </w14:textFill>
              </w:rPr>
              <w:t>建设项目竣工环境保护验收管理办法》及《建设项目竣工环境保护验收技术规范 生态影响类》的规定，该项目必须进行竣工环境保护验收，及时进行竣工环保验收，并进行环境质量及污染物排放情况的验收监测工作，验收监测的主要内容见表</w:t>
            </w:r>
            <w:r>
              <w:rPr>
                <w:rFonts w:hint="default" w:ascii="Times New Roman" w:hAnsi="Times New Roman" w:eastAsia="华文中宋" w:cs="Times New Roman"/>
                <w:color w:val="000000" w:themeColor="text1"/>
                <w:lang w:val="en-US" w:eastAsia="zh-CN"/>
                <w14:textFill>
                  <w14:solidFill>
                    <w14:schemeClr w14:val="tx1"/>
                  </w14:solidFill>
                </w14:textFill>
              </w:rPr>
              <w:t>5-3</w:t>
            </w:r>
            <w:r>
              <w:rPr>
                <w:rFonts w:hint="default" w:ascii="Times New Roman" w:hAnsi="Times New Roman" w:eastAsia="华文中宋"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华文中宋" w:cs="Times New Roman"/>
                <w:b/>
                <w:bCs/>
                <w:color w:val="000000" w:themeColor="text1"/>
                <w:sz w:val="24"/>
                <w:szCs w:val="24"/>
                <w14:textFill>
                  <w14:solidFill>
                    <w14:schemeClr w14:val="tx1"/>
                  </w14:solidFill>
                </w14:textFill>
              </w:rPr>
            </w:pPr>
            <w:r>
              <w:rPr>
                <w:rFonts w:hint="default" w:ascii="Times New Roman" w:hAnsi="Times New Roman" w:eastAsia="华文中宋" w:cs="Times New Roman"/>
                <w:b/>
                <w:bCs/>
                <w:color w:val="000000" w:themeColor="text1"/>
                <w:sz w:val="24"/>
                <w:szCs w:val="24"/>
                <w14:textFill>
                  <w14:solidFill>
                    <w14:schemeClr w14:val="tx1"/>
                  </w14:solidFill>
                </w14:textFill>
              </w:rPr>
              <w:t>表</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5-3</w:t>
            </w:r>
            <w:r>
              <w:rPr>
                <w:rFonts w:hint="default" w:ascii="Times New Roman" w:hAnsi="Times New Roman" w:eastAsia="华文中宋" w:cs="Times New Roman"/>
                <w:b/>
                <w:bCs/>
                <w:color w:val="000000" w:themeColor="text1"/>
                <w:sz w:val="24"/>
                <w:szCs w:val="24"/>
                <w14:textFill>
                  <w14:solidFill>
                    <w14:schemeClr w14:val="tx1"/>
                  </w14:solidFill>
                </w14:textFill>
              </w:rPr>
              <w:t xml:space="preserve"> </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华文中宋" w:cs="Times New Roman"/>
                <w:b/>
                <w:bCs/>
                <w:color w:val="000000" w:themeColor="text1"/>
                <w:sz w:val="24"/>
                <w:szCs w:val="24"/>
                <w14:textFill>
                  <w14:solidFill>
                    <w14:schemeClr w14:val="tx1"/>
                  </w14:solidFill>
                </w14:textFill>
              </w:rPr>
              <w:t xml:space="preserve"> 环保竣工“三同时”验收表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938"/>
              <w:gridCol w:w="3248"/>
              <w:gridCol w:w="29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项目</w:t>
                  </w:r>
                </w:p>
              </w:tc>
              <w:tc>
                <w:tcPr>
                  <w:tcW w:w="938"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时期</w:t>
                  </w:r>
                </w:p>
              </w:tc>
              <w:tc>
                <w:tcPr>
                  <w:tcW w:w="3248"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设施或措施内容</w:t>
                  </w:r>
                </w:p>
              </w:tc>
              <w:tc>
                <w:tcPr>
                  <w:tcW w:w="2940"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执行标准或监测验收要求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大气环境</w:t>
                  </w:r>
                </w:p>
              </w:tc>
              <w:tc>
                <w:tcPr>
                  <w:tcW w:w="938"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勘探</w:t>
                  </w: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期</w:t>
                  </w:r>
                </w:p>
              </w:tc>
              <w:tc>
                <w:tcPr>
                  <w:tcW w:w="3248"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勘探施工过程洒水降尘</w:t>
                  </w: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w:t>
                  </w:r>
                </w:p>
              </w:tc>
              <w:tc>
                <w:tcPr>
                  <w:tcW w:w="2940"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《大气污染物综合排放标准》（GB16297-1996）</w:t>
                  </w: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表2中颗粒物无组织排放限值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restart"/>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水环境</w:t>
                  </w:r>
                </w:p>
              </w:tc>
              <w:tc>
                <w:tcPr>
                  <w:tcW w:w="938" w:type="dxa"/>
                  <w:vMerge w:val="restart"/>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勘探</w:t>
                  </w: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期</w:t>
                  </w:r>
                </w:p>
              </w:tc>
              <w:tc>
                <w:tcPr>
                  <w:tcW w:w="3248"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生产废水</w:t>
                  </w: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进入</w:t>
                  </w: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沉淀池</w:t>
                  </w: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处理后循环使用或洒水降尘</w:t>
                  </w:r>
                </w:p>
              </w:tc>
              <w:tc>
                <w:tcPr>
                  <w:tcW w:w="2940"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出水回用于施工场地、道路洒水降尘，底泥用于场地平整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5" w:type="dxa"/>
                  <w:vMerge w:val="continue"/>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p>
              </w:tc>
              <w:tc>
                <w:tcPr>
                  <w:tcW w:w="938" w:type="dxa"/>
                  <w:vMerge w:val="continue"/>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p>
              </w:tc>
              <w:tc>
                <w:tcPr>
                  <w:tcW w:w="3248"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lang w:eastAsia="zh-CN"/>
                      <w14:textFill>
                        <w14:solidFill>
                          <w14:schemeClr w14:val="tx1"/>
                        </w14:solidFill>
                      </w14:textFill>
                    </w:rPr>
                    <w:t>生活污水</w:t>
                  </w: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排入在施工营地设置的</w:t>
                  </w:r>
                  <w:r>
                    <w:rPr>
                      <w:rFonts w:hint="default" w:ascii="Times New Roman" w:hAnsi="Times New Roman" w:eastAsia="华文中宋" w:cs="Times New Roman"/>
                      <w:b w:val="0"/>
                      <w:bCs/>
                      <w:color w:val="000000" w:themeColor="text1"/>
                      <w:sz w:val="21"/>
                      <w:szCs w:val="21"/>
                      <w:lang w:val="en-US" w:eastAsia="zh-CN"/>
                      <w14:textFill>
                        <w14:solidFill>
                          <w14:schemeClr w14:val="tx1"/>
                        </w14:solidFill>
                      </w14:textFill>
                    </w:rPr>
                    <w:t>化粪池（容积10m</w:t>
                  </w:r>
                  <w:r>
                    <w:rPr>
                      <w:rFonts w:hint="default" w:ascii="Times New Roman" w:hAnsi="Times New Roman" w:eastAsia="华文中宋" w:cs="Times New Roman"/>
                      <w:b w:val="0"/>
                      <w:bCs/>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华文中宋" w:cs="Times New Roman"/>
                      <w:b w:val="0"/>
                      <w:bCs/>
                      <w:color w:val="000000" w:themeColor="text1"/>
                      <w:sz w:val="21"/>
                      <w:szCs w:val="21"/>
                      <w:lang w:val="en-US" w:eastAsia="zh-CN"/>
                      <w14:textFill>
                        <w14:solidFill>
                          <w14:schemeClr w14:val="tx1"/>
                        </w14:solidFill>
                      </w14:textFill>
                    </w:rPr>
                    <w:t>）</w:t>
                  </w: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w:t>
                  </w: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定期</w:t>
                  </w: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拉运至</w:t>
                  </w: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且末县污水处理厂</w:t>
                  </w:r>
                </w:p>
              </w:tc>
              <w:tc>
                <w:tcPr>
                  <w:tcW w:w="2940"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勘探期生活污水定期拉运至且末县污水处理厂，</w:t>
                  </w: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不得外排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声环境</w:t>
                  </w:r>
                </w:p>
              </w:tc>
              <w:tc>
                <w:tcPr>
                  <w:tcW w:w="938"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勘探</w:t>
                  </w: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期</w:t>
                  </w:r>
                </w:p>
              </w:tc>
              <w:tc>
                <w:tcPr>
                  <w:tcW w:w="3248"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限时作业</w:t>
                  </w:r>
                </w:p>
              </w:tc>
              <w:tc>
                <w:tcPr>
                  <w:tcW w:w="2940"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《建筑施工噪声排放标准》（GB12523-20</w:t>
                  </w: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26</w:t>
                  </w: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85" w:type="dxa"/>
                  <w:vMerge w:val="restart"/>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固体废物</w:t>
                  </w:r>
                </w:p>
              </w:tc>
              <w:tc>
                <w:tcPr>
                  <w:tcW w:w="938" w:type="dxa"/>
                  <w:vMerge w:val="restart"/>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勘探</w:t>
                  </w: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期</w:t>
                  </w:r>
                </w:p>
              </w:tc>
              <w:tc>
                <w:tcPr>
                  <w:tcW w:w="3248"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生活垃圾</w:t>
                  </w: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定期拉运至且末县生活垃圾填埋场</w:t>
                  </w: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w:t>
                  </w:r>
                </w:p>
              </w:tc>
              <w:tc>
                <w:tcPr>
                  <w:tcW w:w="2940" w:type="dxa"/>
                  <w:vMerge w:val="restart"/>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lang w:eastAsia="zh-CN"/>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lang w:eastAsia="zh-CN"/>
                      <w14:textFill>
                        <w14:solidFill>
                          <w14:schemeClr w14:val="tx1"/>
                        </w14:solidFill>
                      </w14:textFill>
                    </w:rPr>
                    <w:t>《一般工业固体废物贮存和填埋污染控制标准》（GB 18599-2020）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085" w:type="dxa"/>
                  <w:vMerge w:val="continue"/>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p>
              </w:tc>
              <w:tc>
                <w:tcPr>
                  <w:tcW w:w="938" w:type="dxa"/>
                  <w:vMerge w:val="continue"/>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p>
              </w:tc>
              <w:tc>
                <w:tcPr>
                  <w:tcW w:w="3248"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表土和碎石</w:t>
                  </w: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临时堆放时间较短，工作完成后立即回填并进行生态恢复</w:t>
                  </w:r>
                  <w:r>
                    <w:rPr>
                      <w:rFonts w:hint="default" w:ascii="Times New Roman" w:hAnsi="Times New Roman" w:eastAsia="华文中宋" w:cs="Times New Roman"/>
                      <w:b w:val="0"/>
                      <w:bCs/>
                      <w:color w:val="000000" w:themeColor="text1"/>
                      <w:sz w:val="21"/>
                      <w:szCs w:val="21"/>
                      <w:vertAlign w:val="baseline"/>
                      <w:lang w:eastAsia="zh-CN"/>
                      <w14:textFill>
                        <w14:solidFill>
                          <w14:schemeClr w14:val="tx1"/>
                        </w14:solidFill>
                      </w14:textFill>
                    </w:rPr>
                    <w:t>，</w:t>
                  </w: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无法回填的部分用于施工</w:t>
                  </w:r>
                </w:p>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营地土地平整；钻孔泥浆在钻探结束后与沉淀池底泥自然干化后就地填埋压实。</w:t>
                  </w:r>
                </w:p>
              </w:tc>
              <w:tc>
                <w:tcPr>
                  <w:tcW w:w="2940" w:type="dxa"/>
                  <w:vMerge w:val="continue"/>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085" w:type="dxa"/>
                  <w:vMerge w:val="continue"/>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p>
              </w:tc>
              <w:tc>
                <w:tcPr>
                  <w:tcW w:w="938" w:type="dxa"/>
                  <w:vMerge w:val="continue"/>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p>
              </w:tc>
              <w:tc>
                <w:tcPr>
                  <w:tcW w:w="3248" w:type="dxa"/>
                  <w:tcBorders>
                    <w:tl2br w:val="nil"/>
                    <w:tr2bl w:val="nil"/>
                  </w:tcBorders>
                  <w:noWrap w:val="0"/>
                  <w:vAlign w:val="center"/>
                </w:tcPr>
                <w:p>
                  <w:pPr>
                    <w:pStyle w:val="62"/>
                    <w:keepNext w:val="0"/>
                    <w:keepLines w:val="0"/>
                    <w:pageBreakBefore w:val="0"/>
                    <w:widowControl w:val="0"/>
                    <w:tabs>
                      <w:tab w:val="left" w:pos="644"/>
                    </w:tabs>
                    <w:kinsoku/>
                    <w:wordWrap/>
                    <w:overflowPunct/>
                    <w:topLinePunct w:val="0"/>
                    <w:autoSpaceDE w:val="0"/>
                    <w:autoSpaceDN w:val="0"/>
                    <w:bidi w:val="0"/>
                    <w:adjustRightInd/>
                    <w:snapToGrid/>
                    <w:spacing w:line="240" w:lineRule="exact"/>
                    <w:jc w:val="left"/>
                    <w:textAlignment w:val="cente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勘探设备维护保养产生的废机油交由危险废物处置单位处置。</w:t>
                  </w:r>
                </w:p>
              </w:tc>
              <w:tc>
                <w:tcPr>
                  <w:tcW w:w="2940"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《危险废物贮存污染控制标准》（GB18597-2023)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生态</w:t>
                  </w:r>
                </w:p>
              </w:tc>
              <w:tc>
                <w:tcPr>
                  <w:tcW w:w="938"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w:t>
                  </w:r>
                </w:p>
              </w:tc>
              <w:tc>
                <w:tcPr>
                  <w:tcW w:w="3248"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施工结束后清除场地并进行场地平整，恢复原地貌。</w:t>
                  </w:r>
                </w:p>
              </w:tc>
              <w:tc>
                <w:tcPr>
                  <w:tcW w:w="2940" w:type="dxa"/>
                  <w:tcBorders>
                    <w:tl2br w:val="nil"/>
                    <w:tr2bl w:val="nil"/>
                  </w:tcBorders>
                  <w:noWrap w:val="0"/>
                  <w:vAlign w:val="center"/>
                </w:tcPr>
                <w:p>
                  <w:pPr>
                    <w:pStyle w:val="62"/>
                    <w:keepNext w:val="0"/>
                    <w:keepLines w:val="0"/>
                    <w:pageBreakBefore w:val="0"/>
                    <w:widowControl w:val="0"/>
                    <w:kinsoku/>
                    <w:wordWrap/>
                    <w:overflowPunct/>
                    <w:topLinePunct w:val="0"/>
                    <w:autoSpaceDE w:val="0"/>
                    <w:autoSpaceDN w:val="0"/>
                    <w:bidi w:val="0"/>
                    <w:adjustRightInd/>
                    <w:snapToGrid/>
                    <w:spacing w:line="240" w:lineRule="exact"/>
                    <w:textAlignment w:val="cente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采取的工程措施、植被恢复措施及临时措施执行情况、效果</w:t>
                  </w:r>
                </w:p>
              </w:tc>
            </w:tr>
          </w:tbl>
          <w:p>
            <w:pPr>
              <w:adjustRightInd w:val="0"/>
              <w:snapToGrid w:val="0"/>
              <w:rPr>
                <w:rFonts w:hint="default" w:ascii="Times New Roman" w:hAnsi="Times New Roman" w:eastAsia="华文中宋" w:cs="Times New Roman"/>
                <w:bCs/>
                <w:color w:val="000000" w:themeColor="text1"/>
                <w:spacing w:val="10"/>
                <w:szCs w:val="2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9" w:hRule="atLeast"/>
          <w:jc w:val="center"/>
        </w:trPr>
        <w:tc>
          <w:tcPr>
            <w:tcW w:w="753" w:type="dxa"/>
            <w:noWrap w:val="0"/>
            <w:vAlign w:val="center"/>
          </w:tcPr>
          <w:p>
            <w:pPr>
              <w:adjustRightInd w:val="0"/>
              <w:snapToGrid w:val="0"/>
              <w:ind w:left="0" w:leftChars="0" w:firstLine="0" w:firstLineChars="0"/>
              <w:jc w:val="both"/>
              <w:rPr>
                <w:rFonts w:hint="default" w:ascii="Times New Roman" w:hAnsi="Times New Roman" w:eastAsia="华文中宋" w:cs="Times New Roman"/>
                <w:bCs/>
                <w:color w:val="000000" w:themeColor="text1"/>
                <w:spacing w:val="10"/>
                <w:szCs w:val="21"/>
                <w14:textFill>
                  <w14:solidFill>
                    <w14:schemeClr w14:val="tx1"/>
                  </w14:solidFill>
                </w14:textFill>
              </w:rPr>
            </w:pPr>
            <w:r>
              <w:rPr>
                <w:rFonts w:hint="default" w:ascii="Times New Roman" w:hAnsi="Times New Roman" w:eastAsia="华文中宋" w:cs="Times New Roman"/>
                <w:bCs/>
                <w:color w:val="000000" w:themeColor="text1"/>
                <w:sz w:val="24"/>
                <w:szCs w:val="24"/>
                <w14:textFill>
                  <w14:solidFill>
                    <w14:schemeClr w14:val="tx1"/>
                  </w14:solidFill>
                </w14:textFill>
              </w:rPr>
              <w:t>环保投资</w:t>
            </w:r>
          </w:p>
        </w:tc>
        <w:tc>
          <w:tcPr>
            <w:tcW w:w="8457" w:type="dxa"/>
            <w:noWrap w:val="0"/>
            <w:vAlign w:val="top"/>
          </w:tcPr>
          <w:p>
            <w:pPr>
              <w:spacing w:line="360" w:lineRule="auto"/>
              <w:ind w:firstLine="480" w:firstLineChars="200"/>
              <w:rPr>
                <w:rFonts w:hint="default" w:ascii="Times New Roman" w:hAnsi="Times New Roman" w:eastAsia="华文中宋" w:cs="Times New Roman"/>
                <w:color w:val="000000" w:themeColor="text1"/>
                <w14:textFill>
                  <w14:solidFill>
                    <w14:schemeClr w14:val="tx1"/>
                  </w14:solidFill>
                </w14:textFill>
              </w:rPr>
            </w:pPr>
            <w:r>
              <w:rPr>
                <w:rFonts w:hint="default" w:ascii="Times New Roman" w:hAnsi="Times New Roman" w:eastAsia="华文中宋" w:cs="Times New Roman"/>
                <w:color w:val="000000" w:themeColor="text1"/>
                <w14:textFill>
                  <w14:solidFill>
                    <w14:schemeClr w14:val="tx1"/>
                  </w14:solidFill>
                </w14:textFill>
              </w:rPr>
              <w:t>本工程项目总投资</w:t>
            </w:r>
            <w:r>
              <w:rPr>
                <w:rFonts w:hint="default" w:ascii="Times New Roman" w:hAnsi="Times New Roman" w:eastAsia="华文中宋" w:cs="Times New Roman"/>
                <w:color w:val="000000" w:themeColor="text1"/>
                <w:lang w:val="en-US" w:eastAsia="zh-CN"/>
                <w14:textFill>
                  <w14:solidFill>
                    <w14:schemeClr w14:val="tx1"/>
                  </w14:solidFill>
                </w14:textFill>
              </w:rPr>
              <w:t>338.56</w:t>
            </w:r>
            <w:r>
              <w:rPr>
                <w:rFonts w:hint="default" w:ascii="Times New Roman" w:hAnsi="Times New Roman" w:eastAsia="华文中宋" w:cs="Times New Roman"/>
                <w:color w:val="000000" w:themeColor="text1"/>
                <w14:textFill>
                  <w14:solidFill>
                    <w14:schemeClr w14:val="tx1"/>
                  </w14:solidFill>
                </w14:textFill>
              </w:rPr>
              <w:t>万元，其中采取的环保措施投资概算总计</w:t>
            </w:r>
            <w:r>
              <w:rPr>
                <w:rFonts w:hint="default" w:ascii="Times New Roman" w:hAnsi="Times New Roman" w:eastAsia="华文中宋" w:cs="Times New Roman"/>
                <w:color w:val="000000" w:themeColor="text1"/>
                <w:lang w:val="en-US" w:eastAsia="zh-CN"/>
                <w14:textFill>
                  <w14:solidFill>
                    <w14:schemeClr w14:val="tx1"/>
                  </w14:solidFill>
                </w14:textFill>
              </w:rPr>
              <w:t>16</w:t>
            </w:r>
            <w:r>
              <w:rPr>
                <w:rFonts w:hint="default" w:ascii="Times New Roman" w:hAnsi="Times New Roman" w:eastAsia="华文中宋" w:cs="Times New Roman"/>
                <w:color w:val="000000" w:themeColor="text1"/>
                <w14:textFill>
                  <w14:solidFill>
                    <w14:schemeClr w14:val="tx1"/>
                  </w14:solidFill>
                </w14:textFill>
              </w:rPr>
              <w:t>万元，占总投资的</w:t>
            </w:r>
            <w:r>
              <w:rPr>
                <w:rFonts w:hint="default" w:ascii="Times New Roman" w:hAnsi="Times New Roman" w:eastAsia="华文中宋" w:cs="Times New Roman"/>
                <w:color w:val="000000" w:themeColor="text1"/>
                <w:lang w:val="en-US" w:eastAsia="zh-CN"/>
                <w14:textFill>
                  <w14:solidFill>
                    <w14:schemeClr w14:val="tx1"/>
                  </w14:solidFill>
                </w14:textFill>
              </w:rPr>
              <w:t>4.73</w:t>
            </w:r>
            <w:r>
              <w:rPr>
                <w:rFonts w:hint="default" w:ascii="Times New Roman" w:hAnsi="Times New Roman" w:eastAsia="华文中宋" w:cs="Times New Roman"/>
                <w:color w:val="000000" w:themeColor="text1"/>
                <w14:textFill>
                  <w14:solidFill>
                    <w14:schemeClr w14:val="tx1"/>
                  </w14:solidFill>
                </w14:textFill>
              </w:rPr>
              <w:t>%。详见表</w:t>
            </w:r>
            <w:r>
              <w:rPr>
                <w:rFonts w:hint="default" w:ascii="Times New Roman" w:hAnsi="Times New Roman" w:eastAsia="华文中宋" w:cs="Times New Roman"/>
                <w:color w:val="000000" w:themeColor="text1"/>
                <w:lang w:val="en-US" w:eastAsia="zh-CN"/>
                <w14:textFill>
                  <w14:solidFill>
                    <w14:schemeClr w14:val="tx1"/>
                  </w14:solidFill>
                </w14:textFill>
              </w:rPr>
              <w:t>5-4</w:t>
            </w:r>
            <w:r>
              <w:rPr>
                <w:rFonts w:hint="default" w:ascii="Times New Roman" w:hAnsi="Times New Roman" w:eastAsia="华文中宋"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华文中宋" w:cs="Times New Roman"/>
                <w:b/>
                <w:bCs/>
                <w:color w:val="000000" w:themeColor="text1"/>
                <w:sz w:val="24"/>
                <w:szCs w:val="24"/>
                <w14:textFill>
                  <w14:solidFill>
                    <w14:schemeClr w14:val="tx1"/>
                  </w14:solidFill>
                </w14:textFill>
              </w:rPr>
            </w:pPr>
            <w:r>
              <w:rPr>
                <w:rFonts w:hint="default" w:ascii="Times New Roman" w:hAnsi="Times New Roman" w:eastAsia="华文中宋" w:cs="Times New Roman"/>
                <w:b/>
                <w:bCs/>
                <w:color w:val="000000" w:themeColor="text1"/>
                <w:sz w:val="24"/>
                <w:szCs w:val="24"/>
                <w14:textFill>
                  <w14:solidFill>
                    <w14:schemeClr w14:val="tx1"/>
                  </w14:solidFill>
                </w14:textFill>
              </w:rPr>
              <w:t>表</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5-4</w:t>
            </w:r>
            <w:r>
              <w:rPr>
                <w:rFonts w:hint="default" w:ascii="Times New Roman" w:hAnsi="Times New Roman" w:eastAsia="华文中宋" w:cs="Times New Roman"/>
                <w:b/>
                <w:bCs/>
                <w:color w:val="000000" w:themeColor="text1"/>
                <w:sz w:val="24"/>
                <w:szCs w:val="24"/>
                <w14:textFill>
                  <w14:solidFill>
                    <w14:schemeClr w14:val="tx1"/>
                  </w14:solidFill>
                </w14:textFill>
              </w:rPr>
              <w:t xml:space="preserve"> </w:t>
            </w:r>
            <w:r>
              <w:rPr>
                <w:rFonts w:hint="default" w:ascii="Times New Roman" w:hAnsi="Times New Roman" w:eastAsia="华文中宋"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华文中宋" w:cs="Times New Roman"/>
                <w:b/>
                <w:bCs/>
                <w:color w:val="000000" w:themeColor="text1"/>
                <w:sz w:val="24"/>
                <w:szCs w:val="24"/>
                <w14:textFill>
                  <w14:solidFill>
                    <w14:schemeClr w14:val="tx1"/>
                  </w14:solidFill>
                </w14:textFill>
              </w:rPr>
              <w:t xml:space="preserve"> 环保措施投资估算</w:t>
            </w:r>
          </w:p>
          <w:tbl>
            <w:tblPr>
              <w:tblStyle w:val="29"/>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096"/>
              <w:gridCol w:w="1643"/>
              <w:gridCol w:w="3528"/>
              <w:gridCol w:w="13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序号</w:t>
                  </w:r>
                </w:p>
              </w:tc>
              <w:tc>
                <w:tcPr>
                  <w:tcW w:w="668"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项目</w:t>
                  </w:r>
                </w:p>
              </w:tc>
              <w:tc>
                <w:tcPr>
                  <w:tcW w:w="1001"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内容</w:t>
                  </w:r>
                </w:p>
              </w:tc>
              <w:tc>
                <w:tcPr>
                  <w:tcW w:w="2149"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环保措施</w:t>
                  </w:r>
                </w:p>
              </w:tc>
              <w:tc>
                <w:tcPr>
                  <w:tcW w:w="804"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投资（万元）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1</w:t>
                  </w:r>
                </w:p>
              </w:tc>
              <w:tc>
                <w:tcPr>
                  <w:tcW w:w="668"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废气防治措施</w:t>
                  </w:r>
                </w:p>
              </w:tc>
              <w:tc>
                <w:tcPr>
                  <w:tcW w:w="1001"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粉尘</w:t>
                  </w:r>
                </w:p>
              </w:tc>
              <w:tc>
                <w:tcPr>
                  <w:tcW w:w="2149"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lang w:val="en-US" w:eastAsia="zh-CN"/>
                      <w14:textFill>
                        <w14:solidFill>
                          <w14:schemeClr w14:val="tx1"/>
                        </w14:solidFill>
                      </w14:textFill>
                    </w:rPr>
                  </w:pPr>
                  <w:r>
                    <w:rPr>
                      <w:rFonts w:hint="default" w:ascii="Times New Roman" w:hAnsi="Times New Roman" w:eastAsia="华文中宋" w:cs="Times New Roman"/>
                      <w:b w:val="0"/>
                      <w:bCs/>
                      <w:color w:val="000000" w:themeColor="text1"/>
                      <w:lang w:val="en-US" w:eastAsia="zh-CN"/>
                      <w14:textFill>
                        <w14:solidFill>
                          <w14:schemeClr w14:val="tx1"/>
                        </w14:solidFill>
                      </w14:textFill>
                    </w:rPr>
                    <w:t>工程管理、湿法作业、洒水降尘</w:t>
                  </w:r>
                </w:p>
              </w:tc>
              <w:tc>
                <w:tcPr>
                  <w:tcW w:w="804"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lang w:val="en-US" w:eastAsia="zh-CN"/>
                      <w14:textFill>
                        <w14:solidFill>
                          <w14:schemeClr w14:val="tx1"/>
                        </w14:solidFill>
                      </w14:textFill>
                    </w:rPr>
                    <w:t>3</w:t>
                  </w:r>
                  <w:r>
                    <w:rPr>
                      <w:rFonts w:hint="default" w:ascii="Times New Roman" w:hAnsi="Times New Roman" w:eastAsia="华文中宋" w:cs="Times New Roman"/>
                      <w:b w:val="0"/>
                      <w:bCs/>
                      <w:color w:val="000000" w:themeColor="text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Merge w:val="restar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2</w:t>
                  </w:r>
                </w:p>
              </w:tc>
              <w:tc>
                <w:tcPr>
                  <w:tcW w:w="668" w:type="pct"/>
                  <w:vMerge w:val="restar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废水治理措施</w:t>
                  </w:r>
                </w:p>
              </w:tc>
              <w:tc>
                <w:tcPr>
                  <w:tcW w:w="1001" w:type="pct"/>
                  <w:tcBorders>
                    <w:tl2br w:val="nil"/>
                    <w:tr2bl w:val="nil"/>
                  </w:tcBorders>
                  <w:noWrap w:val="0"/>
                  <w:vAlign w:val="center"/>
                </w:tcPr>
                <w:p>
                  <w:pPr>
                    <w:pStyle w:val="62"/>
                    <w:spacing w:line="240" w:lineRule="auto"/>
                    <w:jc w:val="center"/>
                    <w:rPr>
                      <w:rFonts w:hint="default" w:ascii="Times New Roman" w:hAnsi="Times New Roman" w:eastAsia="华文中宋" w:cs="Times New Roman"/>
                      <w:b w:val="0"/>
                      <w:bCs/>
                      <w:color w:val="000000" w:themeColor="text1"/>
                      <w:lang w:val="en-US" w:eastAsia="zh-CN"/>
                      <w14:textFill>
                        <w14:solidFill>
                          <w14:schemeClr w14:val="tx1"/>
                        </w14:solidFill>
                      </w14:textFill>
                    </w:rPr>
                  </w:pPr>
                  <w:r>
                    <w:rPr>
                      <w:rFonts w:hint="default" w:ascii="Times New Roman" w:hAnsi="Times New Roman" w:eastAsia="华文中宋" w:cs="Times New Roman"/>
                      <w:b w:val="0"/>
                      <w:bCs/>
                      <w:color w:val="000000" w:themeColor="text1"/>
                      <w:lang w:val="en-US" w:eastAsia="zh-CN"/>
                      <w14:textFill>
                        <w14:solidFill>
                          <w14:schemeClr w14:val="tx1"/>
                        </w14:solidFill>
                      </w14:textFill>
                    </w:rPr>
                    <w:t>生产废水</w:t>
                  </w:r>
                </w:p>
              </w:tc>
              <w:tc>
                <w:tcPr>
                  <w:tcW w:w="2149"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沉淀池</w:t>
                  </w:r>
                </w:p>
              </w:tc>
              <w:tc>
                <w:tcPr>
                  <w:tcW w:w="804"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lang w:eastAsia="zh-CN"/>
                      <w14:textFill>
                        <w14:solidFill>
                          <w14:schemeClr w14:val="tx1"/>
                        </w14:solidFill>
                      </w14:textFill>
                    </w:rPr>
                  </w:pPr>
                  <w:r>
                    <w:rPr>
                      <w:rFonts w:hint="default" w:ascii="Times New Roman" w:hAnsi="Times New Roman" w:eastAsia="华文中宋" w:cs="Times New Roman"/>
                      <w:b w:val="0"/>
                      <w:bCs/>
                      <w:color w:val="000000" w:themeColor="text1"/>
                      <w:lang w:val="en-US" w:eastAsia="zh-CN"/>
                      <w14:textFill>
                        <w14:solidFill>
                          <w14:schemeClr w14:val="tx1"/>
                        </w14:solidFill>
                      </w14:textFill>
                    </w:rPr>
                    <w:t>1</w:t>
                  </w:r>
                  <w:r>
                    <w:rPr>
                      <w:rFonts w:hint="default" w:ascii="Times New Roman" w:hAnsi="Times New Roman" w:eastAsia="华文中宋" w:cs="Times New Roman"/>
                      <w:b w:val="0"/>
                      <w:bCs/>
                      <w:color w:val="000000" w:themeColor="text1"/>
                      <w14:textFill>
                        <w14:solidFill>
                          <w14:schemeClr w14:val="tx1"/>
                        </w14:solidFill>
                      </w14:textFill>
                    </w:rPr>
                    <w:t>.</w:t>
                  </w:r>
                  <w:r>
                    <w:rPr>
                      <w:rFonts w:hint="default" w:ascii="Times New Roman" w:hAnsi="Times New Roman" w:eastAsia="华文中宋" w:cs="Times New Roman"/>
                      <w:b w:val="0"/>
                      <w:bCs/>
                      <w:color w:val="000000" w:themeColor="text1"/>
                      <w:lang w:val="en-US" w:eastAsia="zh-CN"/>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Merge w:val="continue"/>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p>
              </w:tc>
              <w:tc>
                <w:tcPr>
                  <w:tcW w:w="668" w:type="pct"/>
                  <w:vMerge w:val="continue"/>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p>
              </w:tc>
              <w:tc>
                <w:tcPr>
                  <w:tcW w:w="1001"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生活废水</w:t>
                  </w:r>
                </w:p>
              </w:tc>
              <w:tc>
                <w:tcPr>
                  <w:tcW w:w="2149"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lang w:eastAsia="zh-CN"/>
                      <w14:textFill>
                        <w14:solidFill>
                          <w14:schemeClr w14:val="tx1"/>
                        </w14:solidFill>
                      </w14:textFill>
                    </w:rPr>
                  </w:pPr>
                  <w:r>
                    <w:rPr>
                      <w:rFonts w:hint="default" w:ascii="Times New Roman" w:hAnsi="Times New Roman" w:eastAsia="华文中宋" w:cs="Times New Roman"/>
                      <w:b w:val="0"/>
                      <w:bCs/>
                      <w:color w:val="000000" w:themeColor="text1"/>
                      <w:lang w:val="en-US" w:eastAsia="zh-CN"/>
                      <w14:textFill>
                        <w14:solidFill>
                          <w14:schemeClr w14:val="tx1"/>
                        </w14:solidFill>
                      </w14:textFill>
                    </w:rPr>
                    <w:t>化粪池（容积10m</w:t>
                  </w:r>
                  <w:r>
                    <w:rPr>
                      <w:rFonts w:hint="default" w:ascii="Times New Roman" w:hAnsi="Times New Roman" w:eastAsia="华文中宋" w:cs="Times New Roman"/>
                      <w:b w:val="0"/>
                      <w:bCs/>
                      <w:color w:val="000000" w:themeColor="text1"/>
                      <w:vertAlign w:val="superscript"/>
                      <w:lang w:val="en-US" w:eastAsia="zh-CN"/>
                      <w14:textFill>
                        <w14:solidFill>
                          <w14:schemeClr w14:val="tx1"/>
                        </w14:solidFill>
                      </w14:textFill>
                    </w:rPr>
                    <w:t>3</w:t>
                  </w:r>
                  <w:r>
                    <w:rPr>
                      <w:rFonts w:hint="default" w:ascii="Times New Roman" w:hAnsi="Times New Roman" w:eastAsia="华文中宋" w:cs="Times New Roman"/>
                      <w:b w:val="0"/>
                      <w:bCs/>
                      <w:color w:val="000000" w:themeColor="text1"/>
                      <w:lang w:val="en-US" w:eastAsia="zh-CN"/>
                      <w14:textFill>
                        <w14:solidFill>
                          <w14:schemeClr w14:val="tx1"/>
                        </w14:solidFill>
                      </w14:textFill>
                    </w:rPr>
                    <w:t>）</w:t>
                  </w:r>
                </w:p>
              </w:tc>
              <w:tc>
                <w:tcPr>
                  <w:tcW w:w="804"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Merge w:val="restar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3</w:t>
                  </w:r>
                </w:p>
              </w:tc>
              <w:tc>
                <w:tcPr>
                  <w:tcW w:w="668" w:type="pct"/>
                  <w:vMerge w:val="restar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固废防治措施</w:t>
                  </w:r>
                </w:p>
              </w:tc>
              <w:tc>
                <w:tcPr>
                  <w:tcW w:w="1001"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lang w:val="en-US" w:eastAsia="zh-CN"/>
                      <w14:textFill>
                        <w14:solidFill>
                          <w14:schemeClr w14:val="tx1"/>
                        </w14:solidFill>
                      </w14:textFill>
                    </w:rPr>
                  </w:pPr>
                  <w:r>
                    <w:rPr>
                      <w:rFonts w:hint="default" w:ascii="Times New Roman" w:hAnsi="Times New Roman" w:eastAsia="华文中宋" w:cs="Times New Roman"/>
                      <w:b w:val="0"/>
                      <w:bCs/>
                      <w:color w:val="000000" w:themeColor="text1"/>
                      <w:lang w:val="en-US" w:eastAsia="zh-CN"/>
                      <w14:textFill>
                        <w14:solidFill>
                          <w14:schemeClr w14:val="tx1"/>
                        </w14:solidFill>
                      </w14:textFill>
                    </w:rPr>
                    <w:t>表土、碎石、钻孔泥浆</w:t>
                  </w:r>
                </w:p>
              </w:tc>
              <w:tc>
                <w:tcPr>
                  <w:tcW w:w="2149"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lang w:val="en-US" w:eastAsia="zh-CN"/>
                      <w14:textFill>
                        <w14:solidFill>
                          <w14:schemeClr w14:val="tx1"/>
                        </w14:solidFill>
                      </w14:textFill>
                    </w:rPr>
                    <w:t>表土和碎石</w:t>
                  </w:r>
                  <w:r>
                    <w:rPr>
                      <w:rFonts w:hint="default" w:ascii="Times New Roman" w:hAnsi="Times New Roman" w:eastAsia="华文中宋" w:cs="Times New Roman"/>
                      <w:b w:val="0"/>
                      <w:bCs/>
                      <w:color w:val="000000" w:themeColor="text1"/>
                      <w14:textFill>
                        <w14:solidFill>
                          <w14:schemeClr w14:val="tx1"/>
                        </w14:solidFill>
                      </w14:textFill>
                    </w:rPr>
                    <w:t>临时堆放时间较短，工作完成后立即回填并进行生态恢复</w:t>
                  </w:r>
                  <w:r>
                    <w:rPr>
                      <w:rFonts w:hint="default" w:ascii="Times New Roman" w:hAnsi="Times New Roman" w:eastAsia="华文中宋" w:cs="Times New Roman"/>
                      <w:b w:val="0"/>
                      <w:bCs/>
                      <w:color w:val="000000" w:themeColor="text1"/>
                      <w:lang w:eastAsia="zh-CN"/>
                      <w14:textFill>
                        <w14:solidFill>
                          <w14:schemeClr w14:val="tx1"/>
                        </w14:solidFill>
                      </w14:textFill>
                    </w:rPr>
                    <w:t>，</w:t>
                  </w:r>
                  <w:r>
                    <w:rPr>
                      <w:rFonts w:hint="default" w:ascii="Times New Roman" w:hAnsi="Times New Roman" w:eastAsia="华文中宋" w:cs="Times New Roman"/>
                      <w:b w:val="0"/>
                      <w:bCs/>
                      <w:color w:val="000000" w:themeColor="text1"/>
                      <w:lang w:val="en-US" w:eastAsia="zh-CN"/>
                      <w14:textFill>
                        <w14:solidFill>
                          <w14:schemeClr w14:val="tx1"/>
                        </w14:solidFill>
                      </w14:textFill>
                    </w:rPr>
                    <w:t>无法回填的部分用于施工营地土地平整</w:t>
                  </w:r>
                  <w:r>
                    <w:rPr>
                      <w:rFonts w:hint="default" w:ascii="Times New Roman" w:hAnsi="Times New Roman" w:eastAsia="华文中宋" w:cs="Times New Roman"/>
                      <w:b w:val="0"/>
                      <w:bCs/>
                      <w:color w:val="000000" w:themeColor="text1"/>
                      <w:lang w:eastAsia="zh-CN"/>
                      <w14:textFill>
                        <w14:solidFill>
                          <w14:schemeClr w14:val="tx1"/>
                        </w14:solidFill>
                      </w14:textFill>
                    </w:rPr>
                    <w:t>；钻孔泥浆及沉淀池底泥自然干化后就地填埋压实。</w:t>
                  </w:r>
                </w:p>
              </w:tc>
              <w:tc>
                <w:tcPr>
                  <w:tcW w:w="804"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lang w:val="en-US" w:eastAsia="zh-CN"/>
                      <w14:textFill>
                        <w14:solidFill>
                          <w14:schemeClr w14:val="tx1"/>
                        </w14:solidFill>
                      </w14:textFill>
                    </w:rPr>
                  </w:pPr>
                  <w:r>
                    <w:rPr>
                      <w:rFonts w:hint="default" w:ascii="Times New Roman" w:hAnsi="Times New Roman" w:eastAsia="华文中宋" w:cs="Times New Roman"/>
                      <w:b w:val="0"/>
                      <w:bCs/>
                      <w:color w:val="000000" w:themeColor="text1"/>
                      <w:lang w:val="en-US" w:eastAsia="zh-CN"/>
                      <w14:textFill>
                        <w14:solidFill>
                          <w14:schemeClr w14:val="tx1"/>
                        </w14:solidFill>
                      </w14:textFill>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Merge w:val="continue"/>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p>
              </w:tc>
              <w:tc>
                <w:tcPr>
                  <w:tcW w:w="668" w:type="pct"/>
                  <w:vMerge w:val="continue"/>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p>
              </w:tc>
              <w:tc>
                <w:tcPr>
                  <w:tcW w:w="1001"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lang w:val="en-US" w:eastAsia="zh-CN"/>
                      <w14:textFill>
                        <w14:solidFill>
                          <w14:schemeClr w14:val="tx1"/>
                        </w14:solidFill>
                      </w14:textFill>
                    </w:rPr>
                  </w:pPr>
                  <w:r>
                    <w:rPr>
                      <w:rFonts w:hint="default" w:ascii="Times New Roman" w:hAnsi="Times New Roman" w:eastAsia="华文中宋" w:cs="Times New Roman"/>
                      <w:b w:val="0"/>
                      <w:bCs/>
                      <w:color w:val="000000" w:themeColor="text1"/>
                      <w:lang w:val="en-US" w:eastAsia="zh-CN"/>
                      <w14:textFill>
                        <w14:solidFill>
                          <w14:schemeClr w14:val="tx1"/>
                        </w14:solidFill>
                      </w14:textFill>
                    </w:rPr>
                    <w:t>废机油</w:t>
                  </w:r>
                </w:p>
              </w:tc>
              <w:tc>
                <w:tcPr>
                  <w:tcW w:w="2149"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lang w:val="en-US" w:eastAsia="zh-CN"/>
                      <w14:textFill>
                        <w14:solidFill>
                          <w14:schemeClr w14:val="tx1"/>
                        </w14:solidFill>
                      </w14:textFill>
                    </w:rPr>
                  </w:pPr>
                  <w:r>
                    <w:rPr>
                      <w:rFonts w:hint="default" w:ascii="Times New Roman" w:hAnsi="Times New Roman" w:eastAsia="华文中宋" w:cs="Times New Roman"/>
                      <w:b w:val="0"/>
                      <w:bCs/>
                      <w:color w:val="000000" w:themeColor="text1"/>
                      <w:lang w:val="en-US" w:eastAsia="zh-CN"/>
                      <w14:textFill>
                        <w14:solidFill>
                          <w14:schemeClr w14:val="tx1"/>
                        </w14:solidFill>
                      </w14:textFill>
                    </w:rPr>
                    <w:t>交由危险废物处置单位处置</w:t>
                  </w:r>
                </w:p>
              </w:tc>
              <w:tc>
                <w:tcPr>
                  <w:tcW w:w="804"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lang w:val="en-US" w:eastAsia="zh-CN"/>
                      <w14:textFill>
                        <w14:solidFill>
                          <w14:schemeClr w14:val="tx1"/>
                        </w14:solidFill>
                      </w14:textFill>
                    </w:rPr>
                  </w:pPr>
                  <w:r>
                    <w:rPr>
                      <w:rFonts w:hint="default" w:ascii="Times New Roman" w:hAnsi="Times New Roman" w:eastAsia="华文中宋" w:cs="Times New Roman"/>
                      <w:b w:val="0"/>
                      <w:bCs/>
                      <w:color w:val="000000" w:themeColor="text1"/>
                      <w:lang w:val="en-US" w:eastAsia="zh-CN"/>
                      <w14:textFill>
                        <w14:solidFill>
                          <w14:schemeClr w14:val="tx1"/>
                        </w14:solidFill>
                      </w14:textFill>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76" w:type="pct"/>
                  <w:vMerge w:val="continue"/>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p>
              </w:tc>
              <w:tc>
                <w:tcPr>
                  <w:tcW w:w="668" w:type="pct"/>
                  <w:vMerge w:val="continue"/>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p>
              </w:tc>
              <w:tc>
                <w:tcPr>
                  <w:tcW w:w="1001"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生活垃圾</w:t>
                  </w:r>
                </w:p>
              </w:tc>
              <w:tc>
                <w:tcPr>
                  <w:tcW w:w="2149"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kern w:val="0"/>
                      <w:sz w:val="21"/>
                      <w:szCs w:val="21"/>
                      <w:lang w:val="en-US" w:eastAsia="zh-CN" w:bidi="ar-SA"/>
                      <w14:textFill>
                        <w14:solidFill>
                          <w14:schemeClr w14:val="tx1"/>
                        </w14:solidFill>
                      </w14:textFill>
                    </w:rPr>
                    <w:t>生活垃圾定期拉运至且末县生活垃圾填埋场处理</w:t>
                  </w:r>
                </w:p>
              </w:tc>
              <w:tc>
                <w:tcPr>
                  <w:tcW w:w="804" w:type="pct"/>
                  <w:vMerge w:val="restar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lang w:val="en-US" w:eastAsia="zh-CN"/>
                      <w14:textFill>
                        <w14:solidFill>
                          <w14:schemeClr w14:val="tx1"/>
                        </w14:solidFill>
                      </w14:textFill>
                    </w:rPr>
                  </w:pPr>
                  <w:r>
                    <w:rPr>
                      <w:rFonts w:hint="default" w:ascii="Times New Roman" w:hAnsi="Times New Roman" w:eastAsia="华文中宋" w:cs="Times New Roman"/>
                      <w:b w:val="0"/>
                      <w:bCs/>
                      <w:color w:val="000000" w:themeColor="text1"/>
                      <w:lang w:val="en-US" w:eastAsia="zh-CN"/>
                      <w14:textFill>
                        <w14:solidFill>
                          <w14:schemeClr w14:val="tx1"/>
                        </w14:solidFill>
                      </w14:textFill>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376" w:type="pct"/>
                  <w:vMerge w:val="restar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4</w:t>
                  </w:r>
                </w:p>
              </w:tc>
              <w:tc>
                <w:tcPr>
                  <w:tcW w:w="668" w:type="pct"/>
                  <w:vMerge w:val="restar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生态措施（水土保持）</w:t>
                  </w:r>
                </w:p>
              </w:tc>
              <w:tc>
                <w:tcPr>
                  <w:tcW w:w="1001"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工程措施</w:t>
                  </w:r>
                </w:p>
              </w:tc>
              <w:tc>
                <w:tcPr>
                  <w:tcW w:w="2149"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lang w:val="en-US" w:eastAsia="zh-CN"/>
                      <w14:textFill>
                        <w14:solidFill>
                          <w14:schemeClr w14:val="tx1"/>
                        </w14:solidFill>
                      </w14:textFill>
                    </w:rPr>
                  </w:pPr>
                  <w:r>
                    <w:rPr>
                      <w:rFonts w:hint="default" w:ascii="Times New Roman" w:hAnsi="Times New Roman" w:eastAsia="华文中宋" w:cs="Times New Roman"/>
                      <w:b w:val="0"/>
                      <w:bCs/>
                      <w:color w:val="000000" w:themeColor="text1"/>
                      <w:lang w:val="en-US" w:eastAsia="zh-CN"/>
                      <w14:textFill>
                        <w14:solidFill>
                          <w14:schemeClr w14:val="tx1"/>
                        </w14:solidFill>
                      </w14:textFill>
                    </w:rPr>
                    <w:t>场地平整</w:t>
                  </w:r>
                </w:p>
              </w:tc>
              <w:tc>
                <w:tcPr>
                  <w:tcW w:w="804" w:type="pct"/>
                  <w:vMerge w:val="restar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lang w:val="en-US" w:eastAsia="zh-CN"/>
                      <w14:textFill>
                        <w14:solidFill>
                          <w14:schemeClr w14:val="tx1"/>
                        </w14:solidFill>
                      </w14:textFill>
                    </w:rPr>
                  </w:pPr>
                  <w:r>
                    <w:rPr>
                      <w:rFonts w:hint="default" w:ascii="Times New Roman" w:hAnsi="Times New Roman" w:eastAsia="华文中宋" w:cs="Times New Roman"/>
                      <w:b w:val="0"/>
                      <w:bCs/>
                      <w:color w:val="000000" w:themeColor="text1"/>
                      <w:lang w:val="en-US" w:eastAsia="zh-CN"/>
                      <w14:textFill>
                        <w14:solidFill>
                          <w14:schemeClr w14:val="tx1"/>
                        </w14:solidFill>
                      </w14:textFill>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Merge w:val="continue"/>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p>
              </w:tc>
              <w:tc>
                <w:tcPr>
                  <w:tcW w:w="668" w:type="pct"/>
                  <w:vMerge w:val="continue"/>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p>
              </w:tc>
              <w:tc>
                <w:tcPr>
                  <w:tcW w:w="1001"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植物措施</w:t>
                  </w:r>
                </w:p>
              </w:tc>
              <w:tc>
                <w:tcPr>
                  <w:tcW w:w="2149"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lang w:eastAsia="zh-CN"/>
                      <w14:textFill>
                        <w14:solidFill>
                          <w14:schemeClr w14:val="tx1"/>
                        </w14:solidFill>
                      </w14:textFill>
                    </w:rPr>
                  </w:pPr>
                  <w:r>
                    <w:rPr>
                      <w:rFonts w:hint="default" w:ascii="Times New Roman" w:hAnsi="Times New Roman" w:eastAsia="华文中宋" w:cs="Times New Roman"/>
                      <w:b w:val="0"/>
                      <w:bCs/>
                      <w:color w:val="000000" w:themeColor="text1"/>
                      <w:lang w:val="en-US" w:eastAsia="zh-CN"/>
                      <w14:textFill>
                        <w14:solidFill>
                          <w14:schemeClr w14:val="tx1"/>
                        </w14:solidFill>
                      </w14:textFill>
                    </w:rPr>
                    <w:t>恢复植被</w:t>
                  </w:r>
                </w:p>
              </w:tc>
              <w:tc>
                <w:tcPr>
                  <w:tcW w:w="804" w:type="pct"/>
                  <w:vMerge w:val="continue"/>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Merge w:val="continue"/>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p>
              </w:tc>
              <w:tc>
                <w:tcPr>
                  <w:tcW w:w="668" w:type="pct"/>
                  <w:vMerge w:val="continue"/>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p>
              </w:tc>
              <w:tc>
                <w:tcPr>
                  <w:tcW w:w="1001"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临时措施</w:t>
                  </w:r>
                </w:p>
              </w:tc>
              <w:tc>
                <w:tcPr>
                  <w:tcW w:w="2149"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lang w:val="en-US" w:eastAsia="zh-CN"/>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洒水</w:t>
                  </w:r>
                  <w:r>
                    <w:rPr>
                      <w:rFonts w:hint="default" w:ascii="Times New Roman" w:hAnsi="Times New Roman" w:eastAsia="华文中宋" w:cs="Times New Roman"/>
                      <w:b w:val="0"/>
                      <w:bCs/>
                      <w:color w:val="000000" w:themeColor="text1"/>
                      <w:lang w:val="en-US" w:eastAsia="zh-CN"/>
                      <w14:textFill>
                        <w14:solidFill>
                          <w14:schemeClr w14:val="tx1"/>
                        </w14:solidFill>
                      </w14:textFill>
                    </w:rPr>
                    <w:t>降尘</w:t>
                  </w:r>
                </w:p>
              </w:tc>
              <w:tc>
                <w:tcPr>
                  <w:tcW w:w="804" w:type="pct"/>
                  <w:vMerge w:val="continue"/>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95" w:type="pct"/>
                  <w:gridSpan w:val="4"/>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14:textFill>
                        <w14:solidFill>
                          <w14:schemeClr w14:val="tx1"/>
                        </w14:solidFill>
                      </w14:textFill>
                    </w:rPr>
                  </w:pPr>
                  <w:r>
                    <w:rPr>
                      <w:rFonts w:hint="default" w:ascii="Times New Roman" w:hAnsi="Times New Roman" w:eastAsia="华文中宋" w:cs="Times New Roman"/>
                      <w:b w:val="0"/>
                      <w:bCs/>
                      <w:color w:val="000000" w:themeColor="text1"/>
                      <w14:textFill>
                        <w14:solidFill>
                          <w14:schemeClr w14:val="tx1"/>
                        </w14:solidFill>
                      </w14:textFill>
                    </w:rPr>
                    <w:t>合计</w:t>
                  </w:r>
                </w:p>
              </w:tc>
              <w:tc>
                <w:tcPr>
                  <w:tcW w:w="804" w:type="pct"/>
                  <w:tcBorders>
                    <w:tl2br w:val="nil"/>
                    <w:tr2bl w:val="nil"/>
                  </w:tcBorders>
                  <w:noWrap w:val="0"/>
                  <w:vAlign w:val="center"/>
                </w:tcPr>
                <w:p>
                  <w:pPr>
                    <w:pStyle w:val="62"/>
                    <w:spacing w:line="240" w:lineRule="auto"/>
                    <w:rPr>
                      <w:rFonts w:hint="default" w:ascii="Times New Roman" w:hAnsi="Times New Roman" w:eastAsia="华文中宋" w:cs="Times New Roman"/>
                      <w:b w:val="0"/>
                      <w:bCs/>
                      <w:color w:val="000000" w:themeColor="text1"/>
                      <w:lang w:val="en-US" w:eastAsia="zh-CN"/>
                      <w14:textFill>
                        <w14:solidFill>
                          <w14:schemeClr w14:val="tx1"/>
                        </w14:solidFill>
                      </w14:textFill>
                    </w:rPr>
                  </w:pPr>
                  <w:r>
                    <w:rPr>
                      <w:rFonts w:hint="default" w:ascii="Times New Roman" w:hAnsi="Times New Roman" w:eastAsia="华文中宋" w:cs="Times New Roman"/>
                      <w:b w:val="0"/>
                      <w:bCs/>
                      <w:color w:val="000000" w:themeColor="text1"/>
                      <w:lang w:val="en-US" w:eastAsia="zh-CN"/>
                      <w14:textFill>
                        <w14:solidFill>
                          <w14:schemeClr w14:val="tx1"/>
                        </w14:solidFill>
                      </w14:textFill>
                    </w:rPr>
                    <w:t>16.0</w:t>
                  </w:r>
                </w:p>
              </w:tc>
            </w:tr>
          </w:tbl>
          <w:p>
            <w:pPr>
              <w:adjustRightInd w:val="0"/>
              <w:snapToGrid w:val="0"/>
              <w:rPr>
                <w:rFonts w:hint="default" w:ascii="Times New Roman" w:hAnsi="Times New Roman" w:eastAsia="华文中宋" w:cs="Times New Roman"/>
                <w:color w:val="000000" w:themeColor="text1"/>
                <w14:textFill>
                  <w14:solidFill>
                    <w14:schemeClr w14:val="tx1"/>
                  </w14:solidFill>
                </w14:textFill>
              </w:rPr>
            </w:pPr>
          </w:p>
          <w:p>
            <w:pPr>
              <w:pStyle w:val="47"/>
              <w:rPr>
                <w:rFonts w:hint="default" w:ascii="Times New Roman" w:hAnsi="Times New Roman" w:eastAsia="华文中宋" w:cs="Times New Roman"/>
                <w:bCs/>
                <w:color w:val="000000" w:themeColor="text1"/>
                <w:spacing w:val="10"/>
                <w:szCs w:val="21"/>
                <w14:textFill>
                  <w14:solidFill>
                    <w14:schemeClr w14:val="tx1"/>
                  </w14:solidFill>
                </w14:textFill>
              </w:rPr>
            </w:pPr>
          </w:p>
          <w:p>
            <w:pPr>
              <w:pStyle w:val="47"/>
              <w:rPr>
                <w:rFonts w:hint="default" w:ascii="Times New Roman" w:hAnsi="Times New Roman" w:eastAsia="华文中宋" w:cs="Times New Roman"/>
                <w:bCs/>
                <w:color w:val="000000" w:themeColor="text1"/>
                <w:spacing w:val="10"/>
                <w:szCs w:val="21"/>
                <w14:textFill>
                  <w14:solidFill>
                    <w14:schemeClr w14:val="tx1"/>
                  </w14:solidFill>
                </w14:textFill>
              </w:rPr>
            </w:pPr>
          </w:p>
          <w:p>
            <w:pPr>
              <w:pStyle w:val="47"/>
              <w:rPr>
                <w:rFonts w:hint="default" w:ascii="Times New Roman" w:hAnsi="Times New Roman" w:eastAsia="华文中宋" w:cs="Times New Roman"/>
                <w:bCs/>
                <w:color w:val="000000" w:themeColor="text1"/>
                <w:spacing w:val="10"/>
                <w:szCs w:val="21"/>
                <w14:textFill>
                  <w14:solidFill>
                    <w14:schemeClr w14:val="tx1"/>
                  </w14:solidFill>
                </w14:textFill>
              </w:rPr>
            </w:pPr>
          </w:p>
          <w:p>
            <w:pPr>
              <w:pStyle w:val="47"/>
              <w:ind w:left="0" w:leftChars="0" w:firstLine="0" w:firstLineChars="0"/>
              <w:jc w:val="both"/>
              <w:rPr>
                <w:rFonts w:hint="default" w:ascii="Times New Roman" w:hAnsi="Times New Roman" w:eastAsia="华文中宋" w:cs="Times New Roman"/>
                <w:bCs/>
                <w:color w:val="000000" w:themeColor="text1"/>
                <w:spacing w:val="10"/>
                <w:szCs w:val="21"/>
                <w14:textFill>
                  <w14:solidFill>
                    <w14:schemeClr w14:val="tx1"/>
                  </w14:solidFill>
                </w14:textFill>
              </w:rPr>
            </w:pPr>
          </w:p>
        </w:tc>
      </w:tr>
    </w:tbl>
    <w:p>
      <w:pPr>
        <w:rPr>
          <w:rFonts w:hint="default" w:ascii="Times New Roman" w:hAnsi="Times New Roman" w:eastAsia="华文中宋" w:cs="Times New Roman"/>
          <w:color w:val="000000" w:themeColor="text1"/>
          <w14:textFill>
            <w14:solidFill>
              <w14:schemeClr w14:val="tx1"/>
            </w14:solidFill>
          </w14:textFill>
        </w:rPr>
        <w:sectPr>
          <w:pgSz w:w="11907" w:h="16840"/>
          <w:pgMar w:top="1440" w:right="1797" w:bottom="1440" w:left="1797" w:header="851" w:footer="1077" w:gutter="0"/>
          <w:pgBorders>
            <w:top w:val="none" w:sz="0" w:space="0"/>
            <w:left w:val="none" w:sz="0" w:space="0"/>
            <w:bottom w:val="none" w:sz="0" w:space="0"/>
            <w:right w:val="none" w:sz="0" w:space="0"/>
          </w:pgBorders>
          <w:pgNumType w:fmt="decimal"/>
          <w:cols w:space="720" w:num="1"/>
          <w:docGrid w:linePitch="312" w:charSpace="0"/>
        </w:sectPr>
      </w:pPr>
    </w:p>
    <w:p>
      <w:pPr>
        <w:pStyle w:val="24"/>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Style w:val="36"/>
          <w:rFonts w:hint="default" w:ascii="Times New Roman" w:hAnsi="Times New Roman" w:eastAsia="华文中宋" w:cs="Times New Roman"/>
          <w:b/>
          <w:bCs/>
          <w:color w:val="000000" w:themeColor="text1"/>
          <w:lang w:val="en-US" w:eastAsia="zh-CN"/>
          <w14:textFill>
            <w14:solidFill>
              <w14:schemeClr w14:val="tx1"/>
            </w14:solidFill>
          </w14:textFill>
        </w:rPr>
      </w:pPr>
      <w:bookmarkStart w:id="36" w:name="_Toc30816"/>
      <w:r>
        <w:rPr>
          <w:rStyle w:val="36"/>
          <w:rFonts w:hint="default" w:ascii="Times New Roman" w:hAnsi="Times New Roman" w:eastAsia="华文中宋" w:cs="Times New Roman"/>
          <w:b/>
          <w:bCs/>
          <w:color w:val="000000" w:themeColor="text1"/>
          <w:lang w:val="en-US" w:eastAsia="zh-CN"/>
          <w14:textFill>
            <w14:solidFill>
              <w14:schemeClr w14:val="tx1"/>
            </w14:solidFill>
          </w14:textFill>
        </w:rPr>
        <w:t>六、生态环境保护措施监督检查清单</w:t>
      </w:r>
      <w:bookmarkEnd w:id="36"/>
    </w:p>
    <w:tbl>
      <w:tblPr>
        <w:tblStyle w:val="29"/>
        <w:tblW w:w="5282"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2341"/>
        <w:gridCol w:w="2150"/>
        <w:gridCol w:w="1522"/>
        <w:gridCol w:w="11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44" w:type="pct"/>
            <w:vMerge w:val="restart"/>
            <w:tcBorders>
              <w:tl2br w:val="single" w:color="auto" w:sz="4" w:space="0"/>
            </w:tcBorders>
            <w:noWrap w:val="0"/>
            <w:vAlign w:val="top"/>
          </w:tcPr>
          <w:p>
            <w:pPr>
              <w:pStyle w:val="24"/>
              <w:keepNext w:val="0"/>
              <w:keepLines w:val="0"/>
              <w:pageBreakBefore w:val="0"/>
              <w:kinsoku/>
              <w:wordWrap/>
              <w:overflowPunct/>
              <w:topLinePunct w:val="0"/>
              <w:autoSpaceDE/>
              <w:autoSpaceDN/>
              <w:bidi w:val="0"/>
              <w:adjustRightInd w:val="0"/>
              <w:snapToGrid w:val="0"/>
              <w:spacing w:before="0" w:beforeAutospacing="0" w:after="0" w:afterAutospacing="0" w:line="300" w:lineRule="exact"/>
              <w:ind w:firstLine="0" w:firstLineChars="0"/>
              <w:jc w:val="center"/>
              <w:textAlignment w:val="auto"/>
              <w:outlineLvl w:val="9"/>
              <w:rPr>
                <w:rFonts w:hint="default" w:ascii="Times New Roman" w:hAnsi="Times New Roman" w:eastAsia="华文中宋" w:cs="Times New Roman"/>
                <w:color w:val="000000" w:themeColor="text1"/>
                <w:kern w:val="2"/>
                <w:sz w:val="21"/>
                <w:szCs w:val="21"/>
                <w14:textFill>
                  <w14:solidFill>
                    <w14:schemeClr w14:val="tx1"/>
                  </w14:solidFill>
                </w14:textFill>
              </w:rPr>
            </w:pPr>
            <w:r>
              <w:rPr>
                <w:rFonts w:hint="default" w:ascii="Times New Roman" w:hAnsi="Times New Roman" w:eastAsia="华文中宋" w:cs="Times New Roman"/>
                <w:color w:val="000000" w:themeColor="text1"/>
                <w:kern w:val="2"/>
                <w:sz w:val="21"/>
                <w:szCs w:val="21"/>
                <w14:textFill>
                  <w14:solidFill>
                    <w14:schemeClr w14:val="tx1"/>
                  </w14:solidFill>
                </w14:textFill>
              </w:rPr>
              <w:t xml:space="preserve">       </w:t>
            </w:r>
          </w:p>
          <w:p>
            <w:pPr>
              <w:pStyle w:val="24"/>
              <w:keepNext w:val="0"/>
              <w:keepLines w:val="0"/>
              <w:pageBreakBefore w:val="0"/>
              <w:kinsoku/>
              <w:wordWrap/>
              <w:overflowPunct/>
              <w:topLinePunct w:val="0"/>
              <w:autoSpaceDE/>
              <w:autoSpaceDN/>
              <w:bidi w:val="0"/>
              <w:adjustRightInd w:val="0"/>
              <w:snapToGrid w:val="0"/>
              <w:spacing w:before="0" w:beforeAutospacing="0" w:after="0" w:afterAutospacing="0" w:line="300" w:lineRule="exact"/>
              <w:ind w:firstLine="0" w:firstLineChars="0"/>
              <w:jc w:val="center"/>
              <w:textAlignment w:val="auto"/>
              <w:outlineLvl w:val="0"/>
              <w:rPr>
                <w:rFonts w:hint="default" w:ascii="Times New Roman" w:hAnsi="Times New Roman" w:eastAsia="华文中宋" w:cs="Times New Roman"/>
                <w:color w:val="000000" w:themeColor="text1"/>
                <w:kern w:val="2"/>
                <w:sz w:val="21"/>
                <w:szCs w:val="21"/>
                <w14:textFill>
                  <w14:solidFill>
                    <w14:schemeClr w14:val="tx1"/>
                  </w14:solidFill>
                </w14:textFill>
              </w:rPr>
            </w:pPr>
            <w:r>
              <w:rPr>
                <w:rFonts w:hint="default" w:ascii="Times New Roman" w:hAnsi="Times New Roman" w:eastAsia="华文中宋" w:cs="Times New Roman"/>
                <w:color w:val="000000" w:themeColor="text1"/>
                <w:kern w:val="2"/>
                <w:sz w:val="21"/>
                <w:szCs w:val="21"/>
                <w14:textFill>
                  <w14:solidFill>
                    <w14:schemeClr w14:val="tx1"/>
                  </w14:solidFill>
                </w14:textFill>
              </w:rPr>
              <w:t xml:space="preserve">           </w:t>
            </w:r>
            <w:bookmarkStart w:id="37" w:name="_Toc6425"/>
            <w:bookmarkStart w:id="38" w:name="_Toc13788"/>
            <w:bookmarkStart w:id="39" w:name="_Toc15566"/>
            <w:bookmarkStart w:id="40" w:name="_Toc3897"/>
            <w:bookmarkStart w:id="41" w:name="_Toc14697"/>
            <w:r>
              <w:rPr>
                <w:rFonts w:hint="default" w:ascii="Times New Roman" w:hAnsi="Times New Roman" w:eastAsia="华文中宋" w:cs="Times New Roman"/>
                <w:color w:val="000000" w:themeColor="text1"/>
                <w:kern w:val="2"/>
                <w:sz w:val="21"/>
                <w:szCs w:val="21"/>
                <w14:textFill>
                  <w14:solidFill>
                    <w14:schemeClr w14:val="tx1"/>
                  </w14:solidFill>
                </w14:textFill>
              </w:rPr>
              <w:t>内容</w:t>
            </w:r>
            <w:bookmarkEnd w:id="37"/>
            <w:bookmarkEnd w:id="38"/>
            <w:bookmarkEnd w:id="39"/>
            <w:bookmarkEnd w:id="40"/>
            <w:bookmarkEnd w:id="41"/>
          </w:p>
          <w:p>
            <w:pPr>
              <w:pStyle w:val="24"/>
              <w:keepNext w:val="0"/>
              <w:keepLines w:val="0"/>
              <w:pageBreakBefore w:val="0"/>
              <w:kinsoku/>
              <w:wordWrap/>
              <w:overflowPunct/>
              <w:topLinePunct w:val="0"/>
              <w:autoSpaceDE/>
              <w:autoSpaceDN/>
              <w:bidi w:val="0"/>
              <w:adjustRightInd w:val="0"/>
              <w:snapToGrid w:val="0"/>
              <w:spacing w:before="0" w:beforeAutospacing="0" w:after="0" w:afterAutospacing="0" w:line="300" w:lineRule="exact"/>
              <w:ind w:firstLine="0" w:firstLineChars="0"/>
              <w:jc w:val="center"/>
              <w:textAlignment w:val="auto"/>
              <w:outlineLvl w:val="9"/>
              <w:rPr>
                <w:rFonts w:hint="default" w:ascii="Times New Roman" w:hAnsi="Times New Roman" w:eastAsia="华文中宋" w:cs="Times New Roman"/>
                <w:color w:val="000000" w:themeColor="text1"/>
                <w:kern w:val="2"/>
                <w:sz w:val="135"/>
                <w:szCs w:val="21"/>
                <w14:textFill>
                  <w14:solidFill>
                    <w14:schemeClr w14:val="tx1"/>
                  </w14:solidFill>
                </w14:textFill>
              </w:rPr>
            </w:pPr>
            <w:r>
              <w:rPr>
                <w:rFonts w:hint="default" w:ascii="Times New Roman" w:hAnsi="Times New Roman" w:eastAsia="华文中宋" w:cs="Times New Roman"/>
                <w:color w:val="000000" w:themeColor="text1"/>
                <w:kern w:val="2"/>
                <w:sz w:val="21"/>
                <w:szCs w:val="21"/>
                <w14:textFill>
                  <w14:solidFill>
                    <w14:schemeClr w14:val="tx1"/>
                  </w14:solidFill>
                </w14:textFill>
              </w:rPr>
              <w:t xml:space="preserve"> </w:t>
            </w:r>
            <w:r>
              <w:rPr>
                <w:rFonts w:hint="default" w:ascii="Times New Roman" w:hAnsi="Times New Roman" w:eastAsia="华文中宋" w:cs="Times New Roman"/>
                <w:color w:val="000000" w:themeColor="text1"/>
                <w:kern w:val="2"/>
                <w:sz w:val="135"/>
                <w:szCs w:val="21"/>
                <w14:textFill>
                  <w14:solidFill>
                    <w14:schemeClr w14:val="tx1"/>
                  </w14:solidFill>
                </w14:textFill>
              </w:rPr>
              <w:t xml:space="preserve"> </w:t>
            </w:r>
          </w:p>
          <w:p>
            <w:pPr>
              <w:pStyle w:val="24"/>
              <w:keepNext w:val="0"/>
              <w:keepLines w:val="0"/>
              <w:pageBreakBefore w:val="0"/>
              <w:kinsoku/>
              <w:wordWrap/>
              <w:overflowPunct/>
              <w:topLinePunct w:val="0"/>
              <w:autoSpaceDE/>
              <w:autoSpaceDN/>
              <w:bidi w:val="0"/>
              <w:adjustRightInd w:val="0"/>
              <w:snapToGrid w:val="0"/>
              <w:spacing w:before="0" w:beforeAutospacing="0" w:after="0" w:afterAutospacing="0" w:line="300" w:lineRule="exact"/>
              <w:ind w:firstLine="0" w:firstLineChars="0"/>
              <w:jc w:val="center"/>
              <w:textAlignment w:val="auto"/>
              <w:outlineLvl w:val="0"/>
              <w:rPr>
                <w:rFonts w:hint="default" w:ascii="Times New Roman" w:hAnsi="Times New Roman" w:eastAsia="华文中宋" w:cs="Times New Roman"/>
                <w:color w:val="000000" w:themeColor="text1"/>
                <w:kern w:val="2"/>
                <w:sz w:val="21"/>
                <w:szCs w:val="21"/>
                <w14:textFill>
                  <w14:solidFill>
                    <w14:schemeClr w14:val="tx1"/>
                  </w14:solidFill>
                </w14:textFill>
              </w:rPr>
            </w:pPr>
            <w:bookmarkStart w:id="42" w:name="_Toc14642"/>
            <w:bookmarkStart w:id="43" w:name="_Toc18982"/>
            <w:bookmarkStart w:id="44" w:name="_Toc30346"/>
            <w:bookmarkStart w:id="45" w:name="_Toc22917"/>
            <w:bookmarkStart w:id="46" w:name="_Toc10964"/>
            <w:r>
              <w:rPr>
                <w:rFonts w:hint="default" w:ascii="Times New Roman" w:hAnsi="Times New Roman" w:eastAsia="华文中宋" w:cs="Times New Roman"/>
                <w:color w:val="000000" w:themeColor="text1"/>
                <w:kern w:val="2"/>
                <w:sz w:val="21"/>
                <w:szCs w:val="21"/>
                <w14:textFill>
                  <w14:solidFill>
                    <w14:schemeClr w14:val="tx1"/>
                  </w14:solidFill>
                </w14:textFill>
              </w:rPr>
              <w:t>要素</w:t>
            </w:r>
            <w:bookmarkEnd w:id="42"/>
            <w:bookmarkEnd w:id="43"/>
            <w:bookmarkEnd w:id="44"/>
            <w:bookmarkEnd w:id="45"/>
            <w:bookmarkEnd w:id="46"/>
          </w:p>
        </w:tc>
        <w:tc>
          <w:tcPr>
            <w:tcW w:w="2494" w:type="pct"/>
            <w:gridSpan w:val="2"/>
            <w:noWrap w:val="0"/>
            <w:vAlign w:val="center"/>
          </w:tcPr>
          <w:p>
            <w:pPr>
              <w:pStyle w:val="24"/>
              <w:keepNext w:val="0"/>
              <w:keepLines w:val="0"/>
              <w:pageBreakBefore w:val="0"/>
              <w:kinsoku/>
              <w:wordWrap/>
              <w:overflowPunct/>
              <w:topLinePunct w:val="0"/>
              <w:autoSpaceDE/>
              <w:autoSpaceDN/>
              <w:bidi w:val="0"/>
              <w:adjustRightInd w:val="0"/>
              <w:snapToGrid w:val="0"/>
              <w:spacing w:before="0" w:beforeAutospacing="0" w:after="0" w:afterAutospacing="0" w:line="300" w:lineRule="exact"/>
              <w:ind w:firstLine="0" w:firstLineChars="0"/>
              <w:jc w:val="center"/>
              <w:textAlignment w:val="auto"/>
              <w:outlineLvl w:val="0"/>
              <w:rPr>
                <w:rFonts w:hint="default" w:ascii="Times New Roman" w:hAnsi="Times New Roman" w:eastAsia="华文中宋" w:cs="Times New Roman"/>
                <w:color w:val="000000" w:themeColor="text1"/>
                <w:kern w:val="2"/>
                <w:sz w:val="21"/>
                <w:szCs w:val="21"/>
                <w14:textFill>
                  <w14:solidFill>
                    <w14:schemeClr w14:val="tx1"/>
                  </w14:solidFill>
                </w14:textFill>
              </w:rPr>
            </w:pPr>
            <w:bookmarkStart w:id="47" w:name="_Toc20155"/>
            <w:bookmarkStart w:id="48" w:name="_Toc31410"/>
            <w:bookmarkStart w:id="49" w:name="_Toc9389"/>
            <w:bookmarkStart w:id="50" w:name="_Toc10371"/>
            <w:bookmarkStart w:id="51" w:name="_Toc27136"/>
            <w:r>
              <w:rPr>
                <w:rFonts w:hint="default" w:ascii="Times New Roman" w:hAnsi="Times New Roman" w:eastAsia="华文中宋" w:cs="Times New Roman"/>
                <w:color w:val="000000" w:themeColor="text1"/>
                <w:kern w:val="2"/>
                <w:sz w:val="21"/>
                <w:szCs w:val="21"/>
                <w14:textFill>
                  <w14:solidFill>
                    <w14:schemeClr w14:val="tx1"/>
                  </w14:solidFill>
                </w14:textFill>
              </w:rPr>
              <w:t>施工期</w:t>
            </w:r>
            <w:bookmarkEnd w:id="47"/>
            <w:bookmarkEnd w:id="48"/>
            <w:bookmarkEnd w:id="49"/>
            <w:bookmarkEnd w:id="50"/>
            <w:bookmarkEnd w:id="51"/>
          </w:p>
        </w:tc>
        <w:tc>
          <w:tcPr>
            <w:tcW w:w="1461" w:type="pct"/>
            <w:gridSpan w:val="2"/>
            <w:noWrap w:val="0"/>
            <w:vAlign w:val="center"/>
          </w:tcPr>
          <w:p>
            <w:pPr>
              <w:pStyle w:val="24"/>
              <w:keepNext w:val="0"/>
              <w:keepLines w:val="0"/>
              <w:pageBreakBefore w:val="0"/>
              <w:kinsoku/>
              <w:wordWrap/>
              <w:overflowPunct/>
              <w:topLinePunct w:val="0"/>
              <w:autoSpaceDE/>
              <w:autoSpaceDN/>
              <w:bidi w:val="0"/>
              <w:adjustRightInd w:val="0"/>
              <w:snapToGrid w:val="0"/>
              <w:spacing w:before="0" w:beforeAutospacing="0" w:after="0" w:afterAutospacing="0" w:line="300" w:lineRule="exact"/>
              <w:ind w:firstLine="0" w:firstLineChars="0"/>
              <w:jc w:val="center"/>
              <w:textAlignment w:val="auto"/>
              <w:outlineLvl w:val="0"/>
              <w:rPr>
                <w:rFonts w:hint="default" w:ascii="Times New Roman" w:hAnsi="Times New Roman" w:eastAsia="华文中宋" w:cs="Times New Roman"/>
                <w:color w:val="000000" w:themeColor="text1"/>
                <w:kern w:val="2"/>
                <w:sz w:val="21"/>
                <w:szCs w:val="21"/>
                <w14:textFill>
                  <w14:solidFill>
                    <w14:schemeClr w14:val="tx1"/>
                  </w14:solidFill>
                </w14:textFill>
              </w:rPr>
            </w:pPr>
            <w:bookmarkStart w:id="52" w:name="_Toc18884"/>
            <w:bookmarkStart w:id="53" w:name="_Toc19229"/>
            <w:bookmarkStart w:id="54" w:name="_Toc8092"/>
            <w:bookmarkStart w:id="55" w:name="_Toc526"/>
            <w:bookmarkStart w:id="56" w:name="_Toc3249"/>
            <w:r>
              <w:rPr>
                <w:rFonts w:hint="default" w:ascii="Times New Roman" w:hAnsi="Times New Roman" w:eastAsia="华文中宋" w:cs="Times New Roman"/>
                <w:color w:val="000000" w:themeColor="text1"/>
                <w:kern w:val="2"/>
                <w:sz w:val="21"/>
                <w:szCs w:val="21"/>
                <w14:textFill>
                  <w14:solidFill>
                    <w14:schemeClr w14:val="tx1"/>
                  </w14:solidFill>
                </w14:textFill>
              </w:rPr>
              <w:t>运营期</w:t>
            </w:r>
            <w:bookmarkEnd w:id="52"/>
            <w:bookmarkEnd w:id="53"/>
            <w:bookmarkEnd w:id="54"/>
            <w:bookmarkEnd w:id="55"/>
            <w:bookmarkEnd w:id="5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pct"/>
            <w:vMerge w:val="continue"/>
            <w:noWrap w:val="0"/>
            <w:vAlign w:val="top"/>
          </w:tcPr>
          <w:p>
            <w:pPr>
              <w:pStyle w:val="24"/>
              <w:keepNext w:val="0"/>
              <w:keepLines w:val="0"/>
              <w:pageBreakBefore w:val="0"/>
              <w:kinsoku/>
              <w:wordWrap/>
              <w:overflowPunct/>
              <w:topLinePunct w:val="0"/>
              <w:autoSpaceDE/>
              <w:autoSpaceDN/>
              <w:bidi w:val="0"/>
              <w:adjustRightInd w:val="0"/>
              <w:snapToGrid w:val="0"/>
              <w:spacing w:before="0" w:beforeAutospacing="0" w:after="0" w:afterAutospacing="0" w:line="300" w:lineRule="exact"/>
              <w:ind w:firstLine="0" w:firstLineChars="0"/>
              <w:jc w:val="center"/>
              <w:textAlignment w:val="auto"/>
              <w:outlineLvl w:val="9"/>
              <w:rPr>
                <w:rFonts w:hint="default" w:ascii="Times New Roman" w:hAnsi="Times New Roman" w:eastAsia="华文中宋" w:cs="Times New Roman"/>
                <w:color w:val="000000" w:themeColor="text1"/>
                <w:kern w:val="2"/>
                <w:sz w:val="21"/>
                <w:szCs w:val="21"/>
                <w14:textFill>
                  <w14:solidFill>
                    <w14:schemeClr w14:val="tx1"/>
                  </w14:solidFill>
                </w14:textFill>
              </w:rPr>
            </w:pPr>
          </w:p>
        </w:tc>
        <w:tc>
          <w:tcPr>
            <w:tcW w:w="1300" w:type="pct"/>
            <w:noWrap w:val="0"/>
            <w:vAlign w:val="center"/>
          </w:tcPr>
          <w:p>
            <w:pPr>
              <w:pStyle w:val="24"/>
              <w:keepNext w:val="0"/>
              <w:keepLines w:val="0"/>
              <w:pageBreakBefore w:val="0"/>
              <w:kinsoku/>
              <w:wordWrap/>
              <w:overflowPunct/>
              <w:topLinePunct w:val="0"/>
              <w:autoSpaceDE/>
              <w:autoSpaceDN/>
              <w:bidi w:val="0"/>
              <w:adjustRightInd w:val="0"/>
              <w:snapToGrid w:val="0"/>
              <w:spacing w:before="0" w:beforeAutospacing="0" w:after="0" w:afterAutospacing="0" w:line="300" w:lineRule="exact"/>
              <w:ind w:firstLine="0" w:firstLineChars="0"/>
              <w:jc w:val="center"/>
              <w:textAlignment w:val="auto"/>
              <w:outlineLvl w:val="0"/>
              <w:rPr>
                <w:rFonts w:hint="default" w:ascii="Times New Roman" w:hAnsi="Times New Roman" w:eastAsia="华文中宋" w:cs="Times New Roman"/>
                <w:color w:val="000000" w:themeColor="text1"/>
                <w:kern w:val="2"/>
                <w:sz w:val="21"/>
                <w:szCs w:val="21"/>
                <w14:textFill>
                  <w14:solidFill>
                    <w14:schemeClr w14:val="tx1"/>
                  </w14:solidFill>
                </w14:textFill>
              </w:rPr>
            </w:pPr>
            <w:bookmarkStart w:id="57" w:name="_Toc9537"/>
            <w:bookmarkStart w:id="58" w:name="_Toc20690"/>
            <w:bookmarkStart w:id="59" w:name="_Toc919"/>
            <w:bookmarkStart w:id="60" w:name="_Toc7238"/>
            <w:bookmarkStart w:id="61" w:name="_Toc27595"/>
            <w:r>
              <w:rPr>
                <w:rFonts w:hint="default" w:ascii="Times New Roman" w:hAnsi="Times New Roman" w:eastAsia="华文中宋" w:cs="Times New Roman"/>
                <w:color w:val="000000" w:themeColor="text1"/>
                <w:kern w:val="2"/>
                <w:sz w:val="21"/>
                <w:szCs w:val="21"/>
                <w14:textFill>
                  <w14:solidFill>
                    <w14:schemeClr w14:val="tx1"/>
                  </w14:solidFill>
                </w14:textFill>
              </w:rPr>
              <w:t>环境保护措施</w:t>
            </w:r>
            <w:bookmarkEnd w:id="57"/>
            <w:bookmarkEnd w:id="58"/>
            <w:bookmarkEnd w:id="59"/>
            <w:bookmarkEnd w:id="60"/>
            <w:bookmarkEnd w:id="61"/>
          </w:p>
        </w:tc>
        <w:tc>
          <w:tcPr>
            <w:tcW w:w="1194" w:type="pct"/>
            <w:noWrap w:val="0"/>
            <w:vAlign w:val="center"/>
          </w:tcPr>
          <w:p>
            <w:pPr>
              <w:pStyle w:val="24"/>
              <w:keepNext w:val="0"/>
              <w:keepLines w:val="0"/>
              <w:pageBreakBefore w:val="0"/>
              <w:kinsoku/>
              <w:wordWrap/>
              <w:overflowPunct/>
              <w:topLinePunct w:val="0"/>
              <w:autoSpaceDE/>
              <w:autoSpaceDN/>
              <w:bidi w:val="0"/>
              <w:adjustRightInd w:val="0"/>
              <w:snapToGrid w:val="0"/>
              <w:spacing w:before="0" w:beforeAutospacing="0" w:after="0" w:afterAutospacing="0" w:line="300" w:lineRule="exact"/>
              <w:ind w:firstLine="0" w:firstLineChars="0"/>
              <w:jc w:val="center"/>
              <w:textAlignment w:val="auto"/>
              <w:outlineLvl w:val="0"/>
              <w:rPr>
                <w:rFonts w:hint="default" w:ascii="Times New Roman" w:hAnsi="Times New Roman" w:eastAsia="华文中宋" w:cs="Times New Roman"/>
                <w:color w:val="000000" w:themeColor="text1"/>
                <w:kern w:val="2"/>
                <w:sz w:val="21"/>
                <w:szCs w:val="21"/>
                <w14:textFill>
                  <w14:solidFill>
                    <w14:schemeClr w14:val="tx1"/>
                  </w14:solidFill>
                </w14:textFill>
              </w:rPr>
            </w:pPr>
            <w:bookmarkStart w:id="62" w:name="_Toc19291"/>
            <w:bookmarkStart w:id="63" w:name="_Toc19507"/>
            <w:bookmarkStart w:id="64" w:name="_Toc29058"/>
            <w:bookmarkStart w:id="65" w:name="_Toc13884"/>
            <w:bookmarkStart w:id="66" w:name="_Toc2242"/>
            <w:r>
              <w:rPr>
                <w:rFonts w:hint="default" w:ascii="Times New Roman" w:hAnsi="Times New Roman" w:eastAsia="华文中宋" w:cs="Times New Roman"/>
                <w:color w:val="000000" w:themeColor="text1"/>
                <w:kern w:val="2"/>
                <w:sz w:val="21"/>
                <w:szCs w:val="21"/>
                <w14:textFill>
                  <w14:solidFill>
                    <w14:schemeClr w14:val="tx1"/>
                  </w14:solidFill>
                </w14:textFill>
              </w:rPr>
              <w:t>验收要求</w:t>
            </w:r>
            <w:bookmarkEnd w:id="62"/>
            <w:bookmarkEnd w:id="63"/>
            <w:bookmarkEnd w:id="64"/>
            <w:bookmarkEnd w:id="65"/>
            <w:bookmarkEnd w:id="66"/>
          </w:p>
        </w:tc>
        <w:tc>
          <w:tcPr>
            <w:tcW w:w="845" w:type="pct"/>
            <w:noWrap w:val="0"/>
            <w:vAlign w:val="center"/>
          </w:tcPr>
          <w:p>
            <w:pPr>
              <w:pStyle w:val="24"/>
              <w:keepNext w:val="0"/>
              <w:keepLines w:val="0"/>
              <w:pageBreakBefore w:val="0"/>
              <w:kinsoku/>
              <w:wordWrap/>
              <w:overflowPunct/>
              <w:topLinePunct w:val="0"/>
              <w:autoSpaceDE/>
              <w:autoSpaceDN/>
              <w:bidi w:val="0"/>
              <w:adjustRightInd w:val="0"/>
              <w:snapToGrid w:val="0"/>
              <w:spacing w:before="0" w:beforeAutospacing="0" w:after="0" w:afterAutospacing="0" w:line="300" w:lineRule="exact"/>
              <w:ind w:firstLine="0" w:firstLineChars="0"/>
              <w:jc w:val="center"/>
              <w:textAlignment w:val="auto"/>
              <w:outlineLvl w:val="0"/>
              <w:rPr>
                <w:rFonts w:hint="default" w:ascii="Times New Roman" w:hAnsi="Times New Roman" w:eastAsia="华文中宋" w:cs="Times New Roman"/>
                <w:color w:val="000000" w:themeColor="text1"/>
                <w:kern w:val="2"/>
                <w:sz w:val="21"/>
                <w:szCs w:val="21"/>
                <w14:textFill>
                  <w14:solidFill>
                    <w14:schemeClr w14:val="tx1"/>
                  </w14:solidFill>
                </w14:textFill>
              </w:rPr>
            </w:pPr>
            <w:bookmarkStart w:id="67" w:name="_Toc11792"/>
            <w:bookmarkStart w:id="68" w:name="_Toc27505"/>
            <w:bookmarkStart w:id="69" w:name="_Toc15335"/>
            <w:bookmarkStart w:id="70" w:name="_Toc22538"/>
            <w:bookmarkStart w:id="71" w:name="_Toc17252"/>
            <w:r>
              <w:rPr>
                <w:rFonts w:hint="default" w:ascii="Times New Roman" w:hAnsi="Times New Roman" w:eastAsia="华文中宋" w:cs="Times New Roman"/>
                <w:color w:val="000000" w:themeColor="text1"/>
                <w:kern w:val="2"/>
                <w:sz w:val="21"/>
                <w:szCs w:val="21"/>
                <w14:textFill>
                  <w14:solidFill>
                    <w14:schemeClr w14:val="tx1"/>
                  </w14:solidFill>
                </w14:textFill>
              </w:rPr>
              <w:t>环境保护措施</w:t>
            </w:r>
            <w:bookmarkEnd w:id="67"/>
            <w:bookmarkEnd w:id="68"/>
            <w:bookmarkEnd w:id="69"/>
            <w:bookmarkEnd w:id="70"/>
            <w:bookmarkEnd w:id="71"/>
          </w:p>
        </w:tc>
        <w:tc>
          <w:tcPr>
            <w:tcW w:w="616" w:type="pct"/>
            <w:noWrap w:val="0"/>
            <w:vAlign w:val="center"/>
          </w:tcPr>
          <w:p>
            <w:pPr>
              <w:pStyle w:val="24"/>
              <w:keepNext w:val="0"/>
              <w:keepLines w:val="0"/>
              <w:pageBreakBefore w:val="0"/>
              <w:kinsoku/>
              <w:wordWrap/>
              <w:overflowPunct/>
              <w:topLinePunct w:val="0"/>
              <w:autoSpaceDE/>
              <w:autoSpaceDN/>
              <w:bidi w:val="0"/>
              <w:adjustRightInd w:val="0"/>
              <w:snapToGrid w:val="0"/>
              <w:spacing w:before="0" w:beforeAutospacing="0" w:after="0" w:afterAutospacing="0" w:line="300" w:lineRule="exact"/>
              <w:ind w:firstLine="0" w:firstLineChars="0"/>
              <w:jc w:val="center"/>
              <w:textAlignment w:val="auto"/>
              <w:outlineLvl w:val="0"/>
              <w:rPr>
                <w:rFonts w:hint="default" w:ascii="Times New Roman" w:hAnsi="Times New Roman" w:eastAsia="华文中宋" w:cs="Times New Roman"/>
                <w:color w:val="000000" w:themeColor="text1"/>
                <w:kern w:val="2"/>
                <w:sz w:val="21"/>
                <w:szCs w:val="21"/>
                <w14:textFill>
                  <w14:solidFill>
                    <w14:schemeClr w14:val="tx1"/>
                  </w14:solidFill>
                </w14:textFill>
              </w:rPr>
            </w:pPr>
            <w:bookmarkStart w:id="72" w:name="_Toc22977"/>
            <w:bookmarkStart w:id="73" w:name="_Toc24890"/>
            <w:bookmarkStart w:id="74" w:name="_Toc30508"/>
            <w:bookmarkStart w:id="75" w:name="_Toc6280"/>
            <w:bookmarkStart w:id="76" w:name="_Toc29938"/>
            <w:r>
              <w:rPr>
                <w:rFonts w:hint="default" w:ascii="Times New Roman" w:hAnsi="Times New Roman" w:eastAsia="华文中宋" w:cs="Times New Roman"/>
                <w:color w:val="000000" w:themeColor="text1"/>
                <w:kern w:val="2"/>
                <w:sz w:val="21"/>
                <w:szCs w:val="21"/>
                <w14:textFill>
                  <w14:solidFill>
                    <w14:schemeClr w14:val="tx1"/>
                  </w14:solidFill>
                </w14:textFill>
              </w:rPr>
              <w:t>验收要求</w:t>
            </w:r>
            <w:bookmarkEnd w:id="72"/>
            <w:bookmarkEnd w:id="73"/>
            <w:bookmarkEnd w:id="74"/>
            <w:bookmarkEnd w:id="75"/>
            <w:bookmarkEnd w:id="7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陆生生态</w:t>
            </w:r>
          </w:p>
        </w:tc>
        <w:tc>
          <w:tcPr>
            <w:tcW w:w="1300"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对施工场地进行平整，进行生态恢复</w:t>
            </w:r>
          </w:p>
        </w:tc>
        <w:tc>
          <w:tcPr>
            <w:tcW w:w="119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对施工场地进行平整，进行生态恢复</w:t>
            </w:r>
          </w:p>
        </w:tc>
        <w:tc>
          <w:tcPr>
            <w:tcW w:w="845"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c>
          <w:tcPr>
            <w:tcW w:w="61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水生生态</w:t>
            </w:r>
          </w:p>
        </w:tc>
        <w:tc>
          <w:tcPr>
            <w:tcW w:w="1300"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c>
          <w:tcPr>
            <w:tcW w:w="119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c>
          <w:tcPr>
            <w:tcW w:w="845"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c>
          <w:tcPr>
            <w:tcW w:w="61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地表水环境</w:t>
            </w:r>
          </w:p>
        </w:tc>
        <w:tc>
          <w:tcPr>
            <w:tcW w:w="1300"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生产废水经沉淀处理后循环使用或洒水降尘；生活污水排入化粪池，定期拉运至且末县污水处理厂处理；</w:t>
            </w:r>
          </w:p>
        </w:tc>
        <w:tc>
          <w:tcPr>
            <w:tcW w:w="119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生产废水经沉淀处理后循环使用或洒水降尘；生活污水排入化粪池，定期拉运至且末县污水处理厂处理；</w:t>
            </w:r>
          </w:p>
        </w:tc>
        <w:tc>
          <w:tcPr>
            <w:tcW w:w="845"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c>
          <w:tcPr>
            <w:tcW w:w="61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地下水及土壤环境</w:t>
            </w:r>
          </w:p>
        </w:tc>
        <w:tc>
          <w:tcPr>
            <w:tcW w:w="1300"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c>
          <w:tcPr>
            <w:tcW w:w="119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c>
          <w:tcPr>
            <w:tcW w:w="845"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c>
          <w:tcPr>
            <w:tcW w:w="61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声环境</w:t>
            </w:r>
          </w:p>
        </w:tc>
        <w:tc>
          <w:tcPr>
            <w:tcW w:w="1300"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及时维修设备，合理安排施工周期</w:t>
            </w:r>
          </w:p>
        </w:tc>
        <w:tc>
          <w:tcPr>
            <w:tcW w:w="119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及时维修设备，合理安排施工周期</w:t>
            </w:r>
          </w:p>
        </w:tc>
        <w:tc>
          <w:tcPr>
            <w:tcW w:w="845"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c>
          <w:tcPr>
            <w:tcW w:w="61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振动</w:t>
            </w:r>
          </w:p>
        </w:tc>
        <w:tc>
          <w:tcPr>
            <w:tcW w:w="1300"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c>
          <w:tcPr>
            <w:tcW w:w="119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c>
          <w:tcPr>
            <w:tcW w:w="845"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c>
          <w:tcPr>
            <w:tcW w:w="61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大气环境</w:t>
            </w:r>
          </w:p>
        </w:tc>
        <w:tc>
          <w:tcPr>
            <w:tcW w:w="1300"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定期洒水降尘</w:t>
            </w:r>
          </w:p>
        </w:tc>
        <w:tc>
          <w:tcPr>
            <w:tcW w:w="119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定期洒水降尘</w:t>
            </w:r>
          </w:p>
        </w:tc>
        <w:tc>
          <w:tcPr>
            <w:tcW w:w="845"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c>
          <w:tcPr>
            <w:tcW w:w="61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固体废物</w:t>
            </w:r>
          </w:p>
        </w:tc>
        <w:tc>
          <w:tcPr>
            <w:tcW w:w="1300"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表土和碎石</w:t>
            </w: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临时堆放时间较短，工作完成后立即回填并进行生态恢复</w:t>
            </w:r>
            <w:r>
              <w:rPr>
                <w:rFonts w:hint="default" w:ascii="Times New Roman" w:hAnsi="Times New Roman" w:eastAsia="华文中宋" w:cs="Times New Roman"/>
                <w:b w:val="0"/>
                <w:bCs/>
                <w:color w:val="000000" w:themeColor="text1"/>
                <w:sz w:val="21"/>
                <w:szCs w:val="21"/>
                <w:vertAlign w:val="baseline"/>
                <w:lang w:eastAsia="zh-CN"/>
                <w14:textFill>
                  <w14:solidFill>
                    <w14:schemeClr w14:val="tx1"/>
                  </w14:solidFill>
                </w14:textFill>
              </w:rPr>
              <w:t>；</w:t>
            </w: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钻孔泥浆在钻探结束后回填钻孔</w:t>
            </w:r>
          </w:p>
        </w:tc>
        <w:tc>
          <w:tcPr>
            <w:tcW w:w="119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表土和碎石</w:t>
            </w:r>
            <w:r>
              <w:rPr>
                <w:rFonts w:hint="default" w:ascii="Times New Roman" w:hAnsi="Times New Roman" w:eastAsia="华文中宋" w:cs="Times New Roman"/>
                <w:b w:val="0"/>
                <w:bCs/>
                <w:color w:val="000000" w:themeColor="text1"/>
                <w:sz w:val="21"/>
                <w:szCs w:val="21"/>
                <w:vertAlign w:val="baseline"/>
                <w14:textFill>
                  <w14:solidFill>
                    <w14:schemeClr w14:val="tx1"/>
                  </w14:solidFill>
                </w14:textFill>
              </w:rPr>
              <w:t>临时堆放时间较短，工作完成后立即回填并进行生态恢复</w:t>
            </w:r>
            <w:r>
              <w:rPr>
                <w:rFonts w:hint="default" w:ascii="Times New Roman" w:hAnsi="Times New Roman" w:eastAsia="华文中宋" w:cs="Times New Roman"/>
                <w:b w:val="0"/>
                <w:bCs/>
                <w:color w:val="000000" w:themeColor="text1"/>
                <w:sz w:val="21"/>
                <w:szCs w:val="21"/>
                <w:vertAlign w:val="baseline"/>
                <w:lang w:eastAsia="zh-CN"/>
                <w14:textFill>
                  <w14:solidFill>
                    <w14:schemeClr w14:val="tx1"/>
                  </w14:solidFill>
                </w14:textFill>
              </w:rPr>
              <w:t>；</w:t>
            </w:r>
            <w:r>
              <w:rPr>
                <w:rFonts w:hint="default" w:ascii="Times New Roman" w:hAnsi="Times New Roman" w:eastAsia="华文中宋" w:cs="Times New Roman"/>
                <w:b w:val="0"/>
                <w:bCs/>
                <w:color w:val="000000" w:themeColor="text1"/>
                <w:sz w:val="21"/>
                <w:szCs w:val="21"/>
                <w:vertAlign w:val="baseline"/>
                <w:lang w:val="en-US" w:eastAsia="zh-CN"/>
                <w14:textFill>
                  <w14:solidFill>
                    <w14:schemeClr w14:val="tx1"/>
                  </w14:solidFill>
                </w14:textFill>
              </w:rPr>
              <w:t>钻孔泥浆及沉淀池底泥自然干化后就地填埋压实。</w:t>
            </w:r>
          </w:p>
        </w:tc>
        <w:tc>
          <w:tcPr>
            <w:tcW w:w="845"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c>
          <w:tcPr>
            <w:tcW w:w="61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电磁环境</w:t>
            </w:r>
          </w:p>
        </w:tc>
        <w:tc>
          <w:tcPr>
            <w:tcW w:w="1300"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c>
          <w:tcPr>
            <w:tcW w:w="119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p>
        </w:tc>
        <w:tc>
          <w:tcPr>
            <w:tcW w:w="845"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c>
          <w:tcPr>
            <w:tcW w:w="61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环境风险</w:t>
            </w:r>
          </w:p>
        </w:tc>
        <w:tc>
          <w:tcPr>
            <w:tcW w:w="1300"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加强柴油储存管理，柴油储存彩钢板房采用三合土打底，再铺设30cm水泥，表面均匀涂刷2层耐腐蚀防渗胶层。防渗层厚度相当于1.0×10</w:t>
            </w:r>
            <w:r>
              <w:rPr>
                <w:rFonts w:hint="default" w:ascii="Times New Roman" w:hAnsi="Times New Roman" w:eastAsia="华文中宋" w:cs="Times New Roman"/>
                <w:color w:val="000000" w:themeColor="text1"/>
                <w:sz w:val="21"/>
                <w:szCs w:val="21"/>
                <w:vertAlign w:val="superscript"/>
                <w:lang w:val="en-US" w:eastAsia="zh-CN"/>
                <w14:textFill>
                  <w14:solidFill>
                    <w14:schemeClr w14:val="tx1"/>
                  </w14:solidFill>
                </w14:textFill>
              </w:rPr>
              <w:t>-7</w:t>
            </w: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cm/s和厚度6.0m的粘土层的防渗性能。</w:t>
            </w:r>
          </w:p>
        </w:tc>
        <w:tc>
          <w:tcPr>
            <w:tcW w:w="119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加强柴油储存管理，柴油储存彩钢板房采用三合土打底，再铺设30cm水泥，表面均匀涂刷2层耐腐蚀防渗胶层。防渗层厚度相当于1.0×10</w:t>
            </w:r>
            <w:r>
              <w:rPr>
                <w:rFonts w:hint="default" w:ascii="Times New Roman" w:hAnsi="Times New Roman" w:eastAsia="华文中宋" w:cs="Times New Roman"/>
                <w:color w:val="000000" w:themeColor="text1"/>
                <w:sz w:val="21"/>
                <w:szCs w:val="21"/>
                <w:vertAlign w:val="superscript"/>
                <w:lang w:val="en-US" w:eastAsia="zh-CN"/>
                <w14:textFill>
                  <w14:solidFill>
                    <w14:schemeClr w14:val="tx1"/>
                  </w14:solidFill>
                </w14:textFill>
              </w:rPr>
              <w:t>-7</w:t>
            </w: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cm/s和厚度6.0m的粘土层的防渗性能。</w:t>
            </w:r>
          </w:p>
        </w:tc>
        <w:tc>
          <w:tcPr>
            <w:tcW w:w="845"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p>
        </w:tc>
        <w:tc>
          <w:tcPr>
            <w:tcW w:w="61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环境监测</w:t>
            </w:r>
          </w:p>
        </w:tc>
        <w:tc>
          <w:tcPr>
            <w:tcW w:w="2494" w:type="pct"/>
            <w:gridSpan w:val="2"/>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lang w:val="en-US"/>
                <w14:textFill>
                  <w14:solidFill>
                    <w14:schemeClr w14:val="tx1"/>
                  </w14:solidFill>
                </w14:textFill>
              </w:rPr>
            </w:pPr>
            <w: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t>具体的环境监测计划</w:t>
            </w:r>
            <w:r>
              <w:rPr>
                <w:rFonts w:hint="default" w:ascii="Times New Roman" w:hAnsi="Times New Roman" w:eastAsia="华文中宋" w:cs="Times New Roman"/>
                <w:color w:val="000000" w:themeColor="text1"/>
                <w:kern w:val="2"/>
                <w:sz w:val="21"/>
                <w:szCs w:val="21"/>
                <w:highlight w:val="none"/>
                <w:lang w:val="en-US" w:eastAsia="zh-CN" w:bidi="ar-SA"/>
                <w14:textFill>
                  <w14:solidFill>
                    <w14:schemeClr w14:val="tx1"/>
                  </w14:solidFill>
                </w14:textFill>
              </w:rPr>
              <w:t>见表5-2</w:t>
            </w:r>
          </w:p>
        </w:tc>
        <w:tc>
          <w:tcPr>
            <w:tcW w:w="845"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c>
          <w:tcPr>
            <w:tcW w:w="61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其他</w:t>
            </w:r>
          </w:p>
        </w:tc>
        <w:tc>
          <w:tcPr>
            <w:tcW w:w="1300"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14:textFill>
                  <w14:solidFill>
                    <w14:schemeClr w14:val="tx1"/>
                  </w14:solidFill>
                </w14:textFill>
              </w:rPr>
              <w:t>探矿结束后，应及时对钻孔进行封孔，并设置明显标识</w:t>
            </w:r>
          </w:p>
        </w:tc>
        <w:tc>
          <w:tcPr>
            <w:tcW w:w="1194"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w:t>
            </w:r>
          </w:p>
        </w:tc>
        <w:tc>
          <w:tcPr>
            <w:tcW w:w="845"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c>
          <w:tcPr>
            <w:tcW w:w="616" w:type="pct"/>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华文中宋" w:cs="Times New Roman"/>
                <w:color w:val="000000" w:themeColor="text1"/>
                <w:sz w:val="21"/>
                <w:szCs w:val="21"/>
                <w14:textFill>
                  <w14:solidFill>
                    <w14:schemeClr w14:val="tx1"/>
                  </w14:solidFill>
                </w14:textFill>
              </w:rPr>
            </w:pPr>
            <w: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t>无</w:t>
            </w:r>
          </w:p>
        </w:tc>
      </w:tr>
    </w:tbl>
    <w:p>
      <w:pPr>
        <w:pStyle w:val="24"/>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Style w:val="36"/>
          <w:rFonts w:hint="default" w:ascii="Times New Roman" w:hAnsi="Times New Roman" w:eastAsia="华文中宋" w:cs="Times New Roman"/>
          <w:b/>
          <w:bCs/>
          <w:color w:val="000000" w:themeColor="text1"/>
          <w:lang w:val="en-US" w:eastAsia="zh-CN"/>
          <w14:textFill>
            <w14:solidFill>
              <w14:schemeClr w14:val="tx1"/>
            </w14:solidFill>
          </w14:textFill>
        </w:rPr>
      </w:pPr>
      <w:r>
        <w:rPr>
          <w:rFonts w:hint="default" w:ascii="Times New Roman" w:hAnsi="Times New Roman" w:eastAsia="华文中宋" w:cs="Times New Roman"/>
          <w:snapToGrid w:val="0"/>
          <w:color w:val="000000" w:themeColor="text1"/>
          <w:sz w:val="30"/>
          <w:szCs w:val="30"/>
          <w14:textFill>
            <w14:solidFill>
              <w14:schemeClr w14:val="tx1"/>
            </w14:solidFill>
          </w14:textFill>
        </w:rPr>
        <w:br w:type="page"/>
      </w:r>
      <w:bookmarkStart w:id="77" w:name="_Toc13394"/>
      <w:bookmarkStart w:id="78" w:name="_Toc26359"/>
      <w:r>
        <w:rPr>
          <w:rStyle w:val="36"/>
          <w:rFonts w:hint="default" w:ascii="Times New Roman" w:hAnsi="Times New Roman" w:eastAsia="华文中宋" w:cs="Times New Roman"/>
          <w:b/>
          <w:bCs/>
          <w:color w:val="000000" w:themeColor="text1"/>
          <w:lang w:val="en-US" w:eastAsia="zh-CN"/>
          <w14:textFill>
            <w14:solidFill>
              <w14:schemeClr w14:val="tx1"/>
            </w14:solidFill>
          </w14:textFill>
        </w:rPr>
        <w:t>七、结论</w:t>
      </w:r>
      <w:bookmarkEnd w:id="77"/>
      <w:bookmarkEnd w:id="78"/>
    </w:p>
    <w:tbl>
      <w:tblPr>
        <w:tblStyle w:val="29"/>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12" w:hRule="atLeast"/>
          <w:jc w:val="center"/>
        </w:trPr>
        <w:tc>
          <w:tcPr>
            <w:tcW w:w="9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t xml:space="preserve">从环境角度考虑，建设单位在严格执行“三同时”制度、在建设及运行过程中采取工程措施、临时防护措施相结合的综合防治体系，对各项污染防治措施切实逐项予以落实、并加强勘探期管理的前提下，本项目对周围环境质量影响较小，建设项目可行。 </w:t>
            </w:r>
          </w:p>
          <w:p>
            <w:pPr>
              <w:pStyle w:val="16"/>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6"/>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6"/>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6"/>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6"/>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6"/>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6"/>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6"/>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6"/>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6"/>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6"/>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6"/>
              <w:ind w:left="0" w:leftChars="0" w:firstLine="0" w:firstLineChars="0"/>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6"/>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6"/>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6"/>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6"/>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pStyle w:val="16"/>
              <w:rPr>
                <w:rFonts w:hint="default" w:ascii="Times New Roman" w:hAnsi="Times New Roman" w:eastAsia="华文中宋" w:cs="Times New Roman"/>
                <w:color w:val="000000" w:themeColor="text1"/>
                <w:kern w:val="0"/>
                <w:sz w:val="24"/>
                <w:szCs w:val="24"/>
                <w:lang w:val="en-US" w:eastAsia="zh-CN" w:bidi="ar"/>
                <w14:textFill>
                  <w14:solidFill>
                    <w14:schemeClr w14:val="tx1"/>
                  </w14:solidFill>
                </w14:textFill>
              </w:rPr>
            </w:pPr>
          </w:p>
          <w:p>
            <w:pPr>
              <w:adjustRightInd w:val="0"/>
              <w:snapToGrid w:val="0"/>
              <w:ind w:firstLine="315"/>
              <w:rPr>
                <w:rFonts w:hint="default" w:ascii="Times New Roman" w:hAnsi="Times New Roman" w:eastAsia="华文中宋" w:cs="Times New Roman"/>
                <w:color w:val="000000" w:themeColor="text1"/>
                <w:szCs w:val="21"/>
                <w14:textFill>
                  <w14:solidFill>
                    <w14:schemeClr w14:val="tx1"/>
                  </w14:solidFill>
                </w14:textFill>
              </w:rPr>
            </w:pPr>
          </w:p>
        </w:tc>
      </w:tr>
    </w:tbl>
    <w:p>
      <w:pPr>
        <w:widowControl/>
        <w:adjustRightInd w:val="0"/>
        <w:snapToGrid w:val="0"/>
        <w:spacing w:before="192" w:beforeLines="80"/>
        <w:jc w:val="left"/>
        <w:rPr>
          <w:rFonts w:hint="default" w:ascii="Times New Roman" w:hAnsi="Times New Roman" w:eastAsia="华文中宋" w:cs="Times New Roman"/>
          <w:color w:val="000000" w:themeColor="text1"/>
          <w14:textFill>
            <w14:solidFill>
              <w14:schemeClr w14:val="tx1"/>
            </w14:solidFill>
          </w14:textFill>
        </w:rPr>
      </w:pPr>
    </w:p>
    <w:sectPr>
      <w:pgSz w:w="11906" w:h="16838"/>
      <w:pgMar w:top="1440" w:right="1800" w:bottom="1440" w:left="1800" w:header="851" w:footer="1077" w:gutter="0"/>
      <w:pgBorders>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Wingdings 2">
    <w:altName w:val="Wingdings"/>
    <w:panose1 w:val="05020102010507070707"/>
    <w:charset w:val="02"/>
    <w:family w:val="auto"/>
    <w:pitch w:val="default"/>
    <w:sig w:usb0="00000000" w:usb1="00000000" w:usb2="00000000" w:usb3="00000000" w:csb0="80000000" w:csb1="00000000"/>
  </w:font>
  <w:font w:name="Cambria Math">
    <w:panose1 w:val="02040503050406030204"/>
    <w:charset w:val="00"/>
    <w:family w:val="auto"/>
    <w:pitch w:val="default"/>
    <w:sig w:usb0="E00002FF" w:usb1="420024FF" w:usb2="00000000" w:usb3="00000000" w:csb0="2000019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34"/>
      </w:rPr>
    </w:pPr>
    <w:r>
      <w:fldChar w:fldCharType="begin"/>
    </w:r>
    <w:r>
      <w:rPr>
        <w:rStyle w:val="34"/>
      </w:rPr>
      <w:instrText xml:space="preserve">PAGE  </w:instrText>
    </w:r>
    <w: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832D0"/>
    <w:multiLevelType w:val="singleLevel"/>
    <w:tmpl w:val="822832D0"/>
    <w:lvl w:ilvl="0" w:tentative="0">
      <w:start w:val="1"/>
      <w:numFmt w:val="decimal"/>
      <w:suff w:val="nothing"/>
      <w:lvlText w:val="%1）"/>
      <w:lvlJc w:val="left"/>
    </w:lvl>
  </w:abstractNum>
  <w:abstractNum w:abstractNumId="1">
    <w:nsid w:val="9FF6C2B2"/>
    <w:multiLevelType w:val="singleLevel"/>
    <w:tmpl w:val="9FF6C2B2"/>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2">
    <w:nsid w:val="EF4CC8E6"/>
    <w:multiLevelType w:val="singleLevel"/>
    <w:tmpl w:val="EF4CC8E6"/>
    <w:lvl w:ilvl="0" w:tentative="0">
      <w:start w:val="1"/>
      <w:numFmt w:val="decimal"/>
      <w:suff w:val="nothing"/>
      <w:lvlText w:val="%1）"/>
      <w:lvlJc w:val="left"/>
      <w:rPr>
        <w:rFonts w:hint="default"/>
        <w:color w:val="00000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YTAyZDFjODFhY2UyOWY1MjY0MjFlZGRhNTE3YmMifQ=="/>
  </w:docVars>
  <w:rsids>
    <w:rsidRoot w:val="00A14947"/>
    <w:rsid w:val="00001CED"/>
    <w:rsid w:val="00001E67"/>
    <w:rsid w:val="00003CD8"/>
    <w:rsid w:val="00014965"/>
    <w:rsid w:val="0001523A"/>
    <w:rsid w:val="00016ECB"/>
    <w:rsid w:val="000269F6"/>
    <w:rsid w:val="00031939"/>
    <w:rsid w:val="00032D25"/>
    <w:rsid w:val="0005219D"/>
    <w:rsid w:val="0005568F"/>
    <w:rsid w:val="0006153D"/>
    <w:rsid w:val="00061B1F"/>
    <w:rsid w:val="000664DB"/>
    <w:rsid w:val="0007127D"/>
    <w:rsid w:val="00071AE5"/>
    <w:rsid w:val="00074783"/>
    <w:rsid w:val="000801E0"/>
    <w:rsid w:val="00082A29"/>
    <w:rsid w:val="0008331D"/>
    <w:rsid w:val="00083C18"/>
    <w:rsid w:val="00092899"/>
    <w:rsid w:val="000A178E"/>
    <w:rsid w:val="000A557E"/>
    <w:rsid w:val="000B058F"/>
    <w:rsid w:val="000B693F"/>
    <w:rsid w:val="000C09AC"/>
    <w:rsid w:val="000C0A63"/>
    <w:rsid w:val="000C437E"/>
    <w:rsid w:val="000E5F16"/>
    <w:rsid w:val="000F4452"/>
    <w:rsid w:val="000F6DA1"/>
    <w:rsid w:val="000F701B"/>
    <w:rsid w:val="001056A0"/>
    <w:rsid w:val="00115279"/>
    <w:rsid w:val="00117459"/>
    <w:rsid w:val="0011749A"/>
    <w:rsid w:val="00127A68"/>
    <w:rsid w:val="00140B13"/>
    <w:rsid w:val="00141B68"/>
    <w:rsid w:val="001466DA"/>
    <w:rsid w:val="00154DE1"/>
    <w:rsid w:val="00155B40"/>
    <w:rsid w:val="00157435"/>
    <w:rsid w:val="00163EEA"/>
    <w:rsid w:val="00167A07"/>
    <w:rsid w:val="0017046A"/>
    <w:rsid w:val="001704A3"/>
    <w:rsid w:val="0017504D"/>
    <w:rsid w:val="00177422"/>
    <w:rsid w:val="00184F10"/>
    <w:rsid w:val="00185546"/>
    <w:rsid w:val="0019146B"/>
    <w:rsid w:val="00194398"/>
    <w:rsid w:val="001A7D2A"/>
    <w:rsid w:val="001B574C"/>
    <w:rsid w:val="001C0AF9"/>
    <w:rsid w:val="001C155A"/>
    <w:rsid w:val="001C48C0"/>
    <w:rsid w:val="001D6726"/>
    <w:rsid w:val="001F3347"/>
    <w:rsid w:val="001F4440"/>
    <w:rsid w:val="001F69E4"/>
    <w:rsid w:val="00206A65"/>
    <w:rsid w:val="00212D31"/>
    <w:rsid w:val="002130C7"/>
    <w:rsid w:val="002218A8"/>
    <w:rsid w:val="0022306D"/>
    <w:rsid w:val="00226574"/>
    <w:rsid w:val="002278EC"/>
    <w:rsid w:val="002357C7"/>
    <w:rsid w:val="002367C4"/>
    <w:rsid w:val="0025679E"/>
    <w:rsid w:val="00260C68"/>
    <w:rsid w:val="002648B0"/>
    <w:rsid w:val="00264BA7"/>
    <w:rsid w:val="00275271"/>
    <w:rsid w:val="0027535E"/>
    <w:rsid w:val="00275AA6"/>
    <w:rsid w:val="002807D5"/>
    <w:rsid w:val="00282CCD"/>
    <w:rsid w:val="002A168C"/>
    <w:rsid w:val="002A2C48"/>
    <w:rsid w:val="002A3EED"/>
    <w:rsid w:val="002A4A39"/>
    <w:rsid w:val="002A5A17"/>
    <w:rsid w:val="002A6425"/>
    <w:rsid w:val="002B49E2"/>
    <w:rsid w:val="002B7B00"/>
    <w:rsid w:val="002B7C44"/>
    <w:rsid w:val="002C1388"/>
    <w:rsid w:val="002C3C6A"/>
    <w:rsid w:val="002D42DB"/>
    <w:rsid w:val="002E0BD1"/>
    <w:rsid w:val="002E1F3A"/>
    <w:rsid w:val="002E298A"/>
    <w:rsid w:val="002F02A4"/>
    <w:rsid w:val="002F272B"/>
    <w:rsid w:val="002F7C6D"/>
    <w:rsid w:val="003027E4"/>
    <w:rsid w:val="0030332C"/>
    <w:rsid w:val="00312296"/>
    <w:rsid w:val="0031340E"/>
    <w:rsid w:val="00316464"/>
    <w:rsid w:val="0032073A"/>
    <w:rsid w:val="00321D8E"/>
    <w:rsid w:val="00334996"/>
    <w:rsid w:val="00336969"/>
    <w:rsid w:val="00336C52"/>
    <w:rsid w:val="00341B3E"/>
    <w:rsid w:val="00341B42"/>
    <w:rsid w:val="00345154"/>
    <w:rsid w:val="0034560E"/>
    <w:rsid w:val="00350523"/>
    <w:rsid w:val="00352975"/>
    <w:rsid w:val="00356868"/>
    <w:rsid w:val="0036485B"/>
    <w:rsid w:val="00373B0D"/>
    <w:rsid w:val="00376988"/>
    <w:rsid w:val="00381A72"/>
    <w:rsid w:val="003A1948"/>
    <w:rsid w:val="003B152A"/>
    <w:rsid w:val="003B545B"/>
    <w:rsid w:val="003D3EE9"/>
    <w:rsid w:val="003E7681"/>
    <w:rsid w:val="003F0809"/>
    <w:rsid w:val="003F611C"/>
    <w:rsid w:val="003F755C"/>
    <w:rsid w:val="00406F01"/>
    <w:rsid w:val="00411B36"/>
    <w:rsid w:val="004121D7"/>
    <w:rsid w:val="00416D50"/>
    <w:rsid w:val="00417772"/>
    <w:rsid w:val="00420E6A"/>
    <w:rsid w:val="00433CA9"/>
    <w:rsid w:val="0043521D"/>
    <w:rsid w:val="00442024"/>
    <w:rsid w:val="0044254C"/>
    <w:rsid w:val="00443F6A"/>
    <w:rsid w:val="00450A17"/>
    <w:rsid w:val="00466321"/>
    <w:rsid w:val="004672AF"/>
    <w:rsid w:val="004727B0"/>
    <w:rsid w:val="00480247"/>
    <w:rsid w:val="0048081D"/>
    <w:rsid w:val="0048117E"/>
    <w:rsid w:val="004855F6"/>
    <w:rsid w:val="00486F0C"/>
    <w:rsid w:val="00494670"/>
    <w:rsid w:val="004A0EB4"/>
    <w:rsid w:val="004A3823"/>
    <w:rsid w:val="004A59BB"/>
    <w:rsid w:val="004B43A3"/>
    <w:rsid w:val="004B4C49"/>
    <w:rsid w:val="004B58A5"/>
    <w:rsid w:val="004B63D9"/>
    <w:rsid w:val="004C0882"/>
    <w:rsid w:val="004C55BE"/>
    <w:rsid w:val="004E5B30"/>
    <w:rsid w:val="004F0779"/>
    <w:rsid w:val="004F1230"/>
    <w:rsid w:val="004F173F"/>
    <w:rsid w:val="004F177C"/>
    <w:rsid w:val="004F2DCE"/>
    <w:rsid w:val="005039CB"/>
    <w:rsid w:val="0050558F"/>
    <w:rsid w:val="005057E0"/>
    <w:rsid w:val="00506286"/>
    <w:rsid w:val="00510813"/>
    <w:rsid w:val="00511DE0"/>
    <w:rsid w:val="00517F02"/>
    <w:rsid w:val="00524547"/>
    <w:rsid w:val="005258A2"/>
    <w:rsid w:val="00530F7C"/>
    <w:rsid w:val="00534567"/>
    <w:rsid w:val="00534F43"/>
    <w:rsid w:val="00535A84"/>
    <w:rsid w:val="00536889"/>
    <w:rsid w:val="00542E07"/>
    <w:rsid w:val="00554A7B"/>
    <w:rsid w:val="0055572C"/>
    <w:rsid w:val="0056064F"/>
    <w:rsid w:val="00561B84"/>
    <w:rsid w:val="00571D98"/>
    <w:rsid w:val="005720AE"/>
    <w:rsid w:val="0058030D"/>
    <w:rsid w:val="00582045"/>
    <w:rsid w:val="00590AE3"/>
    <w:rsid w:val="005918F1"/>
    <w:rsid w:val="005A06B7"/>
    <w:rsid w:val="005A1759"/>
    <w:rsid w:val="005D0369"/>
    <w:rsid w:val="005D53FE"/>
    <w:rsid w:val="005D7A0F"/>
    <w:rsid w:val="005E0438"/>
    <w:rsid w:val="005E1791"/>
    <w:rsid w:val="005E2CE6"/>
    <w:rsid w:val="005E6324"/>
    <w:rsid w:val="005F228B"/>
    <w:rsid w:val="005F29CD"/>
    <w:rsid w:val="005F4DFB"/>
    <w:rsid w:val="005F6CC0"/>
    <w:rsid w:val="00603E5B"/>
    <w:rsid w:val="00604BC8"/>
    <w:rsid w:val="00615B4C"/>
    <w:rsid w:val="00615B5D"/>
    <w:rsid w:val="0062146F"/>
    <w:rsid w:val="006343AF"/>
    <w:rsid w:val="0063634A"/>
    <w:rsid w:val="0064250D"/>
    <w:rsid w:val="006535EB"/>
    <w:rsid w:val="00663016"/>
    <w:rsid w:val="00674605"/>
    <w:rsid w:val="006748B8"/>
    <w:rsid w:val="0068535B"/>
    <w:rsid w:val="0068736E"/>
    <w:rsid w:val="0069290A"/>
    <w:rsid w:val="00697032"/>
    <w:rsid w:val="006975AC"/>
    <w:rsid w:val="006A15FB"/>
    <w:rsid w:val="006A72BF"/>
    <w:rsid w:val="006B332A"/>
    <w:rsid w:val="006B33BD"/>
    <w:rsid w:val="006C3F75"/>
    <w:rsid w:val="006D170E"/>
    <w:rsid w:val="006E06AF"/>
    <w:rsid w:val="006F1789"/>
    <w:rsid w:val="00706C5D"/>
    <w:rsid w:val="007118E6"/>
    <w:rsid w:val="007225C9"/>
    <w:rsid w:val="00735CD7"/>
    <w:rsid w:val="00754034"/>
    <w:rsid w:val="00754BF1"/>
    <w:rsid w:val="00755A30"/>
    <w:rsid w:val="00755E1C"/>
    <w:rsid w:val="00756556"/>
    <w:rsid w:val="0076132B"/>
    <w:rsid w:val="007623AE"/>
    <w:rsid w:val="00770B19"/>
    <w:rsid w:val="00774FA0"/>
    <w:rsid w:val="00776620"/>
    <w:rsid w:val="00777B6D"/>
    <w:rsid w:val="00784855"/>
    <w:rsid w:val="00784F39"/>
    <w:rsid w:val="0078545C"/>
    <w:rsid w:val="007906C4"/>
    <w:rsid w:val="007940EA"/>
    <w:rsid w:val="007967E8"/>
    <w:rsid w:val="007A63F2"/>
    <w:rsid w:val="007B68DE"/>
    <w:rsid w:val="007C1857"/>
    <w:rsid w:val="007C514F"/>
    <w:rsid w:val="007D0F95"/>
    <w:rsid w:val="007D7ECB"/>
    <w:rsid w:val="007E25A1"/>
    <w:rsid w:val="007E4BD2"/>
    <w:rsid w:val="007E4BE6"/>
    <w:rsid w:val="007E7145"/>
    <w:rsid w:val="007F3916"/>
    <w:rsid w:val="00801179"/>
    <w:rsid w:val="00802479"/>
    <w:rsid w:val="00805372"/>
    <w:rsid w:val="00805B7B"/>
    <w:rsid w:val="0081293E"/>
    <w:rsid w:val="00814FFB"/>
    <w:rsid w:val="00820568"/>
    <w:rsid w:val="00831A80"/>
    <w:rsid w:val="008332C8"/>
    <w:rsid w:val="00833743"/>
    <w:rsid w:val="008340A4"/>
    <w:rsid w:val="00836799"/>
    <w:rsid w:val="00837028"/>
    <w:rsid w:val="00837131"/>
    <w:rsid w:val="00845F57"/>
    <w:rsid w:val="008521E0"/>
    <w:rsid w:val="008525B0"/>
    <w:rsid w:val="00867CBC"/>
    <w:rsid w:val="00876C30"/>
    <w:rsid w:val="00877017"/>
    <w:rsid w:val="008773C0"/>
    <w:rsid w:val="00880364"/>
    <w:rsid w:val="00886C4C"/>
    <w:rsid w:val="0088711C"/>
    <w:rsid w:val="00892ECF"/>
    <w:rsid w:val="00892F06"/>
    <w:rsid w:val="00894285"/>
    <w:rsid w:val="008A40AE"/>
    <w:rsid w:val="008A4E19"/>
    <w:rsid w:val="008A67C5"/>
    <w:rsid w:val="008B22E1"/>
    <w:rsid w:val="008B3C78"/>
    <w:rsid w:val="008B4AE9"/>
    <w:rsid w:val="008C30AD"/>
    <w:rsid w:val="008D068E"/>
    <w:rsid w:val="008D0F7A"/>
    <w:rsid w:val="008D63BE"/>
    <w:rsid w:val="008E0CFF"/>
    <w:rsid w:val="008E5D6B"/>
    <w:rsid w:val="008E689B"/>
    <w:rsid w:val="008E76F0"/>
    <w:rsid w:val="008F15FE"/>
    <w:rsid w:val="008F2A94"/>
    <w:rsid w:val="008F5187"/>
    <w:rsid w:val="008F709C"/>
    <w:rsid w:val="0090312B"/>
    <w:rsid w:val="00904961"/>
    <w:rsid w:val="0091736D"/>
    <w:rsid w:val="00931001"/>
    <w:rsid w:val="00931863"/>
    <w:rsid w:val="00933524"/>
    <w:rsid w:val="0094278D"/>
    <w:rsid w:val="0095308A"/>
    <w:rsid w:val="00955AEE"/>
    <w:rsid w:val="00956F14"/>
    <w:rsid w:val="009620FD"/>
    <w:rsid w:val="0096247A"/>
    <w:rsid w:val="00965F4B"/>
    <w:rsid w:val="00970F8A"/>
    <w:rsid w:val="00971FB5"/>
    <w:rsid w:val="00972D2A"/>
    <w:rsid w:val="00975CC5"/>
    <w:rsid w:val="00976328"/>
    <w:rsid w:val="00976B4E"/>
    <w:rsid w:val="00984458"/>
    <w:rsid w:val="00985283"/>
    <w:rsid w:val="00987322"/>
    <w:rsid w:val="009A0F3B"/>
    <w:rsid w:val="009A72C7"/>
    <w:rsid w:val="009B0897"/>
    <w:rsid w:val="009D0852"/>
    <w:rsid w:val="009D1FBF"/>
    <w:rsid w:val="009E399C"/>
    <w:rsid w:val="009E43C1"/>
    <w:rsid w:val="009E7E95"/>
    <w:rsid w:val="009F116F"/>
    <w:rsid w:val="009F329E"/>
    <w:rsid w:val="009F7ED3"/>
    <w:rsid w:val="00A03607"/>
    <w:rsid w:val="00A047FF"/>
    <w:rsid w:val="00A04FEF"/>
    <w:rsid w:val="00A122CD"/>
    <w:rsid w:val="00A12A32"/>
    <w:rsid w:val="00A14248"/>
    <w:rsid w:val="00A14947"/>
    <w:rsid w:val="00A23DC5"/>
    <w:rsid w:val="00A34028"/>
    <w:rsid w:val="00A35568"/>
    <w:rsid w:val="00A37056"/>
    <w:rsid w:val="00A4358F"/>
    <w:rsid w:val="00A46F67"/>
    <w:rsid w:val="00A54AA1"/>
    <w:rsid w:val="00A568FF"/>
    <w:rsid w:val="00A61496"/>
    <w:rsid w:val="00A61833"/>
    <w:rsid w:val="00A624C6"/>
    <w:rsid w:val="00A63CEC"/>
    <w:rsid w:val="00A7031E"/>
    <w:rsid w:val="00A728B1"/>
    <w:rsid w:val="00A763DE"/>
    <w:rsid w:val="00A803D6"/>
    <w:rsid w:val="00A81282"/>
    <w:rsid w:val="00A8713F"/>
    <w:rsid w:val="00A91167"/>
    <w:rsid w:val="00A9171C"/>
    <w:rsid w:val="00A92FFD"/>
    <w:rsid w:val="00A95975"/>
    <w:rsid w:val="00A9708D"/>
    <w:rsid w:val="00AA2C17"/>
    <w:rsid w:val="00AA4172"/>
    <w:rsid w:val="00AB1914"/>
    <w:rsid w:val="00AB5330"/>
    <w:rsid w:val="00AB7747"/>
    <w:rsid w:val="00AC2532"/>
    <w:rsid w:val="00AD1507"/>
    <w:rsid w:val="00AD5A70"/>
    <w:rsid w:val="00AD738B"/>
    <w:rsid w:val="00AE1BF4"/>
    <w:rsid w:val="00AE5D97"/>
    <w:rsid w:val="00AE6794"/>
    <w:rsid w:val="00B01110"/>
    <w:rsid w:val="00B02262"/>
    <w:rsid w:val="00B03CEC"/>
    <w:rsid w:val="00B1209F"/>
    <w:rsid w:val="00B12AD0"/>
    <w:rsid w:val="00B24F30"/>
    <w:rsid w:val="00B31ABF"/>
    <w:rsid w:val="00B335AE"/>
    <w:rsid w:val="00B37CE1"/>
    <w:rsid w:val="00B40ACF"/>
    <w:rsid w:val="00B46BAA"/>
    <w:rsid w:val="00B50B5F"/>
    <w:rsid w:val="00B54128"/>
    <w:rsid w:val="00B55826"/>
    <w:rsid w:val="00B60426"/>
    <w:rsid w:val="00B622DD"/>
    <w:rsid w:val="00B63522"/>
    <w:rsid w:val="00B76F1D"/>
    <w:rsid w:val="00B92A19"/>
    <w:rsid w:val="00B9544C"/>
    <w:rsid w:val="00BA29E9"/>
    <w:rsid w:val="00BB3618"/>
    <w:rsid w:val="00BC0C9E"/>
    <w:rsid w:val="00BC32DC"/>
    <w:rsid w:val="00BD1B51"/>
    <w:rsid w:val="00BD47F6"/>
    <w:rsid w:val="00BE312D"/>
    <w:rsid w:val="00BE3FCA"/>
    <w:rsid w:val="00C05719"/>
    <w:rsid w:val="00C10578"/>
    <w:rsid w:val="00C17D62"/>
    <w:rsid w:val="00C21FDC"/>
    <w:rsid w:val="00C24EE7"/>
    <w:rsid w:val="00C2596A"/>
    <w:rsid w:val="00C271BE"/>
    <w:rsid w:val="00C27425"/>
    <w:rsid w:val="00C328FE"/>
    <w:rsid w:val="00C33A05"/>
    <w:rsid w:val="00C42500"/>
    <w:rsid w:val="00C4409D"/>
    <w:rsid w:val="00C455BE"/>
    <w:rsid w:val="00C51E5F"/>
    <w:rsid w:val="00C5440B"/>
    <w:rsid w:val="00C61E4B"/>
    <w:rsid w:val="00C62E3A"/>
    <w:rsid w:val="00C64503"/>
    <w:rsid w:val="00C64A1F"/>
    <w:rsid w:val="00C64BFF"/>
    <w:rsid w:val="00C763C9"/>
    <w:rsid w:val="00C80057"/>
    <w:rsid w:val="00C82C79"/>
    <w:rsid w:val="00C84753"/>
    <w:rsid w:val="00C91611"/>
    <w:rsid w:val="00CA3585"/>
    <w:rsid w:val="00CA3D5A"/>
    <w:rsid w:val="00CA4C7C"/>
    <w:rsid w:val="00CB0183"/>
    <w:rsid w:val="00CB1EA3"/>
    <w:rsid w:val="00CB552C"/>
    <w:rsid w:val="00CB6A9E"/>
    <w:rsid w:val="00CC6181"/>
    <w:rsid w:val="00CD2BCD"/>
    <w:rsid w:val="00CD36AA"/>
    <w:rsid w:val="00CD3791"/>
    <w:rsid w:val="00CD65B0"/>
    <w:rsid w:val="00CE02CD"/>
    <w:rsid w:val="00CE10E9"/>
    <w:rsid w:val="00D0072E"/>
    <w:rsid w:val="00D15727"/>
    <w:rsid w:val="00D16332"/>
    <w:rsid w:val="00D24972"/>
    <w:rsid w:val="00D2515E"/>
    <w:rsid w:val="00D308ED"/>
    <w:rsid w:val="00D56178"/>
    <w:rsid w:val="00D56CF0"/>
    <w:rsid w:val="00D56F5C"/>
    <w:rsid w:val="00D704B1"/>
    <w:rsid w:val="00D70B63"/>
    <w:rsid w:val="00D72B92"/>
    <w:rsid w:val="00D72ED4"/>
    <w:rsid w:val="00D73F61"/>
    <w:rsid w:val="00D754C0"/>
    <w:rsid w:val="00D776A2"/>
    <w:rsid w:val="00D801C4"/>
    <w:rsid w:val="00D90836"/>
    <w:rsid w:val="00D95896"/>
    <w:rsid w:val="00D95CC6"/>
    <w:rsid w:val="00DA2DA3"/>
    <w:rsid w:val="00DA6615"/>
    <w:rsid w:val="00DA76AE"/>
    <w:rsid w:val="00DB181E"/>
    <w:rsid w:val="00DB1C7A"/>
    <w:rsid w:val="00DB2983"/>
    <w:rsid w:val="00DB343D"/>
    <w:rsid w:val="00DB5579"/>
    <w:rsid w:val="00DB5CFE"/>
    <w:rsid w:val="00DC72A6"/>
    <w:rsid w:val="00DD2113"/>
    <w:rsid w:val="00DD265E"/>
    <w:rsid w:val="00DF1930"/>
    <w:rsid w:val="00DF514A"/>
    <w:rsid w:val="00E0358D"/>
    <w:rsid w:val="00E06327"/>
    <w:rsid w:val="00E2064B"/>
    <w:rsid w:val="00E25239"/>
    <w:rsid w:val="00E265B1"/>
    <w:rsid w:val="00E275B0"/>
    <w:rsid w:val="00E412D0"/>
    <w:rsid w:val="00E47CDB"/>
    <w:rsid w:val="00E566BC"/>
    <w:rsid w:val="00E60982"/>
    <w:rsid w:val="00E60C8D"/>
    <w:rsid w:val="00E6162F"/>
    <w:rsid w:val="00E6311B"/>
    <w:rsid w:val="00E65D97"/>
    <w:rsid w:val="00E67EFD"/>
    <w:rsid w:val="00E702DC"/>
    <w:rsid w:val="00E71FFB"/>
    <w:rsid w:val="00E76D1D"/>
    <w:rsid w:val="00E806F8"/>
    <w:rsid w:val="00E87752"/>
    <w:rsid w:val="00E8793B"/>
    <w:rsid w:val="00E90F81"/>
    <w:rsid w:val="00E91A6D"/>
    <w:rsid w:val="00E9242D"/>
    <w:rsid w:val="00EB041C"/>
    <w:rsid w:val="00EC5874"/>
    <w:rsid w:val="00ED192D"/>
    <w:rsid w:val="00ED30B4"/>
    <w:rsid w:val="00ED31F5"/>
    <w:rsid w:val="00EF2759"/>
    <w:rsid w:val="00EF45EB"/>
    <w:rsid w:val="00EF5099"/>
    <w:rsid w:val="00EF5E33"/>
    <w:rsid w:val="00F00075"/>
    <w:rsid w:val="00F07822"/>
    <w:rsid w:val="00F15C95"/>
    <w:rsid w:val="00F22985"/>
    <w:rsid w:val="00F241AB"/>
    <w:rsid w:val="00F31382"/>
    <w:rsid w:val="00F35829"/>
    <w:rsid w:val="00F42868"/>
    <w:rsid w:val="00F465A7"/>
    <w:rsid w:val="00F50B7C"/>
    <w:rsid w:val="00F5202D"/>
    <w:rsid w:val="00F52CF6"/>
    <w:rsid w:val="00F54496"/>
    <w:rsid w:val="00F61097"/>
    <w:rsid w:val="00F74345"/>
    <w:rsid w:val="00F74441"/>
    <w:rsid w:val="00F77F30"/>
    <w:rsid w:val="00F82589"/>
    <w:rsid w:val="00F82B19"/>
    <w:rsid w:val="00F90AA7"/>
    <w:rsid w:val="00F9212D"/>
    <w:rsid w:val="00FA301A"/>
    <w:rsid w:val="00FA406A"/>
    <w:rsid w:val="00FA5CB6"/>
    <w:rsid w:val="00FC66AC"/>
    <w:rsid w:val="00FD18F4"/>
    <w:rsid w:val="00FD74B4"/>
    <w:rsid w:val="00FF6FCE"/>
    <w:rsid w:val="00FF7518"/>
    <w:rsid w:val="00FF7FD8"/>
    <w:rsid w:val="01421128"/>
    <w:rsid w:val="019D7E34"/>
    <w:rsid w:val="01DA23AF"/>
    <w:rsid w:val="01EC7B45"/>
    <w:rsid w:val="0273635F"/>
    <w:rsid w:val="02A03C7D"/>
    <w:rsid w:val="045613FB"/>
    <w:rsid w:val="050A438A"/>
    <w:rsid w:val="05742AC8"/>
    <w:rsid w:val="05744738"/>
    <w:rsid w:val="0583584F"/>
    <w:rsid w:val="05C01E84"/>
    <w:rsid w:val="062B2D60"/>
    <w:rsid w:val="06352F05"/>
    <w:rsid w:val="063E7D85"/>
    <w:rsid w:val="067C17E9"/>
    <w:rsid w:val="06C156FC"/>
    <w:rsid w:val="06E65339"/>
    <w:rsid w:val="070875E0"/>
    <w:rsid w:val="07293586"/>
    <w:rsid w:val="07295285"/>
    <w:rsid w:val="075E313A"/>
    <w:rsid w:val="07770C56"/>
    <w:rsid w:val="086724C2"/>
    <w:rsid w:val="089B6FC5"/>
    <w:rsid w:val="08BA5F17"/>
    <w:rsid w:val="090B411E"/>
    <w:rsid w:val="092217DD"/>
    <w:rsid w:val="093A7294"/>
    <w:rsid w:val="09414035"/>
    <w:rsid w:val="094C3BDC"/>
    <w:rsid w:val="09740246"/>
    <w:rsid w:val="098B7687"/>
    <w:rsid w:val="09DC0C8E"/>
    <w:rsid w:val="09F73FEF"/>
    <w:rsid w:val="0A1246B0"/>
    <w:rsid w:val="0A154B18"/>
    <w:rsid w:val="0A81257F"/>
    <w:rsid w:val="0ADE5156"/>
    <w:rsid w:val="0B4E50A4"/>
    <w:rsid w:val="0B8B23AB"/>
    <w:rsid w:val="0BD27BF6"/>
    <w:rsid w:val="0BD85C27"/>
    <w:rsid w:val="0C070ADA"/>
    <w:rsid w:val="0C382ECA"/>
    <w:rsid w:val="0C547DB6"/>
    <w:rsid w:val="0CA535B9"/>
    <w:rsid w:val="0CEB7741"/>
    <w:rsid w:val="0CF27E39"/>
    <w:rsid w:val="0D0C6116"/>
    <w:rsid w:val="0DCA0E50"/>
    <w:rsid w:val="0DD84DFE"/>
    <w:rsid w:val="0E0643F7"/>
    <w:rsid w:val="0E110D06"/>
    <w:rsid w:val="0E5322F9"/>
    <w:rsid w:val="0F13775A"/>
    <w:rsid w:val="0F1A1CAE"/>
    <w:rsid w:val="0F3055E3"/>
    <w:rsid w:val="0F432DDA"/>
    <w:rsid w:val="0F9A112B"/>
    <w:rsid w:val="106D2F64"/>
    <w:rsid w:val="10B63710"/>
    <w:rsid w:val="11104D89"/>
    <w:rsid w:val="111C2F7A"/>
    <w:rsid w:val="113013DE"/>
    <w:rsid w:val="117B6FDE"/>
    <w:rsid w:val="120677C8"/>
    <w:rsid w:val="120A5F2F"/>
    <w:rsid w:val="122B06C2"/>
    <w:rsid w:val="13110DA1"/>
    <w:rsid w:val="13951726"/>
    <w:rsid w:val="13BB2232"/>
    <w:rsid w:val="13CE7648"/>
    <w:rsid w:val="143811B7"/>
    <w:rsid w:val="14396509"/>
    <w:rsid w:val="1447165C"/>
    <w:rsid w:val="14BE3797"/>
    <w:rsid w:val="14F04F3F"/>
    <w:rsid w:val="14F635E1"/>
    <w:rsid w:val="165F0C7D"/>
    <w:rsid w:val="166F4919"/>
    <w:rsid w:val="16E266F7"/>
    <w:rsid w:val="17441966"/>
    <w:rsid w:val="17735226"/>
    <w:rsid w:val="17842389"/>
    <w:rsid w:val="1790469C"/>
    <w:rsid w:val="18EC3E8D"/>
    <w:rsid w:val="194C0890"/>
    <w:rsid w:val="196F6B14"/>
    <w:rsid w:val="19723CA0"/>
    <w:rsid w:val="19902E8B"/>
    <w:rsid w:val="19A32511"/>
    <w:rsid w:val="1A1315CB"/>
    <w:rsid w:val="1A1C66C0"/>
    <w:rsid w:val="1A42393B"/>
    <w:rsid w:val="1ADA3FF6"/>
    <w:rsid w:val="1ADC4032"/>
    <w:rsid w:val="1B046F80"/>
    <w:rsid w:val="1B3267B5"/>
    <w:rsid w:val="1BB63A6D"/>
    <w:rsid w:val="1BBC7995"/>
    <w:rsid w:val="1BC25DC8"/>
    <w:rsid w:val="1C047BC8"/>
    <w:rsid w:val="1C0B1633"/>
    <w:rsid w:val="1C245E2F"/>
    <w:rsid w:val="1C5E7925"/>
    <w:rsid w:val="1C887FC8"/>
    <w:rsid w:val="1CAE0268"/>
    <w:rsid w:val="1D5F6196"/>
    <w:rsid w:val="1D6132A5"/>
    <w:rsid w:val="1D8E56D5"/>
    <w:rsid w:val="1DA44B3A"/>
    <w:rsid w:val="1DD053D3"/>
    <w:rsid w:val="1E3C66B1"/>
    <w:rsid w:val="1E7A43DA"/>
    <w:rsid w:val="1E9B0CC0"/>
    <w:rsid w:val="1EB277FE"/>
    <w:rsid w:val="1ECA4EAD"/>
    <w:rsid w:val="1F420552"/>
    <w:rsid w:val="1F9B53B7"/>
    <w:rsid w:val="1FE7539E"/>
    <w:rsid w:val="202D3B9A"/>
    <w:rsid w:val="20372600"/>
    <w:rsid w:val="20695BC9"/>
    <w:rsid w:val="20963CB8"/>
    <w:rsid w:val="20975CD5"/>
    <w:rsid w:val="20B07FB6"/>
    <w:rsid w:val="20D84F63"/>
    <w:rsid w:val="20FB130A"/>
    <w:rsid w:val="213B74B1"/>
    <w:rsid w:val="215A2310"/>
    <w:rsid w:val="219B379C"/>
    <w:rsid w:val="21A34FE7"/>
    <w:rsid w:val="21DE318A"/>
    <w:rsid w:val="21EF5B80"/>
    <w:rsid w:val="22087AAA"/>
    <w:rsid w:val="222039B6"/>
    <w:rsid w:val="22576990"/>
    <w:rsid w:val="225B16DB"/>
    <w:rsid w:val="22733651"/>
    <w:rsid w:val="229C4EAB"/>
    <w:rsid w:val="235B0B5A"/>
    <w:rsid w:val="240D1692"/>
    <w:rsid w:val="241C30B0"/>
    <w:rsid w:val="24DF2E98"/>
    <w:rsid w:val="24FE3D6E"/>
    <w:rsid w:val="252D53FE"/>
    <w:rsid w:val="25EC2D81"/>
    <w:rsid w:val="25FB184A"/>
    <w:rsid w:val="264528BD"/>
    <w:rsid w:val="26E607D3"/>
    <w:rsid w:val="27D15DD1"/>
    <w:rsid w:val="283D5891"/>
    <w:rsid w:val="28702E3D"/>
    <w:rsid w:val="28A608A3"/>
    <w:rsid w:val="28A76295"/>
    <w:rsid w:val="28FA58FC"/>
    <w:rsid w:val="290B34CE"/>
    <w:rsid w:val="291379D5"/>
    <w:rsid w:val="29206EB8"/>
    <w:rsid w:val="29A57BE6"/>
    <w:rsid w:val="29CE47F7"/>
    <w:rsid w:val="29D96A4A"/>
    <w:rsid w:val="29E325E0"/>
    <w:rsid w:val="2A1E726B"/>
    <w:rsid w:val="2A452503"/>
    <w:rsid w:val="2A8C5105"/>
    <w:rsid w:val="2AB312E4"/>
    <w:rsid w:val="2B3B6AA7"/>
    <w:rsid w:val="2B5134B6"/>
    <w:rsid w:val="2BA936A8"/>
    <w:rsid w:val="2BB74899"/>
    <w:rsid w:val="2BC475FD"/>
    <w:rsid w:val="2BDD4CE7"/>
    <w:rsid w:val="2C1620E7"/>
    <w:rsid w:val="2C315A5A"/>
    <w:rsid w:val="2C692ABE"/>
    <w:rsid w:val="2C9544C5"/>
    <w:rsid w:val="2CA149CB"/>
    <w:rsid w:val="2CEA0D94"/>
    <w:rsid w:val="2D1F6E84"/>
    <w:rsid w:val="2D465529"/>
    <w:rsid w:val="2D4D766E"/>
    <w:rsid w:val="2D722E96"/>
    <w:rsid w:val="2D9E56F5"/>
    <w:rsid w:val="2DA17387"/>
    <w:rsid w:val="2E19750B"/>
    <w:rsid w:val="2E667F96"/>
    <w:rsid w:val="2E8226AB"/>
    <w:rsid w:val="2F793DDD"/>
    <w:rsid w:val="2F832C79"/>
    <w:rsid w:val="2FEF2D58"/>
    <w:rsid w:val="3040516D"/>
    <w:rsid w:val="30580BC9"/>
    <w:rsid w:val="311E2ED7"/>
    <w:rsid w:val="31377C6B"/>
    <w:rsid w:val="313E7D44"/>
    <w:rsid w:val="315C449C"/>
    <w:rsid w:val="318B6972"/>
    <w:rsid w:val="31B7652B"/>
    <w:rsid w:val="31B82709"/>
    <w:rsid w:val="31E61EA1"/>
    <w:rsid w:val="32400B34"/>
    <w:rsid w:val="324908E4"/>
    <w:rsid w:val="329E6876"/>
    <w:rsid w:val="32BF4133"/>
    <w:rsid w:val="32D23DF0"/>
    <w:rsid w:val="32E2182D"/>
    <w:rsid w:val="331532AA"/>
    <w:rsid w:val="337A5B91"/>
    <w:rsid w:val="33927056"/>
    <w:rsid w:val="33BA709B"/>
    <w:rsid w:val="33D934D4"/>
    <w:rsid w:val="33FE2F6A"/>
    <w:rsid w:val="340547BA"/>
    <w:rsid w:val="344F6013"/>
    <w:rsid w:val="34582D95"/>
    <w:rsid w:val="35225E7C"/>
    <w:rsid w:val="35750F46"/>
    <w:rsid w:val="357F4F34"/>
    <w:rsid w:val="35C079BE"/>
    <w:rsid w:val="36074A7F"/>
    <w:rsid w:val="360B2661"/>
    <w:rsid w:val="36756638"/>
    <w:rsid w:val="36923549"/>
    <w:rsid w:val="36B75FBF"/>
    <w:rsid w:val="36D97016"/>
    <w:rsid w:val="36FB4891"/>
    <w:rsid w:val="3749654A"/>
    <w:rsid w:val="37F64C40"/>
    <w:rsid w:val="382B1003"/>
    <w:rsid w:val="38352216"/>
    <w:rsid w:val="38F12CD3"/>
    <w:rsid w:val="38F94775"/>
    <w:rsid w:val="392971ED"/>
    <w:rsid w:val="39C74E96"/>
    <w:rsid w:val="3A657AF4"/>
    <w:rsid w:val="3A7C2F07"/>
    <w:rsid w:val="3A94237B"/>
    <w:rsid w:val="3A9B63B5"/>
    <w:rsid w:val="3ACF5097"/>
    <w:rsid w:val="3B3763D1"/>
    <w:rsid w:val="3B77688A"/>
    <w:rsid w:val="3BBF7813"/>
    <w:rsid w:val="3C220BA1"/>
    <w:rsid w:val="3C5A5BA6"/>
    <w:rsid w:val="3CD471BC"/>
    <w:rsid w:val="3CDA245A"/>
    <w:rsid w:val="3CEE0A37"/>
    <w:rsid w:val="3CEF0851"/>
    <w:rsid w:val="3D43545B"/>
    <w:rsid w:val="3D4440AF"/>
    <w:rsid w:val="3DE05BBE"/>
    <w:rsid w:val="3E61066B"/>
    <w:rsid w:val="3F660E74"/>
    <w:rsid w:val="3F7029B8"/>
    <w:rsid w:val="400122F0"/>
    <w:rsid w:val="40763959"/>
    <w:rsid w:val="407A6407"/>
    <w:rsid w:val="41EF5181"/>
    <w:rsid w:val="4202611F"/>
    <w:rsid w:val="423A3BCC"/>
    <w:rsid w:val="425F396C"/>
    <w:rsid w:val="428427E6"/>
    <w:rsid w:val="43097EEE"/>
    <w:rsid w:val="433A6FE6"/>
    <w:rsid w:val="4350713C"/>
    <w:rsid w:val="436653E0"/>
    <w:rsid w:val="43C755E8"/>
    <w:rsid w:val="446D1446"/>
    <w:rsid w:val="449646B4"/>
    <w:rsid w:val="44CD14E0"/>
    <w:rsid w:val="44FE515B"/>
    <w:rsid w:val="45182742"/>
    <w:rsid w:val="454F57FA"/>
    <w:rsid w:val="458946E9"/>
    <w:rsid w:val="45E62BFF"/>
    <w:rsid w:val="45EE3E26"/>
    <w:rsid w:val="462D3CAB"/>
    <w:rsid w:val="466622E2"/>
    <w:rsid w:val="46D955A7"/>
    <w:rsid w:val="46EF6562"/>
    <w:rsid w:val="47133957"/>
    <w:rsid w:val="4779329E"/>
    <w:rsid w:val="47A07E0C"/>
    <w:rsid w:val="47B81A9C"/>
    <w:rsid w:val="47FE5FAC"/>
    <w:rsid w:val="4839732B"/>
    <w:rsid w:val="483E7E42"/>
    <w:rsid w:val="4870272E"/>
    <w:rsid w:val="48F14955"/>
    <w:rsid w:val="49021819"/>
    <w:rsid w:val="49DC7715"/>
    <w:rsid w:val="4A023139"/>
    <w:rsid w:val="4A7B576F"/>
    <w:rsid w:val="4ABE0572"/>
    <w:rsid w:val="4ACE4AF9"/>
    <w:rsid w:val="4B0C5C48"/>
    <w:rsid w:val="4B59307A"/>
    <w:rsid w:val="4B857C30"/>
    <w:rsid w:val="4B8D742A"/>
    <w:rsid w:val="4B9647F9"/>
    <w:rsid w:val="4BE00BA7"/>
    <w:rsid w:val="4C412451"/>
    <w:rsid w:val="4C4A0649"/>
    <w:rsid w:val="4CBE70B8"/>
    <w:rsid w:val="4CE470D3"/>
    <w:rsid w:val="4D1840CA"/>
    <w:rsid w:val="4DB075BC"/>
    <w:rsid w:val="4DEC4FB0"/>
    <w:rsid w:val="4DF523A6"/>
    <w:rsid w:val="4E075D8A"/>
    <w:rsid w:val="4ECB2D04"/>
    <w:rsid w:val="4EFC6D3E"/>
    <w:rsid w:val="4FC62A8C"/>
    <w:rsid w:val="4FCE4661"/>
    <w:rsid w:val="4FE20F0D"/>
    <w:rsid w:val="5015316F"/>
    <w:rsid w:val="502005D6"/>
    <w:rsid w:val="50504C4B"/>
    <w:rsid w:val="509C6E7C"/>
    <w:rsid w:val="51185F62"/>
    <w:rsid w:val="513812B5"/>
    <w:rsid w:val="5162104E"/>
    <w:rsid w:val="518654CE"/>
    <w:rsid w:val="51B01DB1"/>
    <w:rsid w:val="51B35950"/>
    <w:rsid w:val="51D63945"/>
    <w:rsid w:val="52CA2424"/>
    <w:rsid w:val="53915E8C"/>
    <w:rsid w:val="53A039CC"/>
    <w:rsid w:val="53A1505A"/>
    <w:rsid w:val="53AF376D"/>
    <w:rsid w:val="53D07AF3"/>
    <w:rsid w:val="54063E08"/>
    <w:rsid w:val="543437E8"/>
    <w:rsid w:val="54344AF5"/>
    <w:rsid w:val="54683C22"/>
    <w:rsid w:val="54A56955"/>
    <w:rsid w:val="54D649AA"/>
    <w:rsid w:val="5543538C"/>
    <w:rsid w:val="556450AF"/>
    <w:rsid w:val="557F21C6"/>
    <w:rsid w:val="559B174B"/>
    <w:rsid w:val="559F574E"/>
    <w:rsid w:val="55CE0CF4"/>
    <w:rsid w:val="55E66EF3"/>
    <w:rsid w:val="560B1D19"/>
    <w:rsid w:val="56456E02"/>
    <w:rsid w:val="566F4E48"/>
    <w:rsid w:val="56714C61"/>
    <w:rsid w:val="568A447D"/>
    <w:rsid w:val="56B22A9C"/>
    <w:rsid w:val="573C40E7"/>
    <w:rsid w:val="57623B4D"/>
    <w:rsid w:val="57A21FA9"/>
    <w:rsid w:val="57B72A76"/>
    <w:rsid w:val="57BB1D04"/>
    <w:rsid w:val="58020F11"/>
    <w:rsid w:val="58106496"/>
    <w:rsid w:val="58825B29"/>
    <w:rsid w:val="5A3C747D"/>
    <w:rsid w:val="5A6516AD"/>
    <w:rsid w:val="5AA91A93"/>
    <w:rsid w:val="5ABE2233"/>
    <w:rsid w:val="5AD87E38"/>
    <w:rsid w:val="5B1F728F"/>
    <w:rsid w:val="5B276D18"/>
    <w:rsid w:val="5B826FFC"/>
    <w:rsid w:val="5B834092"/>
    <w:rsid w:val="5B8F2A37"/>
    <w:rsid w:val="5BDF5D95"/>
    <w:rsid w:val="5C877A74"/>
    <w:rsid w:val="5CC826A5"/>
    <w:rsid w:val="5CEC15C2"/>
    <w:rsid w:val="5D316EA5"/>
    <w:rsid w:val="5D4F33C2"/>
    <w:rsid w:val="5DF87A0F"/>
    <w:rsid w:val="5F1A2B43"/>
    <w:rsid w:val="5F7C7EB0"/>
    <w:rsid w:val="5FB837BB"/>
    <w:rsid w:val="5FF335CF"/>
    <w:rsid w:val="60150B9A"/>
    <w:rsid w:val="60B151FE"/>
    <w:rsid w:val="61302F9A"/>
    <w:rsid w:val="61A82592"/>
    <w:rsid w:val="62183E32"/>
    <w:rsid w:val="62364782"/>
    <w:rsid w:val="62655ABA"/>
    <w:rsid w:val="626C2DFB"/>
    <w:rsid w:val="62BD4C4D"/>
    <w:rsid w:val="63573B38"/>
    <w:rsid w:val="63A62CC0"/>
    <w:rsid w:val="63C86E42"/>
    <w:rsid w:val="63D40BE9"/>
    <w:rsid w:val="63DF1449"/>
    <w:rsid w:val="63E0211F"/>
    <w:rsid w:val="646E1F72"/>
    <w:rsid w:val="65373578"/>
    <w:rsid w:val="65A56625"/>
    <w:rsid w:val="668C4743"/>
    <w:rsid w:val="66A30D88"/>
    <w:rsid w:val="66CA7BA7"/>
    <w:rsid w:val="671D183F"/>
    <w:rsid w:val="673F2C7A"/>
    <w:rsid w:val="67A55390"/>
    <w:rsid w:val="681F6961"/>
    <w:rsid w:val="68610A2F"/>
    <w:rsid w:val="68805514"/>
    <w:rsid w:val="68AF7CA5"/>
    <w:rsid w:val="68F70CE8"/>
    <w:rsid w:val="693F24B8"/>
    <w:rsid w:val="694E2071"/>
    <w:rsid w:val="697A3B33"/>
    <w:rsid w:val="697A6F98"/>
    <w:rsid w:val="699E2456"/>
    <w:rsid w:val="69C42356"/>
    <w:rsid w:val="69DA3A17"/>
    <w:rsid w:val="6A2151A2"/>
    <w:rsid w:val="6A403878"/>
    <w:rsid w:val="6A8E49C2"/>
    <w:rsid w:val="6AAF0A00"/>
    <w:rsid w:val="6B322639"/>
    <w:rsid w:val="6BA3694C"/>
    <w:rsid w:val="6BE02EA1"/>
    <w:rsid w:val="6C636C38"/>
    <w:rsid w:val="6C904861"/>
    <w:rsid w:val="6CC12ED0"/>
    <w:rsid w:val="6D340D37"/>
    <w:rsid w:val="6D6975E8"/>
    <w:rsid w:val="6D744644"/>
    <w:rsid w:val="6DB00FF6"/>
    <w:rsid w:val="6DB34098"/>
    <w:rsid w:val="6DB545B6"/>
    <w:rsid w:val="6E4375A0"/>
    <w:rsid w:val="6E514CED"/>
    <w:rsid w:val="6E673B93"/>
    <w:rsid w:val="6E79491A"/>
    <w:rsid w:val="6EB563D5"/>
    <w:rsid w:val="6F0A551B"/>
    <w:rsid w:val="6F225983"/>
    <w:rsid w:val="6F6A5CD5"/>
    <w:rsid w:val="6F822AD3"/>
    <w:rsid w:val="6FC55598"/>
    <w:rsid w:val="6FFC5590"/>
    <w:rsid w:val="70301DA3"/>
    <w:rsid w:val="706D1DD0"/>
    <w:rsid w:val="70856B87"/>
    <w:rsid w:val="709760D6"/>
    <w:rsid w:val="70D527EE"/>
    <w:rsid w:val="70FB150B"/>
    <w:rsid w:val="713556B2"/>
    <w:rsid w:val="715B5300"/>
    <w:rsid w:val="715F4BD7"/>
    <w:rsid w:val="71CE0498"/>
    <w:rsid w:val="71D27F8A"/>
    <w:rsid w:val="71F744C6"/>
    <w:rsid w:val="71F960CF"/>
    <w:rsid w:val="72182121"/>
    <w:rsid w:val="731F5D5E"/>
    <w:rsid w:val="73410663"/>
    <w:rsid w:val="73A40BF2"/>
    <w:rsid w:val="73C12124"/>
    <w:rsid w:val="741E793C"/>
    <w:rsid w:val="745463AD"/>
    <w:rsid w:val="748227C6"/>
    <w:rsid w:val="74854D25"/>
    <w:rsid w:val="751F7A31"/>
    <w:rsid w:val="758D75E2"/>
    <w:rsid w:val="759E3DEE"/>
    <w:rsid w:val="760D0432"/>
    <w:rsid w:val="774D3A7A"/>
    <w:rsid w:val="776675D8"/>
    <w:rsid w:val="77762421"/>
    <w:rsid w:val="779C4203"/>
    <w:rsid w:val="77D6329B"/>
    <w:rsid w:val="77E04169"/>
    <w:rsid w:val="780F09F4"/>
    <w:rsid w:val="784136F1"/>
    <w:rsid w:val="789C4F47"/>
    <w:rsid w:val="78A90480"/>
    <w:rsid w:val="794A76BD"/>
    <w:rsid w:val="794D4CCD"/>
    <w:rsid w:val="79811327"/>
    <w:rsid w:val="79D67A51"/>
    <w:rsid w:val="7A364017"/>
    <w:rsid w:val="7A65732D"/>
    <w:rsid w:val="7A676112"/>
    <w:rsid w:val="7A8265E1"/>
    <w:rsid w:val="7A8B6668"/>
    <w:rsid w:val="7AAE5CF3"/>
    <w:rsid w:val="7B686D42"/>
    <w:rsid w:val="7B841746"/>
    <w:rsid w:val="7BD95E77"/>
    <w:rsid w:val="7C083048"/>
    <w:rsid w:val="7C1A6000"/>
    <w:rsid w:val="7CBE4A90"/>
    <w:rsid w:val="7D0239FF"/>
    <w:rsid w:val="7D5E40CD"/>
    <w:rsid w:val="7D693BED"/>
    <w:rsid w:val="7DCD34A9"/>
    <w:rsid w:val="7DD4046C"/>
    <w:rsid w:val="7DF53954"/>
    <w:rsid w:val="7E151491"/>
    <w:rsid w:val="7E314C10"/>
    <w:rsid w:val="7E515D2A"/>
    <w:rsid w:val="7E56433B"/>
    <w:rsid w:val="7E7D211D"/>
    <w:rsid w:val="7ECF564B"/>
    <w:rsid w:val="7EED71F8"/>
    <w:rsid w:val="7F0550E6"/>
    <w:rsid w:val="7F194776"/>
    <w:rsid w:val="7F62631C"/>
    <w:rsid w:val="7FAD32F8"/>
    <w:rsid w:val="7FE47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qFormat="1"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99"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qFormat="1"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720" w:firstLineChars="200"/>
      <w:jc w:val="both"/>
    </w:pPr>
    <w:rPr>
      <w:rFonts w:ascii="Times New Roman" w:hAnsi="Times New Roman" w:eastAsia="华文中宋" w:cs="Times New Roman"/>
      <w:kern w:val="2"/>
      <w:sz w:val="24"/>
      <w:szCs w:val="24"/>
      <w:lang w:val="en-US" w:eastAsia="zh-CN" w:bidi="ar-SA"/>
    </w:rPr>
  </w:style>
  <w:style w:type="paragraph" w:styleId="4">
    <w:name w:val="heading 1"/>
    <w:basedOn w:val="1"/>
    <w:next w:val="1"/>
    <w:link w:val="36"/>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qFormat/>
    <w:uiPriority w:val="0"/>
    <w:pPr>
      <w:keepNext/>
      <w:keepLines/>
      <w:spacing w:before="260" w:after="260" w:line="416" w:lineRule="auto"/>
      <w:outlineLvl w:val="1"/>
    </w:pPr>
    <w:rPr>
      <w:rFonts w:ascii="Arial" w:hAnsi="Arial" w:eastAsia="黑体" w:cs="Verdana"/>
      <w:b/>
      <w:bCs/>
      <w:sz w:val="32"/>
      <w:szCs w:val="32"/>
    </w:rPr>
  </w:style>
  <w:style w:type="paragraph" w:styleId="6">
    <w:name w:val="heading 3"/>
    <w:basedOn w:val="1"/>
    <w:next w:val="1"/>
    <w:qFormat/>
    <w:uiPriority w:val="0"/>
    <w:pPr>
      <w:keepNext/>
      <w:keepLines/>
      <w:spacing w:line="360" w:lineRule="auto"/>
      <w:outlineLvl w:val="2"/>
    </w:pPr>
    <w:rPr>
      <w:b/>
      <w:bCs/>
      <w:sz w:val="24"/>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31">
    <w:name w:val="Default Paragraph Font"/>
    <w:link w:val="32"/>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index heading"/>
    <w:basedOn w:val="1"/>
    <w:next w:val="3"/>
    <w:semiHidden/>
    <w:unhideWhenUsed/>
    <w:qFormat/>
    <w:uiPriority w:val="99"/>
    <w:rPr>
      <w:rFonts w:asciiTheme="majorHAnsi" w:hAnsiTheme="majorHAnsi" w:eastAsiaTheme="majorEastAsia" w:cstheme="majorBidi"/>
      <w:b/>
      <w:bCs/>
    </w:rPr>
  </w:style>
  <w:style w:type="paragraph" w:styleId="3">
    <w:name w:val="index 1"/>
    <w:basedOn w:val="1"/>
    <w:next w:val="1"/>
    <w:semiHidden/>
    <w:unhideWhenUsed/>
    <w:qFormat/>
    <w:uiPriority w:val="99"/>
  </w:style>
  <w:style w:type="paragraph" w:styleId="8">
    <w:name w:val="E-mail Signature"/>
    <w:basedOn w:val="1"/>
    <w:next w:val="1"/>
    <w:unhideWhenUsed/>
    <w:qFormat/>
    <w:uiPriority w:val="0"/>
    <w:pPr>
      <w:widowControl/>
      <w:spacing w:line="240" w:lineRule="auto"/>
      <w:ind w:firstLine="0" w:firstLineChars="0"/>
      <w:jc w:val="center"/>
    </w:pPr>
    <w:rPr>
      <w:kern w:val="0"/>
      <w:sz w:val="18"/>
    </w:rPr>
  </w:style>
  <w:style w:type="paragraph" w:styleId="9">
    <w:name w:val="Normal Indent"/>
    <w:basedOn w:val="1"/>
    <w:qFormat/>
    <w:uiPriority w:val="0"/>
    <w:pPr>
      <w:ind w:firstLine="420" w:firstLineChars="200"/>
    </w:pPr>
    <w:rPr>
      <w:rFonts w:ascii="Verdana" w:hAnsi="Verdana" w:cs="Verdana"/>
      <w:szCs w:val="24"/>
    </w:rPr>
  </w:style>
  <w:style w:type="paragraph" w:styleId="10">
    <w:name w:val="annotation text"/>
    <w:basedOn w:val="1"/>
    <w:link w:val="37"/>
    <w:semiHidden/>
    <w:qFormat/>
    <w:uiPriority w:val="0"/>
    <w:pPr>
      <w:jc w:val="left"/>
    </w:pPr>
    <w:rPr>
      <w:kern w:val="0"/>
      <w:sz w:val="20"/>
    </w:rPr>
  </w:style>
  <w:style w:type="paragraph" w:styleId="11">
    <w:name w:val="Body Text"/>
    <w:basedOn w:val="1"/>
    <w:link w:val="38"/>
    <w:qFormat/>
    <w:uiPriority w:val="0"/>
    <w:pPr>
      <w:widowControl/>
      <w:snapToGrid w:val="0"/>
      <w:spacing w:before="60" w:after="160" w:line="259" w:lineRule="auto"/>
      <w:ind w:right="113"/>
    </w:pPr>
    <w:rPr>
      <w:kern w:val="0"/>
      <w:sz w:val="18"/>
      <w:szCs w:val="18"/>
    </w:rPr>
  </w:style>
  <w:style w:type="paragraph" w:styleId="12">
    <w:name w:val="Body Text Indent"/>
    <w:basedOn w:val="1"/>
    <w:link w:val="39"/>
    <w:semiHidden/>
    <w:qFormat/>
    <w:uiPriority w:val="0"/>
    <w:pPr>
      <w:spacing w:after="120"/>
      <w:ind w:left="420" w:leftChars="200"/>
    </w:pPr>
  </w:style>
  <w:style w:type="paragraph" w:styleId="13">
    <w:name w:val="Plain Text"/>
    <w:basedOn w:val="1"/>
    <w:qFormat/>
    <w:uiPriority w:val="0"/>
    <w:rPr>
      <w:rFonts w:ascii="宋体" w:hAnsi="Courier New"/>
    </w:rPr>
  </w:style>
  <w:style w:type="paragraph" w:styleId="14">
    <w:name w:val="List Bullet 5"/>
    <w:basedOn w:val="1"/>
    <w:qFormat/>
    <w:uiPriority w:val="0"/>
    <w:pPr>
      <w:numPr>
        <w:ilvl w:val="0"/>
        <w:numId w:val="1"/>
      </w:numPr>
    </w:pPr>
  </w:style>
  <w:style w:type="paragraph" w:styleId="15">
    <w:name w:val="Date"/>
    <w:basedOn w:val="1"/>
    <w:next w:val="1"/>
    <w:link w:val="40"/>
    <w:qFormat/>
    <w:uiPriority w:val="0"/>
    <w:pPr>
      <w:ind w:left="100" w:leftChars="2500"/>
    </w:pPr>
    <w:rPr>
      <w:kern w:val="0"/>
      <w:sz w:val="20"/>
    </w:rPr>
  </w:style>
  <w:style w:type="paragraph" w:styleId="16">
    <w:name w:val="Body Text Indent 2"/>
    <w:basedOn w:val="1"/>
    <w:qFormat/>
    <w:uiPriority w:val="0"/>
    <w:pPr>
      <w:spacing w:line="540" w:lineRule="exact"/>
      <w:ind w:firstLine="627"/>
    </w:pPr>
    <w:rPr>
      <w:rFonts w:eastAsia="方正仿宋简体"/>
      <w:sz w:val="28"/>
    </w:rPr>
  </w:style>
  <w:style w:type="paragraph" w:styleId="17">
    <w:name w:val="Balloon Text"/>
    <w:basedOn w:val="1"/>
    <w:link w:val="41"/>
    <w:semiHidden/>
    <w:qFormat/>
    <w:uiPriority w:val="0"/>
    <w:rPr>
      <w:sz w:val="18"/>
      <w:szCs w:val="18"/>
    </w:rPr>
  </w:style>
  <w:style w:type="paragraph" w:styleId="18">
    <w:name w:val="footer"/>
    <w:basedOn w:val="1"/>
    <w:link w:val="42"/>
    <w:qFormat/>
    <w:uiPriority w:val="0"/>
    <w:pPr>
      <w:tabs>
        <w:tab w:val="center" w:pos="4153"/>
        <w:tab w:val="right" w:pos="8306"/>
      </w:tabs>
      <w:snapToGrid w:val="0"/>
      <w:jc w:val="left"/>
    </w:pPr>
    <w:rPr>
      <w:sz w:val="18"/>
      <w:szCs w:val="18"/>
    </w:rPr>
  </w:style>
  <w:style w:type="paragraph" w:styleId="19">
    <w:name w:val="header"/>
    <w:basedOn w:val="1"/>
    <w:next w:val="20"/>
    <w:link w:val="43"/>
    <w:qFormat/>
    <w:uiPriority w:val="0"/>
    <w:pPr>
      <w:pBdr>
        <w:bottom w:val="single" w:color="auto" w:sz="6" w:space="1"/>
      </w:pBdr>
      <w:tabs>
        <w:tab w:val="center" w:pos="4153"/>
        <w:tab w:val="right" w:pos="8306"/>
      </w:tabs>
      <w:snapToGrid w:val="0"/>
      <w:jc w:val="center"/>
    </w:pPr>
    <w:rPr>
      <w:sz w:val="18"/>
      <w:szCs w:val="18"/>
    </w:rPr>
  </w:style>
  <w:style w:type="paragraph" w:customStyle="1" w:styleId="20">
    <w:name w:val="样式5"/>
    <w:basedOn w:val="21"/>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21">
    <w:name w:val="正文1"/>
    <w:basedOn w:val="9"/>
    <w:qFormat/>
    <w:uiPriority w:val="0"/>
    <w:pPr>
      <w:snapToGrid w:val="0"/>
      <w:spacing w:line="270" w:lineRule="atLeast"/>
      <w:jc w:val="center"/>
    </w:pPr>
    <w:rPr>
      <w:spacing w:val="8"/>
      <w:kern w:val="21"/>
    </w:rPr>
  </w:style>
  <w:style w:type="paragraph" w:styleId="22">
    <w:name w:val="toc 1"/>
    <w:basedOn w:val="1"/>
    <w:next w:val="1"/>
    <w:qFormat/>
    <w:uiPriority w:val="0"/>
  </w:style>
  <w:style w:type="paragraph" w:styleId="23">
    <w:name w:val="Body Text Indent 3"/>
    <w:basedOn w:val="1"/>
    <w:qFormat/>
    <w:uiPriority w:val="0"/>
    <w:pPr>
      <w:spacing w:line="500" w:lineRule="exact"/>
      <w:ind w:firstLine="560" w:firstLineChars="200"/>
    </w:pPr>
    <w:rPr>
      <w:rFonts w:eastAsia="方正仿宋简体"/>
      <w:sz w:val="28"/>
    </w:rPr>
  </w:style>
  <w:style w:type="paragraph" w:styleId="24">
    <w:name w:val="Normal (Web)"/>
    <w:basedOn w:val="1"/>
    <w:link w:val="44"/>
    <w:qFormat/>
    <w:uiPriority w:val="0"/>
    <w:pPr>
      <w:widowControl/>
      <w:spacing w:before="100" w:beforeAutospacing="1" w:after="100" w:afterAutospacing="1"/>
      <w:jc w:val="left"/>
    </w:pPr>
    <w:rPr>
      <w:rFonts w:ascii="宋体" w:hAnsi="宋体"/>
      <w:kern w:val="0"/>
      <w:sz w:val="24"/>
    </w:rPr>
  </w:style>
  <w:style w:type="paragraph" w:styleId="25">
    <w:name w:val="Title"/>
    <w:basedOn w:val="1"/>
    <w:next w:val="1"/>
    <w:qFormat/>
    <w:uiPriority w:val="10"/>
    <w:pPr>
      <w:spacing w:before="240" w:after="60"/>
      <w:ind w:firstLine="562"/>
      <w:jc w:val="center"/>
      <w:outlineLvl w:val="0"/>
    </w:pPr>
    <w:rPr>
      <w:rFonts w:ascii="Arial" w:hAnsi="Arial" w:cs="Arial"/>
      <w:b/>
      <w:bCs/>
      <w:szCs w:val="32"/>
    </w:rPr>
  </w:style>
  <w:style w:type="paragraph" w:styleId="26">
    <w:name w:val="annotation subject"/>
    <w:basedOn w:val="10"/>
    <w:next w:val="10"/>
    <w:link w:val="45"/>
    <w:semiHidden/>
    <w:qFormat/>
    <w:uiPriority w:val="0"/>
    <w:rPr>
      <w:b/>
      <w:bCs/>
    </w:rPr>
  </w:style>
  <w:style w:type="paragraph" w:styleId="27">
    <w:name w:val="Body Text First Indent"/>
    <w:basedOn w:val="11"/>
    <w:next w:val="12"/>
    <w:qFormat/>
    <w:uiPriority w:val="0"/>
    <w:pPr>
      <w:spacing w:after="120" w:line="240" w:lineRule="auto"/>
      <w:ind w:firstLine="420" w:firstLineChars="100"/>
    </w:pPr>
    <w:rPr>
      <w:sz w:val="21"/>
      <w:szCs w:val="24"/>
    </w:rPr>
  </w:style>
  <w:style w:type="paragraph" w:styleId="28">
    <w:name w:val="Body Text First Indent 2"/>
    <w:basedOn w:val="12"/>
    <w:next w:val="27"/>
    <w:qFormat/>
    <w:uiPriority w:val="0"/>
    <w:pPr>
      <w:ind w:firstLine="420" w:firstLineChars="200"/>
    </w:pPr>
    <w:rPr>
      <w:szCs w:val="24"/>
    </w:rPr>
  </w:style>
  <w:style w:type="table" w:styleId="30">
    <w:name w:val="Table Grid"/>
    <w:basedOn w:val="29"/>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 Char Char Char Char Char Char Char Char Char Char Char Char Char Char Char Char Char Char"/>
    <w:basedOn w:val="1"/>
    <w:link w:val="31"/>
    <w:qFormat/>
    <w:uiPriority w:val="0"/>
  </w:style>
  <w:style w:type="character" w:styleId="33">
    <w:name w:val="Strong"/>
    <w:basedOn w:val="31"/>
    <w:qFormat/>
    <w:uiPriority w:val="0"/>
    <w:rPr>
      <w:b/>
    </w:rPr>
  </w:style>
  <w:style w:type="character" w:styleId="34">
    <w:name w:val="page number"/>
    <w:basedOn w:val="31"/>
    <w:qFormat/>
    <w:uiPriority w:val="0"/>
  </w:style>
  <w:style w:type="character" w:styleId="35">
    <w:name w:val="annotation reference"/>
    <w:basedOn w:val="31"/>
    <w:semiHidden/>
    <w:qFormat/>
    <w:uiPriority w:val="0"/>
    <w:rPr>
      <w:sz w:val="21"/>
    </w:rPr>
  </w:style>
  <w:style w:type="character" w:customStyle="1" w:styleId="36">
    <w:name w:val="标题 1 Char"/>
    <w:link w:val="4"/>
    <w:qFormat/>
    <w:uiPriority w:val="0"/>
    <w:rPr>
      <w:rFonts w:eastAsia="黑体"/>
      <w:b/>
      <w:bCs/>
      <w:color w:val="000000"/>
      <w:kern w:val="44"/>
      <w:sz w:val="30"/>
      <w:szCs w:val="30"/>
    </w:rPr>
  </w:style>
  <w:style w:type="character" w:customStyle="1" w:styleId="37">
    <w:name w:val="Comment Text Char"/>
    <w:link w:val="10"/>
    <w:qFormat/>
    <w:uiPriority w:val="0"/>
    <w:rPr>
      <w:rFonts w:ascii="Times New Roman" w:hAnsi="Times New Roman" w:eastAsia="宋体"/>
      <w:sz w:val="24"/>
    </w:rPr>
  </w:style>
  <w:style w:type="character" w:customStyle="1" w:styleId="38">
    <w:name w:val="Body Text Char"/>
    <w:link w:val="11"/>
    <w:qFormat/>
    <w:uiPriority w:val="0"/>
    <w:rPr>
      <w:sz w:val="18"/>
    </w:rPr>
  </w:style>
  <w:style w:type="character" w:customStyle="1" w:styleId="39">
    <w:name w:val="Body Text Indent Char"/>
    <w:basedOn w:val="31"/>
    <w:link w:val="12"/>
    <w:semiHidden/>
    <w:qFormat/>
    <w:uiPriority w:val="0"/>
    <w:rPr>
      <w:rFonts w:ascii="Times New Roman" w:hAnsi="Times New Roman" w:eastAsia="宋体" w:cs="Times New Roman"/>
      <w:sz w:val="24"/>
      <w:szCs w:val="24"/>
    </w:rPr>
  </w:style>
  <w:style w:type="character" w:customStyle="1" w:styleId="40">
    <w:name w:val="Date Char"/>
    <w:link w:val="15"/>
    <w:qFormat/>
    <w:uiPriority w:val="0"/>
    <w:rPr>
      <w:rFonts w:ascii="Times New Roman" w:hAnsi="Times New Roman" w:eastAsia="宋体"/>
      <w:sz w:val="24"/>
    </w:rPr>
  </w:style>
  <w:style w:type="character" w:customStyle="1" w:styleId="41">
    <w:name w:val="Balloon Text Char"/>
    <w:basedOn w:val="31"/>
    <w:link w:val="17"/>
    <w:semiHidden/>
    <w:qFormat/>
    <w:uiPriority w:val="0"/>
    <w:rPr>
      <w:rFonts w:ascii="Times New Roman" w:hAnsi="Times New Roman" w:eastAsia="宋体" w:cs="Times New Roman"/>
      <w:sz w:val="18"/>
      <w:szCs w:val="18"/>
    </w:rPr>
  </w:style>
  <w:style w:type="character" w:customStyle="1" w:styleId="42">
    <w:name w:val="Footer Char"/>
    <w:basedOn w:val="31"/>
    <w:link w:val="18"/>
    <w:qFormat/>
    <w:uiPriority w:val="0"/>
    <w:rPr>
      <w:rFonts w:cs="Times New Roman"/>
      <w:sz w:val="18"/>
      <w:szCs w:val="18"/>
    </w:rPr>
  </w:style>
  <w:style w:type="character" w:customStyle="1" w:styleId="43">
    <w:name w:val="Header Char"/>
    <w:basedOn w:val="31"/>
    <w:link w:val="19"/>
    <w:qFormat/>
    <w:uiPriority w:val="0"/>
    <w:rPr>
      <w:rFonts w:cs="Times New Roman"/>
      <w:sz w:val="18"/>
      <w:szCs w:val="18"/>
    </w:rPr>
  </w:style>
  <w:style w:type="character" w:customStyle="1" w:styleId="44">
    <w:name w:val="Normal (Web) Char"/>
    <w:link w:val="24"/>
    <w:qFormat/>
    <w:uiPriority w:val="0"/>
    <w:rPr>
      <w:rFonts w:ascii="宋体" w:hAnsi="宋体" w:eastAsia="宋体"/>
      <w:sz w:val="24"/>
    </w:rPr>
  </w:style>
  <w:style w:type="character" w:customStyle="1" w:styleId="45">
    <w:name w:val="Comment Subject Char"/>
    <w:basedOn w:val="37"/>
    <w:link w:val="26"/>
    <w:semiHidden/>
    <w:qFormat/>
    <w:uiPriority w:val="0"/>
    <w:rPr>
      <w:rFonts w:cs="Times New Roman"/>
      <w:b/>
      <w:bCs/>
      <w:kern w:val="2"/>
      <w:szCs w:val="24"/>
    </w:rPr>
  </w:style>
  <w:style w:type="paragraph" w:customStyle="1" w:styleId="46">
    <w:name w:val="我的正文"/>
    <w:next w:val="1"/>
    <w:qFormat/>
    <w:uiPriority w:val="0"/>
    <w:pPr>
      <w:adjustRightInd w:val="0"/>
      <w:snapToGrid w:val="0"/>
      <w:spacing w:line="360" w:lineRule="auto"/>
      <w:ind w:firstLine="200" w:firstLineChars="200"/>
    </w:pPr>
    <w:rPr>
      <w:rFonts w:ascii="Times New Roman" w:hAnsi="Times New Roman" w:eastAsia="宋体" w:cs="宋体"/>
      <w:color w:val="000000"/>
      <w:kern w:val="2"/>
      <w:sz w:val="24"/>
      <w:lang w:val="en-US" w:eastAsia="zh-CN" w:bidi="ar-SA"/>
    </w:rPr>
  </w:style>
  <w:style w:type="paragraph" w:customStyle="1" w:styleId="47">
    <w:name w:val="表格内"/>
    <w:basedOn w:val="1"/>
    <w:qFormat/>
    <w:uiPriority w:val="0"/>
    <w:pPr>
      <w:snapToGrid w:val="0"/>
      <w:spacing w:line="360" w:lineRule="exact"/>
      <w:jc w:val="center"/>
    </w:pPr>
    <w:rPr>
      <w:rFonts w:ascii="Times New Roman" w:hAnsi="Times New Roman"/>
      <w:szCs w:val="21"/>
    </w:rPr>
  </w:style>
  <w:style w:type="paragraph" w:customStyle="1" w:styleId="48">
    <w:name w:val="Default"/>
    <w:basedOn w:val="49"/>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50">
    <w:name w:val="纯文本1"/>
    <w:basedOn w:val="1"/>
    <w:qFormat/>
    <w:uiPriority w:val="0"/>
    <w:pPr>
      <w:adjustRightInd w:val="0"/>
    </w:pPr>
    <w:rPr>
      <w:rFonts w:ascii="宋体" w:hAnsi="Courier New"/>
      <w:szCs w:val="20"/>
    </w:rPr>
  </w:style>
  <w:style w:type="character" w:customStyle="1" w:styleId="51">
    <w:name w:val="普通(网站) Char"/>
    <w:qFormat/>
    <w:uiPriority w:val="0"/>
    <w:rPr>
      <w:rFonts w:ascii="宋体" w:hAnsi="宋体" w:eastAsia="宋体"/>
      <w:sz w:val="24"/>
    </w:rPr>
  </w:style>
  <w:style w:type="character" w:customStyle="1" w:styleId="52">
    <w:name w:val="正文文本 字符1"/>
    <w:basedOn w:val="31"/>
    <w:semiHidden/>
    <w:qFormat/>
    <w:uiPriority w:val="0"/>
    <w:rPr>
      <w:rFonts w:ascii="Times New Roman" w:hAnsi="Times New Roman" w:eastAsia="宋体" w:cs="Times New Roman"/>
      <w:sz w:val="24"/>
      <w:szCs w:val="24"/>
    </w:rPr>
  </w:style>
  <w:style w:type="character" w:customStyle="1" w:styleId="53">
    <w:name w:val="批注文字 字符1"/>
    <w:basedOn w:val="31"/>
    <w:semiHidden/>
    <w:qFormat/>
    <w:uiPriority w:val="0"/>
    <w:rPr>
      <w:rFonts w:ascii="Times New Roman" w:hAnsi="Times New Roman" w:eastAsia="宋体" w:cs="Times New Roman"/>
      <w:sz w:val="24"/>
      <w:szCs w:val="24"/>
    </w:rPr>
  </w:style>
  <w:style w:type="character" w:customStyle="1" w:styleId="54">
    <w:name w:val="日期 字符"/>
    <w:basedOn w:val="31"/>
    <w:semiHidden/>
    <w:qFormat/>
    <w:uiPriority w:val="0"/>
    <w:rPr>
      <w:rFonts w:ascii="Times New Roman" w:hAnsi="Times New Roman" w:eastAsia="宋体" w:cs="Times New Roman"/>
      <w:sz w:val="24"/>
      <w:szCs w:val="24"/>
    </w:rPr>
  </w:style>
  <w:style w:type="character" w:customStyle="1" w:styleId="55">
    <w:name w:val="不明显强调11"/>
    <w:basedOn w:val="31"/>
    <w:qFormat/>
    <w:uiPriority w:val="19"/>
    <w:rPr>
      <w:rFonts w:ascii="Times New Roman" w:hAnsi="Times New Roman" w:eastAsia="仿宋_GB2312"/>
      <w:iCs/>
      <w:color w:val="auto"/>
      <w:sz w:val="21"/>
    </w:rPr>
  </w:style>
  <w:style w:type="character" w:customStyle="1" w:styleId="56">
    <w:name w:val="16"/>
    <w:basedOn w:val="31"/>
    <w:qFormat/>
    <w:uiPriority w:val="0"/>
    <w:rPr>
      <w:rFonts w:hint="default" w:ascii="Times New Roman" w:hAnsi="Times New Roman" w:eastAsia="仿宋_GB2312" w:cs="Times New Roman"/>
      <w:sz w:val="21"/>
      <w:szCs w:val="21"/>
    </w:rPr>
  </w:style>
  <w:style w:type="character" w:customStyle="1" w:styleId="57">
    <w:name w:val="表格 Char"/>
    <w:link w:val="58"/>
    <w:qFormat/>
    <w:uiPriority w:val="0"/>
    <w:rPr>
      <w:rFonts w:ascii="宋体"/>
      <w:sz w:val="21"/>
    </w:rPr>
  </w:style>
  <w:style w:type="paragraph" w:customStyle="1" w:styleId="58">
    <w:name w:val="表格"/>
    <w:basedOn w:val="9"/>
    <w:next w:val="1"/>
    <w:link w:val="57"/>
    <w:qFormat/>
    <w:uiPriority w:val="0"/>
    <w:pPr>
      <w:adjustRightInd w:val="0"/>
      <w:snapToGrid w:val="0"/>
      <w:spacing w:beforeLines="10" w:afterLines="10" w:line="259" w:lineRule="auto"/>
      <w:jc w:val="center"/>
    </w:pPr>
    <w:rPr>
      <w:rFonts w:ascii="宋体"/>
      <w:kern w:val="0"/>
      <w:sz w:val="20"/>
      <w:szCs w:val="21"/>
    </w:rPr>
  </w:style>
  <w:style w:type="paragraph" w:customStyle="1" w:styleId="59">
    <w:name w:val="表头"/>
    <w:basedOn w:val="60"/>
    <w:next w:val="11"/>
    <w:qFormat/>
    <w:uiPriority w:val="0"/>
    <w:pPr>
      <w:adjustRightInd w:val="0"/>
      <w:snapToGrid w:val="0"/>
      <w:spacing w:line="480" w:lineRule="exact"/>
      <w:ind w:firstLine="0" w:firstLineChars="0"/>
    </w:pPr>
    <w:rPr>
      <w:rFonts w:hAnsi="宋体"/>
      <w:szCs w:val="28"/>
    </w:rPr>
  </w:style>
  <w:style w:type="paragraph" w:customStyle="1" w:styleId="60">
    <w:name w:val="表外"/>
    <w:basedOn w:val="1"/>
    <w:qFormat/>
    <w:uiPriority w:val="0"/>
    <w:pPr>
      <w:ind w:firstLine="0" w:firstLineChars="0"/>
    </w:pPr>
    <w:rPr>
      <w:rFonts w:ascii="Times New Roman"/>
      <w:b/>
      <w:sz w:val="32"/>
    </w:rPr>
  </w:style>
  <w:style w:type="paragraph" w:customStyle="1" w:styleId="61">
    <w:name w:val="p0"/>
    <w:basedOn w:val="1"/>
    <w:qFormat/>
    <w:uiPriority w:val="0"/>
    <w:pPr>
      <w:widowControl/>
    </w:pPr>
    <w:rPr>
      <w:kern w:val="0"/>
      <w:szCs w:val="21"/>
    </w:rPr>
  </w:style>
  <w:style w:type="paragraph" w:customStyle="1" w:styleId="62">
    <w:name w:val="表格内容"/>
    <w:basedOn w:val="59"/>
    <w:qFormat/>
    <w:uiPriority w:val="0"/>
    <w:pPr>
      <w:autoSpaceDE w:val="0"/>
      <w:autoSpaceDN w:val="0"/>
      <w:adjustRightInd w:val="0"/>
      <w:snapToGrid/>
      <w:spacing w:line="240" w:lineRule="auto"/>
      <w:ind w:firstLine="0" w:firstLineChars="0"/>
      <w:jc w:val="center"/>
      <w:textAlignment w:val="center"/>
    </w:pPr>
    <w:rPr>
      <w:rFonts w:ascii="Times New Roman" w:hAnsi="Times New Roman" w:eastAsia="宋体"/>
      <w:kern w:val="0"/>
      <w:sz w:val="21"/>
      <w:szCs w:val="21"/>
    </w:rPr>
  </w:style>
  <w:style w:type="paragraph" w:customStyle="1" w:styleId="63">
    <w:name w:val="2黑体4号"/>
    <w:basedOn w:val="64"/>
    <w:qFormat/>
    <w:uiPriority w:val="0"/>
    <w:pPr>
      <w:spacing w:line="240" w:lineRule="auto"/>
      <w:jc w:val="left"/>
    </w:pPr>
    <w:rPr>
      <w:rFonts w:eastAsia="黑体"/>
      <w:sz w:val="28"/>
      <w:szCs w:val="28"/>
    </w:rPr>
  </w:style>
  <w:style w:type="paragraph" w:customStyle="1" w:styleId="64">
    <w:name w:val="啊啊啊啊"/>
    <w:basedOn w:val="1"/>
    <w:qFormat/>
    <w:uiPriority w:val="0"/>
    <w:pPr>
      <w:ind w:firstLine="0" w:firstLineChars="0"/>
      <w:jc w:val="center"/>
    </w:pPr>
    <w:rPr>
      <w:sz w:val="21"/>
    </w:rPr>
  </w:style>
  <w:style w:type="paragraph" w:customStyle="1" w:styleId="65">
    <w:name w:val="Table Paragraph"/>
    <w:basedOn w:val="1"/>
    <w:qFormat/>
    <w:uiPriority w:val="1"/>
    <w:pPr>
      <w:jc w:val="center"/>
    </w:pPr>
    <w:rPr>
      <w:rFonts w:ascii="宋体" w:hAnsi="宋体" w:eastAsia="宋体" w:cs="宋体"/>
      <w:lang w:val="zh-CN" w:eastAsia="zh-CN" w:bidi="zh-CN"/>
    </w:rPr>
  </w:style>
  <w:style w:type="paragraph" w:customStyle="1" w:styleId="66">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67">
    <w:name w:val="表格内文字"/>
    <w:basedOn w:val="1"/>
    <w:qFormat/>
    <w:uiPriority w:val="0"/>
    <w:pPr>
      <w:tabs>
        <w:tab w:val="left" w:pos="0"/>
      </w:tabs>
      <w:adjustRightInd w:val="0"/>
      <w:snapToGrid w:val="0"/>
      <w:jc w:val="center"/>
    </w:pPr>
    <w:rPr>
      <w:rFonts w:ascii="Verdana" w:hAnsi="Verdana" w:eastAsia="仿宋_GB2312" w:cs="Verdana"/>
      <w:sz w:val="24"/>
      <w:szCs w:val="24"/>
    </w:rPr>
  </w:style>
  <w:style w:type="paragraph" w:customStyle="1" w:styleId="68">
    <w:name w:val="表头居中"/>
    <w:basedOn w:val="1"/>
    <w:next w:val="1"/>
    <w:qFormat/>
    <w:uiPriority w:val="0"/>
    <w:pPr>
      <w:widowControl/>
      <w:snapToGrid w:val="0"/>
      <w:spacing w:line="240" w:lineRule="auto"/>
      <w:jc w:val="center"/>
    </w:pPr>
    <w:rPr>
      <w:b/>
      <w:bCs/>
      <w:kern w:val="0"/>
      <w:sz w:val="20"/>
      <w:szCs w:val="20"/>
      <w:lang w:val="zh-CN"/>
    </w:rPr>
  </w:style>
  <w:style w:type="paragraph" w:customStyle="1" w:styleId="69">
    <w:name w:val="样式 首行缩进:  2 字符1"/>
    <w:basedOn w:val="1"/>
    <w:qFormat/>
    <w:uiPriority w:val="0"/>
    <w:pPr>
      <w:adjustRightInd w:val="0"/>
      <w:snapToGrid w:val="0"/>
      <w:spacing w:line="360" w:lineRule="auto"/>
      <w:ind w:firstLine="480" w:firstLineChars="200"/>
    </w:pPr>
    <w:rPr>
      <w:rFonts w:cs="宋体"/>
      <w:sz w:val="24"/>
      <w:lang w:val="en-US" w:eastAsia="zh-CN"/>
    </w:rPr>
  </w:style>
  <w:style w:type="paragraph" w:customStyle="1" w:styleId="70">
    <w:name w:val="0"/>
    <w:basedOn w:val="1"/>
    <w:qFormat/>
    <w:uiPriority w:val="0"/>
    <w:pPr>
      <w:tabs>
        <w:tab w:val="left" w:pos="975"/>
      </w:tabs>
      <w:wordWrap w:val="0"/>
      <w:overflowPunct w:val="0"/>
      <w:snapToGrid w:val="0"/>
      <w:jc w:val="left"/>
    </w:pPr>
    <w:rPr>
      <w:rFonts w:ascii="Arial" w:hAnsi="宋体" w:eastAsia="仿宋_GB2312"/>
      <w:sz w:val="18"/>
      <w:szCs w:val="20"/>
    </w:rPr>
  </w:style>
  <w:style w:type="paragraph" w:customStyle="1" w:styleId="71">
    <w:name w:val="标题33"/>
    <w:next w:val="1"/>
    <w:qFormat/>
    <w:uiPriority w:val="0"/>
    <w:pPr>
      <w:spacing w:after="50" w:afterLines="50" w:line="500" w:lineRule="exact"/>
      <w:outlineLvl w:val="2"/>
    </w:pPr>
    <w:rPr>
      <w:rFonts w:ascii="Times New Roman" w:hAnsi="Times New Roman" w:eastAsia="宋体" w:cs="Times New Roman"/>
      <w:b/>
      <w:bCs/>
      <w:sz w:val="30"/>
      <w:szCs w:val="32"/>
      <w:lang w:val="en-US" w:eastAsia="zh-CN" w:bidi="ar-SA"/>
    </w:rPr>
  </w:style>
  <w:style w:type="paragraph" w:customStyle="1" w:styleId="72">
    <w:name w:val="正文(首行缩进)"/>
    <w:basedOn w:val="1"/>
    <w:qFormat/>
    <w:uiPriority w:val="0"/>
    <w:pPr>
      <w:spacing w:line="360" w:lineRule="auto"/>
      <w:ind w:firstLine="540" w:firstLineChars="225"/>
    </w:pPr>
    <w:rPr>
      <w:snapToGrid w:val="0"/>
      <w:color w:val="000000"/>
      <w:sz w:val="24"/>
    </w:rPr>
  </w:style>
  <w:style w:type="paragraph" w:customStyle="1" w:styleId="73">
    <w:name w:val="正文3"/>
    <w:qFormat/>
    <w:uiPriority w:val="0"/>
    <w:pPr>
      <w:jc w:val="both"/>
    </w:pPr>
    <w:rPr>
      <w:rFonts w:ascii="Calibri" w:hAnsi="Calibri" w:eastAsia="宋体" w:cs="Calibri"/>
      <w:kern w:val="2"/>
      <w:sz w:val="21"/>
      <w:szCs w:val="21"/>
      <w:lang w:val="en-US" w:eastAsia="zh-CN" w:bidi="ar-SA"/>
    </w:rPr>
  </w:style>
  <w:style w:type="paragraph" w:customStyle="1" w:styleId="74">
    <w:name w:val="Char"/>
    <w:basedOn w:val="1"/>
    <w:qFormat/>
    <w:uiPriority w:val="0"/>
    <w:pPr>
      <w:spacing w:line="360" w:lineRule="auto"/>
      <w:ind w:firstLine="200" w:firstLineChars="200"/>
    </w:pPr>
    <w:rPr>
      <w:szCs w:val="20"/>
    </w:rPr>
  </w:style>
  <w:style w:type="paragraph" w:customStyle="1" w:styleId="75">
    <w:name w:val="表头，alt+D"/>
    <w:basedOn w:val="1"/>
    <w:qFormat/>
    <w:uiPriority w:val="0"/>
    <w:pPr>
      <w:spacing w:before="60" w:after="60" w:line="240" w:lineRule="atLeast"/>
      <w:ind w:left="-113" w:right="-113"/>
      <w:jc w:val="center"/>
      <w:textAlignment w:val="center"/>
    </w:pPr>
    <w:rPr>
      <w:color w:val="808000"/>
      <w:sz w:val="24"/>
    </w:rPr>
  </w:style>
  <w:style w:type="paragraph" w:customStyle="1" w:styleId="76">
    <w:name w:val="标准正文"/>
    <w:basedOn w:val="1"/>
    <w:qFormat/>
    <w:uiPriority w:val="0"/>
    <w:pPr>
      <w:spacing w:line="360" w:lineRule="auto"/>
      <w:ind w:firstLine="480" w:firstLineChars="200"/>
      <w:jc w:val="left"/>
    </w:pPr>
    <w:rPr>
      <w:rFonts w:ascii="宋体"/>
      <w:sz w:val="28"/>
      <w:szCs w:val="22"/>
    </w:rPr>
  </w:style>
  <w:style w:type="paragraph" w:customStyle="1" w:styleId="77">
    <w:name w:val="Char5"/>
    <w:basedOn w:val="1"/>
    <w:qFormat/>
    <w:uiPriority w:val="0"/>
    <w:pPr>
      <w:spacing w:line="360" w:lineRule="auto"/>
      <w:ind w:firstLine="200" w:firstLineChars="200"/>
    </w:pPr>
    <w:rPr>
      <w:szCs w:val="20"/>
    </w:rPr>
  </w:style>
  <w:style w:type="paragraph" w:customStyle="1" w:styleId="78">
    <w:name w:val="正文-1"/>
    <w:qFormat/>
    <w:uiPriority w:val="0"/>
    <w:pPr>
      <w:spacing w:line="480" w:lineRule="exact"/>
      <w:ind w:firstLine="200" w:firstLineChars="200"/>
      <w:jc w:val="both"/>
    </w:pPr>
    <w:rPr>
      <w:rFonts w:ascii="宋体" w:hAnsi="宋体" w:eastAsia="宋体" w:cs="宋体"/>
      <w:kern w:val="2"/>
      <w:sz w:val="24"/>
      <w:lang w:val="en-US" w:eastAsia="zh-CN" w:bidi="ar-SA"/>
    </w:rPr>
  </w:style>
  <w:style w:type="paragraph" w:customStyle="1" w:styleId="79">
    <w:name w:val="！正文"/>
    <w:basedOn w:val="1"/>
    <w:qFormat/>
    <w:uiPriority w:val="0"/>
    <w:pPr>
      <w:spacing w:line="500" w:lineRule="exact"/>
      <w:ind w:firstLine="200" w:firstLineChars="200"/>
    </w:pPr>
    <w:rPr>
      <w:kern w:val="0"/>
      <w:sz w:val="24"/>
    </w:rPr>
  </w:style>
  <w:style w:type="paragraph" w:customStyle="1" w:styleId="80">
    <w:name w:val="样式 样式 正文（ＬＺＱ） + 首行缩进:  2 字符 行距: 固定值 26 磅 + 首行缩进:  2 字符"/>
    <w:basedOn w:val="1"/>
    <w:qFormat/>
    <w:uiPriority w:val="0"/>
    <w:pPr>
      <w:snapToGrid w:val="0"/>
      <w:ind w:firstLine="480"/>
    </w:pPr>
    <w:rPr>
      <w:rFonts w:ascii="Times New Roman" w:hAnsi="Times New Roman"/>
      <w:color w:val="000080"/>
      <w:kern w:val="0"/>
      <w:szCs w:val="20"/>
    </w:rPr>
  </w:style>
  <w:style w:type="paragraph" w:customStyle="1" w:styleId="81">
    <w:name w:val="正文正文"/>
    <w:basedOn w:val="1"/>
    <w:qFormat/>
    <w:uiPriority w:val="0"/>
    <w:pPr>
      <w:spacing w:line="360" w:lineRule="auto"/>
      <w:ind w:firstLine="480" w:firstLineChars="200"/>
    </w:pPr>
    <w:rPr>
      <w:rFonts w:eastAsia="仿宋" w:cs="Times New Roman"/>
      <w:color w:val="FF0000"/>
      <w:sz w:val="24"/>
    </w:rPr>
  </w:style>
  <w:style w:type="paragraph" w:customStyle="1" w:styleId="82">
    <w:name w:val="表名样式"/>
    <w:basedOn w:val="1"/>
    <w:qFormat/>
    <w:uiPriority w:val="0"/>
    <w:pPr>
      <w:spacing w:line="240" w:lineRule="exact"/>
      <w:jc w:val="center"/>
    </w:pPr>
    <w:rPr>
      <w:rFonts w:eastAsia="仿宋"/>
      <w:b/>
      <w:sz w:val="21"/>
      <w:lang w:val="zh-CN" w:eastAsia="zh-CN"/>
    </w:rPr>
  </w:style>
  <w:style w:type="paragraph" w:customStyle="1" w:styleId="83">
    <w:name w:val="WPSOffice手动目录 1"/>
    <w:qFormat/>
    <w:uiPriority w:val="0"/>
    <w:pPr>
      <w:ind w:leftChars="0"/>
    </w:pPr>
    <w:rPr>
      <w:rFonts w:ascii="Times New Roman" w:hAnsi="Times New Roman" w:eastAsia="宋体" w:cs="Times New Roman"/>
      <w:sz w:val="20"/>
      <w:szCs w:val="20"/>
    </w:rPr>
  </w:style>
  <w:style w:type="paragraph" w:customStyle="1" w:styleId="84">
    <w:name w:val="表格名称"/>
    <w:basedOn w:val="1"/>
    <w:qFormat/>
    <w:uiPriority w:val="0"/>
    <w:pPr>
      <w:adjustRightInd w:val="0"/>
      <w:snapToGrid w:val="0"/>
      <w:spacing w:before="50" w:beforeLines="50" w:after="50" w:afterLines="50"/>
      <w:jc w:val="center"/>
      <w:outlineLvl w:val="3"/>
    </w:pPr>
    <w:rPr>
      <w:b/>
      <w:color w:val="000000"/>
      <w:szCs w:val="21"/>
    </w:rPr>
  </w:style>
  <w:style w:type="paragraph" w:customStyle="1" w:styleId="85">
    <w:name w:val="_正文格式"/>
    <w:basedOn w:val="1"/>
    <w:qFormat/>
    <w:uiPriority w:val="0"/>
    <w:pPr>
      <w:spacing w:line="500" w:lineRule="exact"/>
      <w:ind w:firstLine="567"/>
      <w:jc w:val="left"/>
    </w:pPr>
    <w:rPr>
      <w:sz w:val="24"/>
    </w:rPr>
  </w:style>
  <w:style w:type="character" w:customStyle="1" w:styleId="86">
    <w:name w:val="_Style 2"/>
    <w:qFormat/>
    <w:uiPriority w:val="0"/>
    <w:rPr>
      <w:b/>
      <w:sz w:val="24"/>
      <w:u w:val="single"/>
    </w:rPr>
  </w:style>
  <w:style w:type="paragraph" w:customStyle="1" w:styleId="87">
    <w:name w:val="Table Text"/>
    <w:basedOn w:val="1"/>
    <w:semiHidden/>
    <w:qFormat/>
    <w:uiPriority w:val="0"/>
    <w:rPr>
      <w:rFonts w:ascii="宋体" w:hAnsi="宋体" w:eastAsia="宋体" w:cs="宋体"/>
      <w:sz w:val="21"/>
      <w:szCs w:val="21"/>
      <w:lang w:val="en-US" w:eastAsia="en-US" w:bidi="ar-SA"/>
    </w:rPr>
  </w:style>
  <w:style w:type="paragraph" w:customStyle="1" w:styleId="88">
    <w:name w:val="表格(新)"/>
    <w:basedOn w:val="1"/>
    <w:qFormat/>
    <w:uiPriority w:val="0"/>
    <w:pPr>
      <w:spacing w:line="240" w:lineRule="atLeast"/>
      <w:jc w:val="center"/>
    </w:pPr>
    <w:rPr>
      <w:rFonts w:ascii="Arial Narrow" w:hAnsi="Arial Narrow"/>
      <w:kern w:val="24"/>
      <w:szCs w:val="21"/>
    </w:rPr>
  </w:style>
  <w:style w:type="paragraph" w:customStyle="1" w:styleId="89">
    <w:name w:val="规划正文新"/>
    <w:basedOn w:val="1"/>
    <w:qFormat/>
    <w:uiPriority w:val="0"/>
    <w:pPr>
      <w:snapToGrid w:val="0"/>
      <w:spacing w:line="460" w:lineRule="exact"/>
      <w:ind w:firstLine="480"/>
    </w:pPr>
    <w:rPr>
      <w:rFonts w:ascii="宋体" w:hAnsi="宋体"/>
      <w:snapToGrid w:val="0"/>
      <w:sz w:val="28"/>
    </w:rPr>
  </w:style>
  <w:style w:type="paragraph" w:customStyle="1" w:styleId="90">
    <w:name w:val="正文001"/>
    <w:basedOn w:val="1"/>
    <w:qFormat/>
    <w:uiPriority w:val="0"/>
    <w:pPr>
      <w:adjustRightInd/>
      <w:spacing w:before="60" w:line="420" w:lineRule="exact"/>
      <w:ind w:firstLine="482" w:firstLineChars="0"/>
    </w:pPr>
    <w:rPr>
      <w:rFonts w:eastAsia="宋体"/>
      <w:szCs w:val="20"/>
    </w:rPr>
  </w:style>
  <w:style w:type="paragraph" w:customStyle="1" w:styleId="91">
    <w:name w:val="表头1"/>
    <w:basedOn w:val="1"/>
    <w:qFormat/>
    <w:uiPriority w:val="0"/>
    <w:pPr>
      <w:autoSpaceDE w:val="0"/>
      <w:autoSpaceDN w:val="0"/>
      <w:adjustRightInd w:val="0"/>
      <w:snapToGrid w:val="0"/>
      <w:jc w:val="center"/>
    </w:pPr>
    <w:rPr>
      <w:b/>
      <w:bCs/>
      <w:spacing w:val="-2"/>
      <w:szCs w:val="21"/>
    </w:rPr>
  </w:style>
  <w:style w:type="table" w:customStyle="1" w:styleId="92">
    <w:name w:val="Table Normal"/>
    <w:unhideWhenUsed/>
    <w:qFormat/>
    <w:uiPriority w:val="0"/>
    <w:tblPr>
      <w:tblCellMar>
        <w:top w:w="0" w:type="dxa"/>
        <w:left w:w="0" w:type="dxa"/>
        <w:bottom w:w="0" w:type="dxa"/>
        <w:right w:w="0" w:type="dxa"/>
      </w:tblCellMar>
    </w:tblPr>
  </w:style>
  <w:style w:type="paragraph" w:customStyle="1" w:styleId="93">
    <w:name w:val="表格里面啊啊啊啊"/>
    <w:basedOn w:val="1"/>
    <w:qFormat/>
    <w:uiPriority w:val="0"/>
    <w:pPr>
      <w:jc w:val="center"/>
    </w:pPr>
    <w:rPr>
      <w:rFonts w:ascii="Times New Roman" w:hAnsi="Times New Roman" w:eastAsia="宋体" w:cs="Times New Roman"/>
      <w:szCs w:val="21"/>
    </w:rPr>
  </w:style>
  <w:style w:type="paragraph" w:customStyle="1" w:styleId="94">
    <w:name w:val="表格1"/>
    <w:basedOn w:val="1"/>
    <w:next w:val="1"/>
    <w:qFormat/>
    <w:uiPriority w:val="0"/>
    <w:pPr>
      <w:adjustRightInd w:val="0"/>
      <w:snapToGrid w:val="0"/>
      <w:jc w:val="center"/>
    </w:pPr>
    <w:rPr>
      <w:rFonts w:eastAsia="方正仿宋_GBK"/>
      <w:color w:val="000000"/>
      <w:kern w:val="0"/>
      <w:szCs w:val="21"/>
    </w:rPr>
  </w:style>
  <w:style w:type="paragraph" w:customStyle="1" w:styleId="95">
    <w:name w:val="正文格式啊啊啊啊"/>
    <w:basedOn w:val="1"/>
    <w:qFormat/>
    <w:uiPriority w:val="0"/>
    <w:pPr>
      <w:wordWrap w:val="0"/>
      <w:adjustRightInd w:val="0"/>
      <w:snapToGrid w:val="0"/>
      <w:spacing w:line="520" w:lineRule="exact"/>
      <w:ind w:firstLine="720" w:firstLineChars="200"/>
      <w:jc w:val="left"/>
    </w:pPr>
    <w:rPr>
      <w:rFonts w:ascii="Times New Roman" w:hAnsi="Times New Roman" w:eastAsia="宋体" w:cs="宋体"/>
      <w:kern w:val="0"/>
      <w:sz w:val="24"/>
    </w:rPr>
  </w:style>
  <w:style w:type="paragraph" w:customStyle="1" w:styleId="96">
    <w:name w:val="小标题啊啊啊啊啊"/>
    <w:basedOn w:val="1"/>
    <w:qFormat/>
    <w:uiPriority w:val="0"/>
    <w:pPr>
      <w:adjustRightInd w:val="0"/>
      <w:snapToGrid w:val="0"/>
      <w:spacing w:line="520" w:lineRule="exact"/>
      <w:jc w:val="left"/>
    </w:pPr>
    <w:rPr>
      <w:rFonts w:ascii="Times New Roman" w:hAnsi="Times New Roman" w:eastAsia="宋体" w:cs="宋体"/>
      <w:b/>
      <w:kern w:val="0"/>
      <w:sz w:val="24"/>
    </w:rPr>
  </w:style>
  <w:style w:type="paragraph" w:customStyle="1" w:styleId="97">
    <w:name w:val="表头啊啊啊啊"/>
    <w:basedOn w:val="1"/>
    <w:qFormat/>
    <w:uiPriority w:val="0"/>
    <w:pPr>
      <w:adjustRightInd w:val="0"/>
      <w:snapToGrid w:val="0"/>
      <w:jc w:val="center"/>
    </w:pPr>
    <w:rPr>
      <w:rFonts w:hint="eastAsia" w:ascii="Times New Roman" w:hAnsi="Times New Roman" w:cs="宋体"/>
      <w:b/>
      <w:szCs w:val="21"/>
    </w:rPr>
  </w:style>
  <w:style w:type="paragraph" w:customStyle="1" w:styleId="98">
    <w:name w:val="A正文啊啊啊啊啊"/>
    <w:basedOn w:val="1"/>
    <w:link w:val="99"/>
    <w:qFormat/>
    <w:uiPriority w:val="0"/>
    <w:pPr>
      <w:wordWrap w:val="0"/>
      <w:spacing w:line="520" w:lineRule="exact"/>
      <w:ind w:firstLine="720" w:firstLineChars="200"/>
    </w:pPr>
    <w:rPr>
      <w:rFonts w:ascii="Times New Roman" w:hAnsi="Times New Roman" w:eastAsia="宋体" w:cs="宋体"/>
      <w:sz w:val="24"/>
    </w:rPr>
  </w:style>
  <w:style w:type="character" w:customStyle="1" w:styleId="99">
    <w:name w:val="A正文啊啊啊啊啊 Char"/>
    <w:link w:val="98"/>
    <w:qFormat/>
    <w:uiPriority w:val="0"/>
    <w:rPr>
      <w:rFonts w:ascii="Times New Roman" w:hAnsi="Times New Roman" w:eastAsia="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746c6303-1ef8-4c28-a7fd-cdbbeeef9ff6</errorID>
      <errorWord>》（试行）</errorWord>
      <group>L1_Other</group>
      <groupName>其他问题</groupName>
      <ability>L2_UserTypo</ability>
      <abilityName>自定义错误</abilityName>
      <candidateList>
        <item>（试行）》</item>
      </candidateList>
      <explain>来自自定义错词库。</explain>
      <paraID>7033C753</paraID>
      <start>27</start>
      <end>32</end>
      <status>modified</status>
      <modifiedWord>（试行）》</modifiedWord>
      <trackRevisions>false</trackRevisions>
    </reviewItem>
    <reviewItem>
      <errorID>7a338c6e-c78e-46a6-b02d-ba8dabbe8cf1</errorID>
      <errorWord>施工期为210天</errorWord>
      <group>L1_Other</group>
      <groupName>其他问题</groupName>
      <ability>L2_Consistency</ability>
      <abilityName>一致性检查</abilityName>
      <candidateList>
        <item>180天</item>
      </candidateList>
      <explain>数字一致性：前文提到工作时限为6个月，实际工作时间为180天，此处施工期210天与前文不一致</explain>
      <paraID>66AE8DFC</paraID>
      <start>18</start>
      <end>26</end>
      <status>ignored</status>
      <modifiedWord/>
      <trackRevisions>false</trackRevisions>
    </reviewItem>
    <reviewItem>
      <errorID>82604a24-497d-4276-aa25-ee319b6a394a</errorID>
      <errorWord>、及</errorWord>
      <group>L1_Other</group>
      <groupName>其他问题</groupName>
      <ability>L2_UserTypo</ability>
      <abilityName>自定义错误</abilityName>
      <candidateList>
        <item>及</item>
      </candidateList>
      <explain>来自自定义错词库。</explain>
      <paraID>5AA72D04</paraID>
      <start>19</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27f548-771e-464e-a67f-339840df2814}">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55</Pages>
  <Words>199</Words>
  <Characters>208</Characters>
  <Lines>9</Lines>
  <Paragraphs>2</Paragraphs>
  <TotalTime>11</TotalTime>
  <ScaleCrop>false</ScaleCrop>
  <LinksUpToDate>false</LinksUpToDate>
  <CharactersWithSpaces>243</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2020-12-24T01:42:00Z</dcterms:created>
  <dc:creator>lhj</dc:creator>
  <cp:lastModifiedBy>Administrator</cp:lastModifiedBy>
  <cp:lastPrinted>2020-12-24T01:50:00Z</cp:lastPrinted>
  <dcterms:modified xsi:type="dcterms:W3CDTF">2026-04-21T05:33:28Z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E6C2724B26C045EE93E71E3C6150A149_13</vt:lpwstr>
  </property>
  <property fmtid="{D5CDD505-2E9C-101B-9397-08002B2CF9AE}" pid="4" name="KSOTemplateDocerSaveRecord">
    <vt:lpwstr>eyJoZGlkIjoiNGRhODgyNjQ5YTE5ZjFmYjE2NDEwOTU4OTE2MjU0N2MiLCJ1c2VySWQiOiI2MDE2NTE5NzkifQ==</vt:lpwstr>
  </property>
</Properties>
</file>